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loc20230729_10q.htm"/>
      <w:bookmarkStart w:id="1" w:name="ksfloc20230729_10q"/>
      <w:bookmarkEnd w:id="0"/>
      <w:bookmarkEnd w:id="1"/>
      <w:r>
        <w:rPr/>
        <w:t xml:space="preserve">  </w:t>
      </w:r>
    </w:p>
    <w:p>
      <w:pPr>
        <w:pStyle w:val="TextBody"/>
        <w:bidi w:val="0"/>
        <w:spacing w:before="0" w:after="0"/>
        <w:ind w:left="0" w:right="0" w:hanging="0"/>
        <w:jc w:val="left"/>
        <w:rPr/>
      </w:pPr>
      <w:hyperlink w:anchor="toc">
        <w:r>
          <w:rPr>
            <w:rStyle w:val="InternetLink"/>
            <w:rFonts w:ascii="Arial;Helvetica;sans-serif" w:hAnsi="Arial;Helvetica;sans-serif"/>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UNITED STATES</w:t>
      </w:r>
    </w:p>
    <w:p>
      <w:pPr>
        <w:pStyle w:val="TextBody"/>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SECURITIES AND EXCHANGE COMMISSION</w:t>
      </w:r>
    </w:p>
    <w:p>
      <w:pPr>
        <w:pStyle w:val="TextBody"/>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b/>
          <w:caps w:val="false"/>
          <w:smallCaps w:val="false"/>
          <w:sz w:val="16"/>
        </w:rPr>
        <w:t>FORM</w:t>
      </w:r>
      <w:r>
        <w:rPr>
          <w:rFonts w:ascii="Arial;Helvetica;sans-serif" w:hAnsi="Arial;Helvetica;sans-serif"/>
          <w:caps w:val="false"/>
          <w:smallCaps w:val="false"/>
          <w:sz w:val="16"/>
        </w:rPr>
        <w:t> </w:t>
      </w:r>
      <w:r>
        <w:rPr>
          <w:rFonts w:ascii="Arial;Helvetica;sans-serif" w:hAnsi="Arial;Helvetica;sans-serif"/>
          <w:b/>
          <w:caps w:val="false"/>
          <w:smallCaps w:val="false"/>
          <w:sz w:val="16"/>
        </w:rPr>
        <w:t>10-Q</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(Mark One)</w:t>
      </w:r>
    </w:p>
    <w:p>
      <w:pPr>
        <w:pStyle w:val="TextBody"/>
        <w:bidi w:val="0"/>
        <w:spacing w:before="0" w:after="0"/>
        <w:ind w:left="0" w:right="0" w:hanging="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60"/>
        <w:gridCol w:w="230"/>
        <w:gridCol w:w="852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25" w:type="dxa"/>
            <w:tcBorders/>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b/>
                <w:caps w:val="false"/>
                <w:smallCaps w:val="false"/>
                <w:sz w:val="16"/>
              </w:rPr>
              <w:t>QUARTERLY REPORT PURSUANT TO SECTION</w:t>
            </w:r>
            <w:r>
              <w:rPr>
                <w:rFonts w:ascii="Arial;Helvetica;sans-serif" w:hAnsi="Arial;Helvetica;sans-serif"/>
                <w:caps w:val="false"/>
                <w:smallCaps w:val="false"/>
                <w:sz w:val="16"/>
              </w:rPr>
              <w:t> </w:t>
            </w:r>
            <w:r>
              <w:rPr>
                <w:rFonts w:ascii="Arial;Helvetica;sans-serif" w:hAnsi="Arial;Helvetica;sans-serif"/>
                <w:b/>
                <w:caps w:val="false"/>
                <w:smallCaps w:val="false"/>
                <w:sz w:val="16"/>
              </w:rPr>
              <w:t>13 OR 15(d)</w:t>
            </w:r>
            <w:r>
              <w:rPr>
                <w:rFonts w:ascii="Arial;Helvetica;sans-serif" w:hAnsi="Arial;Helvetica;sans-serif"/>
                <w:caps w:val="false"/>
                <w:smallCaps w:val="false"/>
                <w:sz w:val="16"/>
              </w:rPr>
              <w:t> </w:t>
            </w:r>
            <w:r>
              <w:rPr>
                <w:rFonts w:ascii="Arial;Helvetica;sans-serif" w:hAnsi="Arial;Helvetica;sans-serif"/>
                <w:b/>
                <w:caps w:val="false"/>
                <w:smallCaps w:val="false"/>
                <w:sz w:val="16"/>
              </w:rPr>
              <w:t>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For the quarterly period ended: July 29,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OR</w:t>
      </w:r>
    </w:p>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60"/>
        <w:gridCol w:w="230"/>
        <w:gridCol w:w="85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10" w:type="dxa"/>
            <w:tcBorders/>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b/>
                <w:caps w:val="false"/>
                <w:smallCaps w:val="false"/>
                <w:sz w:val="16"/>
              </w:rPr>
              <w:t>TRANSITION REPORT PURSUANT TO SECTION</w:t>
            </w:r>
            <w:r>
              <w:rPr>
                <w:rFonts w:ascii="Arial;Helvetica;sans-serif" w:hAnsi="Arial;Helvetica;sans-serif"/>
                <w:caps w:val="false"/>
                <w:smallCaps w:val="false"/>
                <w:sz w:val="16"/>
              </w:rPr>
              <w:t> </w:t>
            </w:r>
            <w:r>
              <w:rPr>
                <w:rFonts w:ascii="Arial;Helvetica;sans-serif" w:hAnsi="Arial;Helvetica;sans-serif"/>
                <w:b/>
                <w:caps w:val="false"/>
                <w:smallCaps w:val="false"/>
                <w:sz w:val="16"/>
              </w:rPr>
              <w:t>13 OR 15(d)</w:t>
            </w:r>
            <w:r>
              <w:rPr>
                <w:rFonts w:ascii="Arial;Helvetica;sans-serif" w:hAnsi="Arial;Helvetica;sans-serif"/>
                <w:caps w:val="false"/>
                <w:smallCaps w:val="false"/>
                <w:sz w:val="16"/>
              </w:rPr>
              <w:t> </w:t>
            </w:r>
            <w:r>
              <w:rPr>
                <w:rFonts w:ascii="Arial;Helvetica;sans-serif" w:hAnsi="Arial;Helvetica;sans-serif"/>
                <w:b/>
                <w:caps w:val="false"/>
                <w:smallCaps w:val="false"/>
                <w:sz w:val="16"/>
              </w:rPr>
              <w:t>OF THE SECURITIES</w:t>
            </w:r>
            <w:r>
              <w:rPr>
                <w:rFonts w:ascii="Arial;Helvetica;sans-serif" w:hAnsi="Arial;Helvetica;sans-serif"/>
                <w:caps w:val="false"/>
                <w:smallCaps w:val="false"/>
                <w:sz w:val="16"/>
              </w:rPr>
              <w:t> </w:t>
            </w:r>
            <w:r>
              <w:rPr>
                <w:rFonts w:ascii="Arial;Helvetica;sans-serif" w:hAnsi="Arial;Helvetica;sans-serif"/>
                <w:b/>
                <w:caps w:val="false"/>
                <w:smallCaps w:val="false"/>
                <w:sz w:val="16"/>
              </w:rPr>
              <w:t>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For the transition period from __________ to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Commission File Number: 1-10299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pPr>
      <w:r>
        <w:rPr/>
        <w:drawing>
          <wp:inline distT="0" distB="0" distL="0" distR="0">
            <wp:extent cx="269557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4235"/>
        <w:gridCol w:w="2525"/>
      </w:tblGrid>
      <w:tr>
        <w:trPr/>
        <w:tc>
          <w:tcPr>
            <w:tcW w:w="4235" w:type="dxa"/>
            <w:tcBorders/>
            <w:vAlign w:val="center"/>
          </w:tcPr>
          <w:p>
            <w:pPr>
              <w:pStyle w:val="TableContents"/>
              <w:bidi w:val="0"/>
              <w:spacing w:before="0" w:after="0"/>
              <w:ind w:left="18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New York</w:t>
            </w:r>
          </w:p>
        </w:tc>
        <w:tc>
          <w:tcPr>
            <w:tcW w:w="2525" w:type="dxa"/>
            <w:tcBorders/>
            <w:vAlign w:val="center"/>
          </w:tcPr>
          <w:p>
            <w:pPr>
              <w:pStyle w:val="TableContents"/>
              <w:bidi w:val="0"/>
              <w:spacing w:before="0" w:after="0"/>
              <w:ind w:left="18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13-3513936</w:t>
            </w:r>
          </w:p>
        </w:tc>
      </w:tr>
      <w:tr>
        <w:trPr/>
        <w:tc>
          <w:tcPr>
            <w:tcW w:w="4235" w:type="dxa"/>
            <w:tcBorders/>
            <w:vAlign w:val="center"/>
          </w:tcPr>
          <w:p>
            <w:pPr>
              <w:pStyle w:val="TableContents"/>
              <w:bidi w:val="0"/>
              <w:spacing w:before="0" w:after="0"/>
              <w:ind w:left="18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(State or other jurisdiction of incorporation or organization)</w:t>
            </w:r>
          </w:p>
        </w:tc>
        <w:tc>
          <w:tcPr>
            <w:tcW w:w="2525" w:type="dxa"/>
            <w:tcBorders/>
            <w:vAlign w:val="center"/>
          </w:tcPr>
          <w:p>
            <w:pPr>
              <w:pStyle w:val="TableContents"/>
              <w:bidi w:val="0"/>
              <w:spacing w:before="0" w:after="0"/>
              <w:ind w:left="18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center"/>
        <w:rPr>
          <w:rFonts w:ascii="Arial;Helvetica;sans-serif" w:hAnsi="Arial;Helvetica;sans-serif"/>
          <w:caps w:val="false"/>
          <w:smallCaps w:val="false"/>
          <w:sz w:val="16"/>
        </w:rPr>
      </w:pPr>
      <w:r>
        <w:rPr>
          <w:rFonts w:ascii="Arial;Helvetica;sans-serif" w:hAnsi="Arial;Helvetica;sans-serif"/>
          <w:b/>
          <w:caps w:val="false"/>
          <w:smallCaps w:val="false"/>
          <w:sz w:val="16"/>
        </w:rPr>
        <w:t>330 West 34th</w:t>
      </w:r>
      <w:r>
        <w:rPr>
          <w:rFonts w:ascii="Arial;Helvetica;sans-serif" w:hAnsi="Arial;Helvetica;sans-serif"/>
          <w:caps w:val="false"/>
          <w:smallCaps w:val="false"/>
          <w:sz w:val="16"/>
        </w:rPr>
        <w:t xml:space="preserve"> </w:t>
      </w:r>
      <w:r>
        <w:rPr>
          <w:rFonts w:ascii="Arial;Helvetica;sans-serif" w:hAnsi="Arial;Helvetica;sans-serif"/>
          <w:b/>
          <w:caps w:val="false"/>
          <w:smallCaps w:val="false"/>
          <w:sz w:val="16"/>
        </w:rPr>
        <w:t>Street, New York, New York 10001</w:t>
      </w:r>
    </w:p>
    <w:p>
      <w:pPr>
        <w:pStyle w:val="TextBody"/>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(Address of principal executive offices, Zip Code)</w:t>
      </w:r>
    </w:p>
    <w:p>
      <w:pPr>
        <w:pStyle w:val="TextBody"/>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(212-720-3700)</w:t>
      </w:r>
    </w:p>
    <w:p>
      <w:pPr>
        <w:pStyle w:val="TextBody"/>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tbl>
      <w:tblPr>
        <w:tblW w:w="7410" w:type="dxa"/>
        <w:jc w:val="left"/>
        <w:tblInd w:w="-7" w:type="dxa"/>
        <w:tblLayout w:type="fixed"/>
        <w:tblCellMar>
          <w:top w:w="28" w:type="dxa"/>
          <w:left w:w="28" w:type="dxa"/>
          <w:bottom w:w="28" w:type="dxa"/>
          <w:right w:w="28" w:type="dxa"/>
        </w:tblCellMar>
      </w:tblPr>
      <w:tblGrid>
        <w:gridCol w:w="2375"/>
        <w:gridCol w:w="1490"/>
        <w:gridCol w:w="3545"/>
      </w:tblGrid>
      <w:tr>
        <w:trPr/>
        <w:tc>
          <w:tcPr>
            <w:tcW w:w="23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Title of each class</w:t>
            </w:r>
          </w:p>
        </w:tc>
        <w:tc>
          <w:tcPr>
            <w:tcW w:w="149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18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Trading Symbol(s)</w:t>
            </w:r>
          </w:p>
        </w:tc>
        <w:tc>
          <w:tcPr>
            <w:tcW w:w="35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Name of each exchange on which registered</w:t>
            </w:r>
          </w:p>
        </w:tc>
      </w:tr>
      <w:tr>
        <w:trPr/>
        <w:tc>
          <w:tcPr>
            <w:tcW w:w="23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Common Stock, par value $0.01</w:t>
            </w:r>
          </w:p>
        </w:tc>
        <w:tc>
          <w:tcPr>
            <w:tcW w:w="149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center"/>
              <w:rPr>
                <w:caps w:val="false"/>
                <w:smallCaps w:val="false"/>
              </w:rPr>
            </w:pPr>
            <w:r>
              <w:rPr>
                <w:caps w:val="false"/>
                <w:smallCaps w:val="false"/>
              </w:rPr>
              <w:t>​</w:t>
            </w:r>
            <w:r>
              <w:rPr>
                <w:rFonts w:ascii="Arial;Helvetica;sans-serif" w:hAnsi="Arial;Helvetica;sans-serif"/>
                <w:caps w:val="false"/>
                <w:smallCaps w:val="false"/>
                <w:sz w:val="16"/>
              </w:rPr>
              <w:t>FL</w:t>
            </w:r>
          </w:p>
        </w:tc>
        <w:tc>
          <w:tcPr>
            <w:tcW w:w="35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7490" w:type="dxa"/>
        <w:jc w:val="left"/>
        <w:tblInd w:w="0" w:type="dxa"/>
        <w:tblLayout w:type="fixed"/>
        <w:tblCellMar>
          <w:top w:w="0" w:type="dxa"/>
          <w:left w:w="0" w:type="dxa"/>
          <w:bottom w:w="0" w:type="dxa"/>
          <w:right w:w="0" w:type="dxa"/>
        </w:tblCellMar>
      </w:tblPr>
      <w:tblGrid>
        <w:gridCol w:w="2165"/>
        <w:gridCol w:w="1385"/>
        <w:gridCol w:w="1775"/>
        <w:gridCol w:w="2165"/>
      </w:tblGrid>
      <w:tr>
        <w:trPr/>
        <w:tc>
          <w:tcPr>
            <w:tcW w:w="21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Large accelerated filer ☒</w:t>
            </w:r>
          </w:p>
        </w:tc>
        <w:tc>
          <w:tcPr>
            <w:tcW w:w="138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Accelerated filer ☐</w:t>
            </w:r>
          </w:p>
        </w:tc>
        <w:tc>
          <w:tcPr>
            <w:tcW w:w="17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Non-accelerated filer  ☐</w:t>
            </w:r>
          </w:p>
        </w:tc>
        <w:tc>
          <w:tcPr>
            <w:tcW w:w="21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Smaller reporting company ☐</w:t>
            </w:r>
          </w:p>
        </w:tc>
      </w:tr>
      <w:tr>
        <w:trPr/>
        <w:tc>
          <w:tcPr>
            <w:tcW w:w="21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Emerging growth company ☐</w:t>
            </w:r>
          </w:p>
        </w:tc>
        <w:tc>
          <w:tcPr>
            <w:tcW w:w="13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6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Number of shares of Common Stock outstanding as of August 25, 2023: 94,159,150</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center"/>
        <w:rPr/>
      </w:pPr>
      <w:r>
        <w:rPr/>
        <w:t xml:space="preserve">  </w:t>
      </w:r>
    </w:p>
    <w:p>
      <w:pPr>
        <w:pStyle w:val="TextBody"/>
        <w:bidi w:val="0"/>
        <w:spacing w:before="0" w:after="0"/>
        <w:jc w:val="left"/>
        <w:rPr/>
      </w:pPr>
      <w:r>
        <w:rPr/>
        <w:t xml:space="preserve">  </w:t>
      </w:r>
    </w:p>
    <w:p>
      <w:pPr>
        <w:pStyle w:val="TextBody"/>
        <w:bidi w:val="0"/>
        <w:jc w:val="center"/>
        <w:rPr/>
      </w:pPr>
      <w:r>
        <w:rPr/>
        <w:drawing>
          <wp:inline distT="0" distB="0" distL="0" distR="0">
            <wp:extent cx="2695575" cy="314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9557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2" w:name="toc"/>
      <w:bookmarkEnd w:id="2"/>
      <w:r>
        <w:rPr>
          <w:rFonts w:ascii="Arial;Helvetica;sans-serif" w:hAnsi="Arial;Helvetica;sans-serif"/>
          <w:b/>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755" w:type="dxa"/>
        <w:jc w:val="left"/>
        <w:tblInd w:w="0" w:type="dxa"/>
        <w:tblLayout w:type="fixed"/>
        <w:tblCellMar>
          <w:top w:w="0" w:type="dxa"/>
          <w:left w:w="0" w:type="dxa"/>
          <w:bottom w:w="28" w:type="dxa"/>
          <w:right w:w="0" w:type="dxa"/>
        </w:tblCellMar>
      </w:tblPr>
      <w:tblGrid>
        <w:gridCol w:w="740"/>
        <w:gridCol w:w="770"/>
        <w:gridCol w:w="7760"/>
        <w:gridCol w:w="485"/>
      </w:tblGrid>
      <w:tr>
        <w:trPr/>
        <w:tc>
          <w:tcPr>
            <w:tcW w:w="740"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Page</w:t>
            </w:r>
          </w:p>
        </w:tc>
      </w:tr>
      <w:tr>
        <w:trPr/>
        <w:tc>
          <w:tcPr>
            <w:tcW w:w="740" w:type="dxa"/>
            <w:tcBorders/>
            <w:shd w:fill="CCEEFF" w:val="clear"/>
            <w:tcMar>
              <w:bottom w:w="0" w:type="dxa"/>
            </w:tcMar>
            <w:vAlign w:val="center"/>
          </w:tcPr>
          <w:p>
            <w:pPr>
              <w:pStyle w:val="TableContents"/>
              <w:bidi w:val="0"/>
              <w:spacing w:before="0" w:after="0"/>
              <w:ind w:left="0" w:right="0" w:hanging="0"/>
              <w:jc w:val="both"/>
              <w:rPr/>
            </w:pPr>
            <w:hyperlink w:anchor="part_one">
              <w:r>
                <w:rPr>
                  <w:rStyle w:val="InternetLink"/>
                  <w:rFonts w:ascii="Arial;Helvetica;sans-serif" w:hAnsi="Arial;Helvetica;sans-serif"/>
                  <w:caps w:val="false"/>
                  <w:smallCaps w:val="false"/>
                  <w:sz w:val="20"/>
                </w:rPr>
                <w:t>PART I</w:t>
              </w:r>
            </w:hyperlink>
          </w:p>
        </w:tc>
        <w:tc>
          <w:tcPr>
            <w:tcW w:w="8530" w:type="dxa"/>
            <w:gridSpan w:val="2"/>
            <w:tcBorders/>
            <w:shd w:fill="CCEEFF" w:val="clear"/>
            <w:tcMar>
              <w:bottom w:w="0" w:type="dxa"/>
            </w:tcMar>
            <w:vAlign w:val="center"/>
          </w:tcPr>
          <w:p>
            <w:pPr>
              <w:pStyle w:val="TableContents"/>
              <w:bidi w:val="0"/>
              <w:spacing w:before="0" w:after="0"/>
              <w:ind w:left="0" w:right="0" w:hanging="0"/>
              <w:jc w:val="left"/>
              <w:rPr/>
            </w:pPr>
            <w:hyperlink w:anchor="part_one">
              <w:r>
                <w:rPr>
                  <w:rStyle w:val="InternetLink"/>
                  <w:rFonts w:ascii="Arial;Helvetica;sans-serif" w:hAnsi="Arial;Helvetica;sans-serif"/>
                  <w:caps w:val="false"/>
                  <w:smallCaps w:val="false"/>
                  <w:sz w:val="20"/>
                </w:rPr>
                <w:t>FINANCIAL INFORMATION</w:t>
              </w:r>
            </w:hyperlink>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part_one">
              <w:r>
                <w:rPr>
                  <w:rStyle w:val="InternetLink"/>
                  <w:rFonts w:ascii="Arial;Helvetica;sans-serif" w:hAnsi="Arial;Helvetica;sans-serif"/>
                  <w:caps w:val="false"/>
                  <w:smallCaps w:val="false"/>
                  <w:sz w:val="20"/>
                </w:rPr>
                <w:t>1</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pPr>
            <w:hyperlink w:anchor="part_one">
              <w:r>
                <w:rPr>
                  <w:rStyle w:val="InternetLink"/>
                  <w:rFonts w:ascii="Arial;Helvetica;sans-serif" w:hAnsi="Arial;Helvetica;sans-serif"/>
                  <w:caps w:val="false"/>
                  <w:smallCaps w:val="false"/>
                  <w:sz w:val="20"/>
                </w:rPr>
                <w:t>Item 1.</w:t>
              </w:r>
            </w:hyperlink>
          </w:p>
        </w:tc>
        <w:tc>
          <w:tcPr>
            <w:tcW w:w="7760" w:type="dxa"/>
            <w:tcBorders/>
            <w:shd w:fill="FFFFFF" w:val="clear"/>
            <w:tcMar>
              <w:bottom w:w="0" w:type="dxa"/>
            </w:tcMar>
            <w:vAlign w:val="center"/>
          </w:tcPr>
          <w:p>
            <w:pPr>
              <w:pStyle w:val="TableContents"/>
              <w:bidi w:val="0"/>
              <w:spacing w:before="0" w:after="0"/>
              <w:ind w:left="20" w:right="0" w:hanging="20"/>
              <w:jc w:val="left"/>
              <w:rPr/>
            </w:pPr>
            <w:hyperlink w:anchor="part_one">
              <w:r>
                <w:rPr>
                  <w:rStyle w:val="InternetLink"/>
                  <w:rFonts w:ascii="Arial;Helvetica;sans-serif" w:hAnsi="Arial;Helvetica;sans-serif"/>
                  <w:caps w:val="false"/>
                  <w:smallCaps w:val="false"/>
                  <w:sz w:val="20"/>
                </w:rPr>
                <w:t>Financial Statements</w:t>
              </w:r>
            </w:hyperlink>
            <w:r>
              <w:rPr>
                <w:rFonts w:ascii="Arial;Helvetica;sans-serif" w:hAnsi="Arial;Helvetica;sans-serif"/>
                <w:caps w:val="false"/>
                <w:smallCaps w:val="false"/>
                <w:sz w:val="20"/>
              </w:rPr>
              <w:t xml:space="preserve"> (Unaudited)</w:t>
            </w:r>
          </w:p>
        </w:tc>
        <w:tc>
          <w:tcPr>
            <w:tcW w:w="485" w:type="dxa"/>
            <w:tcBorders/>
            <w:shd w:fill="FFFFFF" w:val="clear"/>
            <w:tcMar>
              <w:bottom w:w="0" w:type="dxa"/>
            </w:tcMar>
            <w:vAlign w:val="center"/>
          </w:tcPr>
          <w:p>
            <w:pPr>
              <w:pStyle w:val="TableContents"/>
              <w:bidi w:val="0"/>
              <w:spacing w:before="0" w:after="0"/>
              <w:ind w:left="0" w:right="0" w:hanging="0"/>
              <w:jc w:val="center"/>
              <w:rPr/>
            </w:pPr>
            <w:hyperlink w:anchor="part_one">
              <w:r>
                <w:rPr>
                  <w:rStyle w:val="InternetLink"/>
                  <w:rFonts w:ascii="Arial;Helvetica;sans-serif" w:hAnsi="Arial;Helvetica;sans-serif"/>
                  <w:caps w:val="false"/>
                  <w:smallCaps w:val="false"/>
                  <w:sz w:val="20"/>
                </w:rPr>
                <w:t>1</w:t>
              </w:r>
            </w:hyperlink>
          </w:p>
        </w:tc>
      </w:tr>
      <w:tr>
        <w:trPr/>
        <w:tc>
          <w:tcPr>
            <w:tcW w:w="7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CCEEFF" w:val="clear"/>
            <w:tcMar>
              <w:bottom w:w="0" w:type="dxa"/>
            </w:tcMar>
            <w:vAlign w:val="center"/>
          </w:tcPr>
          <w:p>
            <w:pPr>
              <w:pStyle w:val="TableContents"/>
              <w:bidi w:val="0"/>
              <w:spacing w:before="0" w:after="0"/>
              <w:ind w:left="20" w:right="0" w:hanging="20"/>
              <w:jc w:val="left"/>
              <w:rPr/>
            </w:pPr>
            <w:hyperlink w:anchor="bs">
              <w:r>
                <w:rPr>
                  <w:rStyle w:val="InternetLink"/>
                  <w:rFonts w:ascii="Arial;Helvetica;sans-serif" w:hAnsi="Arial;Helvetica;sans-serif"/>
                  <w:caps w:val="false"/>
                  <w:smallCaps w:val="false"/>
                  <w:sz w:val="20"/>
                </w:rPr>
                <w:t>Condensed Consolidated Balance Sheets</w:t>
              </w:r>
            </w:hyperlink>
            <w:r>
              <w:rPr>
                <w:rFonts w:ascii="Arial;Helvetica;sans-serif" w:hAnsi="Arial;Helvetica;sans-serif"/>
                <w:caps w:val="false"/>
                <w:smallCaps w:val="false"/>
                <w:sz w:val="20"/>
              </w:rPr>
              <w:t xml:space="preserve"> (Unaudited)</w:t>
            </w:r>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part_one">
              <w:r>
                <w:rPr>
                  <w:rStyle w:val="InternetLink"/>
                  <w:rFonts w:ascii="Arial;Helvetica;sans-serif" w:hAnsi="Arial;Helvetica;sans-serif"/>
                  <w:caps w:val="false"/>
                  <w:smallCaps w:val="false"/>
                  <w:sz w:val="20"/>
                </w:rPr>
                <w:t>1</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FFFFFF" w:val="clear"/>
            <w:tcMar>
              <w:bottom w:w="0" w:type="dxa"/>
            </w:tcMar>
            <w:vAlign w:val="center"/>
          </w:tcPr>
          <w:p>
            <w:pPr>
              <w:pStyle w:val="TableContents"/>
              <w:bidi w:val="0"/>
              <w:spacing w:before="0" w:after="0"/>
              <w:ind w:left="20" w:right="0" w:hanging="20"/>
              <w:jc w:val="left"/>
              <w:rPr/>
            </w:pPr>
            <w:hyperlink w:anchor="sop">
              <w:r>
                <w:rPr>
                  <w:rStyle w:val="InternetLink"/>
                  <w:rFonts w:ascii="Arial;Helvetica;sans-serif" w:hAnsi="Arial;Helvetica;sans-serif"/>
                  <w:caps w:val="false"/>
                  <w:smallCaps w:val="false"/>
                  <w:sz w:val="20"/>
                </w:rPr>
                <w:t>Condensed Consolidated Statements of Operations</w:t>
              </w:r>
            </w:hyperlink>
            <w:r>
              <w:rPr>
                <w:rFonts w:ascii="Arial;Helvetica;sans-serif" w:hAnsi="Arial;Helvetica;sans-serif"/>
                <w:caps w:val="false"/>
                <w:smallCaps w:val="false"/>
                <w:sz w:val="20"/>
              </w:rPr>
              <w:t xml:space="preserve"> (Unaudited)</w:t>
            </w:r>
          </w:p>
        </w:tc>
        <w:tc>
          <w:tcPr>
            <w:tcW w:w="485" w:type="dxa"/>
            <w:tcBorders/>
            <w:shd w:fill="FFFFFF" w:val="clear"/>
            <w:tcMar>
              <w:bottom w:w="0" w:type="dxa"/>
            </w:tcMar>
            <w:vAlign w:val="center"/>
          </w:tcPr>
          <w:p>
            <w:pPr>
              <w:pStyle w:val="TableContents"/>
              <w:bidi w:val="0"/>
              <w:spacing w:before="0" w:after="0"/>
              <w:ind w:left="0" w:right="0" w:hanging="0"/>
              <w:jc w:val="center"/>
              <w:rPr/>
            </w:pPr>
            <w:hyperlink w:anchor="sop">
              <w:r>
                <w:rPr>
                  <w:rStyle w:val="InternetLink"/>
                  <w:rFonts w:ascii="Arial;Helvetica;sans-serif" w:hAnsi="Arial;Helvetica;sans-serif"/>
                  <w:caps w:val="false"/>
                  <w:smallCaps w:val="false"/>
                  <w:sz w:val="20"/>
                </w:rPr>
                <w:t>2</w:t>
              </w:r>
            </w:hyperlink>
          </w:p>
        </w:tc>
      </w:tr>
      <w:tr>
        <w:trPr/>
        <w:tc>
          <w:tcPr>
            <w:tcW w:w="7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CCEEFF" w:val="clear"/>
            <w:tcMar>
              <w:bottom w:w="0" w:type="dxa"/>
            </w:tcMar>
            <w:vAlign w:val="center"/>
          </w:tcPr>
          <w:p>
            <w:pPr>
              <w:pStyle w:val="TableContents"/>
              <w:bidi w:val="0"/>
              <w:spacing w:before="0" w:after="0"/>
              <w:ind w:left="20" w:right="0" w:hanging="20"/>
              <w:jc w:val="left"/>
              <w:rPr/>
            </w:pPr>
            <w:hyperlink w:anchor="soci">
              <w:r>
                <w:rPr>
                  <w:rStyle w:val="InternetLink"/>
                  <w:rFonts w:ascii="Arial;Helvetica;sans-serif" w:hAnsi="Arial;Helvetica;sans-serif"/>
                  <w:caps w:val="false"/>
                  <w:smallCaps w:val="false"/>
                  <w:sz w:val="20"/>
                </w:rPr>
                <w:t>Condensed Consolidated Statements of Comprehensive Income / (Loss)</w:t>
              </w:r>
            </w:hyperlink>
            <w:r>
              <w:rPr>
                <w:rFonts w:ascii="Arial;Helvetica;sans-serif" w:hAnsi="Arial;Helvetica;sans-serif"/>
                <w:caps w:val="false"/>
                <w:smallCaps w:val="false"/>
                <w:sz w:val="20"/>
              </w:rPr>
              <w:t> (Unaudited)</w:t>
            </w:r>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soci">
              <w:r>
                <w:rPr>
                  <w:rStyle w:val="InternetLink"/>
                  <w:rFonts w:ascii="Arial;Helvetica;sans-serif" w:hAnsi="Arial;Helvetica;sans-serif"/>
                  <w:caps w:val="false"/>
                  <w:smallCaps w:val="false"/>
                  <w:sz w:val="20"/>
                </w:rPr>
                <w:t>3</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FFFFFF" w:val="clear"/>
            <w:tcMar>
              <w:bottom w:w="0" w:type="dxa"/>
            </w:tcMar>
            <w:vAlign w:val="center"/>
          </w:tcPr>
          <w:p>
            <w:pPr>
              <w:pStyle w:val="TableContents"/>
              <w:bidi w:val="0"/>
              <w:spacing w:before="0" w:after="0"/>
              <w:ind w:left="20" w:right="0" w:hanging="20"/>
              <w:jc w:val="left"/>
              <w:rPr/>
            </w:pPr>
            <w:hyperlink w:anchor="se">
              <w:r>
                <w:rPr>
                  <w:rStyle w:val="InternetLink"/>
                  <w:rFonts w:ascii="Arial;Helvetica;sans-serif" w:hAnsi="Arial;Helvetica;sans-serif"/>
                  <w:caps w:val="false"/>
                  <w:smallCaps w:val="false"/>
                  <w:sz w:val="20"/>
                </w:rPr>
                <w:t>Condensed Consolidated Statements of Changes in Shareholders’ Equity</w:t>
              </w:r>
            </w:hyperlink>
            <w:r>
              <w:rPr>
                <w:rFonts w:ascii="Arial;Helvetica;sans-serif" w:hAnsi="Arial;Helvetica;sans-serif"/>
                <w:caps w:val="false"/>
                <w:smallCaps w:val="false"/>
                <w:sz w:val="20"/>
              </w:rPr>
              <w:t xml:space="preserve"> (Unaudited)</w:t>
            </w:r>
          </w:p>
        </w:tc>
        <w:tc>
          <w:tcPr>
            <w:tcW w:w="485" w:type="dxa"/>
            <w:tcBorders/>
            <w:shd w:fill="FFFFFF" w:val="clear"/>
            <w:tcMar>
              <w:bottom w:w="0" w:type="dxa"/>
            </w:tcMar>
            <w:vAlign w:val="center"/>
          </w:tcPr>
          <w:p>
            <w:pPr>
              <w:pStyle w:val="TableContents"/>
              <w:bidi w:val="0"/>
              <w:spacing w:before="0" w:after="0"/>
              <w:ind w:left="0" w:right="0" w:hanging="0"/>
              <w:jc w:val="center"/>
              <w:rPr/>
            </w:pPr>
            <w:hyperlink w:anchor="se">
              <w:r>
                <w:rPr>
                  <w:rStyle w:val="InternetLink"/>
                  <w:rFonts w:ascii="Arial;Helvetica;sans-serif" w:hAnsi="Arial;Helvetica;sans-serif"/>
                  <w:caps w:val="false"/>
                  <w:smallCaps w:val="false"/>
                  <w:sz w:val="20"/>
                </w:rPr>
                <w:t>4</w:t>
              </w:r>
            </w:hyperlink>
          </w:p>
        </w:tc>
      </w:tr>
      <w:tr>
        <w:trPr/>
        <w:tc>
          <w:tcPr>
            <w:tcW w:w="7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CCEEFF" w:val="clear"/>
            <w:tcMar>
              <w:bottom w:w="0" w:type="dxa"/>
            </w:tcMar>
            <w:vAlign w:val="center"/>
          </w:tcPr>
          <w:p>
            <w:pPr>
              <w:pStyle w:val="TableContents"/>
              <w:bidi w:val="0"/>
              <w:spacing w:before="0" w:after="0"/>
              <w:ind w:left="20" w:right="0" w:hanging="20"/>
              <w:jc w:val="left"/>
              <w:rPr/>
            </w:pPr>
            <w:hyperlink w:anchor="cf">
              <w:r>
                <w:rPr>
                  <w:rStyle w:val="InternetLink"/>
                  <w:rFonts w:ascii="Arial;Helvetica;sans-serif" w:hAnsi="Arial;Helvetica;sans-serif"/>
                  <w:caps w:val="false"/>
                  <w:smallCaps w:val="false"/>
                  <w:sz w:val="20"/>
                </w:rPr>
                <w:t>Condensed Consolidated Statements of Cash Flows</w:t>
              </w:r>
            </w:hyperlink>
            <w:r>
              <w:rPr>
                <w:rFonts w:ascii="Arial;Helvetica;sans-serif" w:hAnsi="Arial;Helvetica;sans-serif"/>
                <w:caps w:val="false"/>
                <w:smallCaps w:val="false"/>
                <w:sz w:val="20"/>
              </w:rPr>
              <w:t xml:space="preserve"> (Unaudited)</w:t>
            </w:r>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cf">
              <w:r>
                <w:rPr>
                  <w:rStyle w:val="InternetLink"/>
                  <w:rFonts w:ascii="Arial;Helvetica;sans-serif" w:hAnsi="Arial;Helvetica;sans-serif"/>
                  <w:caps w:val="false"/>
                  <w:smallCaps w:val="false"/>
                  <w:sz w:val="20"/>
                </w:rPr>
                <w:t>5</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FFFFFF" w:val="clear"/>
            <w:tcMar>
              <w:bottom w:w="0" w:type="dxa"/>
            </w:tcMar>
            <w:vAlign w:val="center"/>
          </w:tcPr>
          <w:p>
            <w:pPr>
              <w:pStyle w:val="TableContents"/>
              <w:bidi w:val="0"/>
              <w:spacing w:before="0" w:after="0"/>
              <w:ind w:left="20" w:right="0" w:hanging="20"/>
              <w:jc w:val="left"/>
              <w:rPr/>
            </w:pPr>
            <w:hyperlink w:anchor="notes">
              <w:r>
                <w:rPr>
                  <w:rStyle w:val="InternetLink"/>
                  <w:rFonts w:ascii="Arial;Helvetica;sans-serif" w:hAnsi="Arial;Helvetica;sans-serif"/>
                  <w:caps w:val="false"/>
                  <w:smallCaps w:val="false"/>
                  <w:sz w:val="20"/>
                </w:rPr>
                <w:t>Notes to the Unaudited Condensed Consolidated Financial Statements</w:t>
              </w:r>
            </w:hyperlink>
            <w:r>
              <w:rPr>
                <w:rFonts w:ascii="Arial;Helvetica;sans-serif" w:hAnsi="Arial;Helvetica;sans-serif"/>
                <w:caps w:val="false"/>
                <w:smallCaps w:val="false"/>
                <w:sz w:val="20"/>
              </w:rPr>
              <w:t xml:space="preserve"> (Unaudited)</w:t>
            </w:r>
          </w:p>
        </w:tc>
        <w:tc>
          <w:tcPr>
            <w:tcW w:w="485" w:type="dxa"/>
            <w:tcBorders/>
            <w:shd w:fill="FFFFFF" w:val="clear"/>
            <w:tcMar>
              <w:bottom w:w="0" w:type="dxa"/>
            </w:tcMar>
            <w:vAlign w:val="center"/>
          </w:tcPr>
          <w:p>
            <w:pPr>
              <w:pStyle w:val="TableContents"/>
              <w:bidi w:val="0"/>
              <w:spacing w:before="0" w:after="0"/>
              <w:ind w:left="0" w:right="0" w:hanging="0"/>
              <w:jc w:val="center"/>
              <w:rPr/>
            </w:pPr>
            <w:hyperlink w:anchor="notes">
              <w:r>
                <w:rPr>
                  <w:rStyle w:val="InternetLink"/>
                  <w:rFonts w:ascii="Arial;Helvetica;sans-serif" w:hAnsi="Arial;Helvetica;sans-serif"/>
                  <w:caps w:val="false"/>
                  <w:smallCaps w:val="false"/>
                  <w:sz w:val="20"/>
                </w:rPr>
                <w:t>6</w:t>
              </w:r>
            </w:hyperlink>
          </w:p>
        </w:tc>
      </w:tr>
      <w:tr>
        <w:trPr/>
        <w:tc>
          <w:tcPr>
            <w:tcW w:w="7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CCEEFF" w:val="clear"/>
            <w:tcMar>
              <w:bottom w:w="0" w:type="dxa"/>
            </w:tcMar>
            <w:vAlign w:val="center"/>
          </w:tcPr>
          <w:p>
            <w:pPr>
              <w:pStyle w:val="TableContents"/>
              <w:bidi w:val="0"/>
              <w:spacing w:before="0" w:after="0"/>
              <w:ind w:left="0" w:right="0" w:hanging="0"/>
              <w:jc w:val="left"/>
              <w:rPr/>
            </w:pPr>
            <w:hyperlink w:anchor="item_two">
              <w:r>
                <w:rPr>
                  <w:rStyle w:val="InternetLink"/>
                  <w:rFonts w:ascii="Arial;Helvetica;sans-serif" w:hAnsi="Arial;Helvetica;sans-serif"/>
                  <w:caps w:val="false"/>
                  <w:smallCaps w:val="false"/>
                  <w:sz w:val="20"/>
                </w:rPr>
                <w:t>Item 2.</w:t>
              </w:r>
            </w:hyperlink>
          </w:p>
        </w:tc>
        <w:tc>
          <w:tcPr>
            <w:tcW w:w="7760" w:type="dxa"/>
            <w:tcBorders/>
            <w:shd w:fill="CCEEFF" w:val="clear"/>
            <w:tcMar>
              <w:bottom w:w="0" w:type="dxa"/>
            </w:tcMar>
            <w:vAlign w:val="center"/>
          </w:tcPr>
          <w:p>
            <w:pPr>
              <w:pStyle w:val="TableContents"/>
              <w:bidi w:val="0"/>
              <w:spacing w:before="0" w:after="0"/>
              <w:ind w:left="0" w:right="0" w:hanging="0"/>
              <w:jc w:val="left"/>
              <w:rPr/>
            </w:pPr>
            <w:hyperlink w:anchor="item_two">
              <w:r>
                <w:rPr>
                  <w:rStyle w:val="InternetLink"/>
                  <w:rFonts w:ascii="Arial;Helvetica;sans-serif" w:hAnsi="Arial;Helvetica;sans-serif"/>
                  <w:caps w:val="false"/>
                  <w:smallCaps w:val="false"/>
                  <w:sz w:val="20"/>
                </w:rPr>
                <w:t>Management’s Discussion and Analysis of Financial Condition and Results of Operations</w:t>
              </w:r>
            </w:hyperlink>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item_two">
              <w:r>
                <w:rPr>
                  <w:rStyle w:val="InternetLink"/>
                  <w:rFonts w:ascii="Arial;Helvetica;sans-serif" w:hAnsi="Arial;Helvetica;sans-serif"/>
                  <w:caps w:val="false"/>
                  <w:smallCaps w:val="false"/>
                  <w:sz w:val="20"/>
                </w:rPr>
                <w:t>15</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left"/>
              <w:rPr/>
            </w:pPr>
            <w:hyperlink w:anchor="Item_3_Quant">
              <w:r>
                <w:rPr>
                  <w:rStyle w:val="InternetLink"/>
                  <w:rFonts w:ascii="Arial;Helvetica;sans-serif" w:hAnsi="Arial;Helvetica;sans-serif"/>
                  <w:sz w:val="20"/>
                </w:rPr>
                <w:t>Item 3.</w:t>
              </w:r>
            </w:hyperlink>
          </w:p>
        </w:tc>
        <w:tc>
          <w:tcPr>
            <w:tcW w:w="7760" w:type="dxa"/>
            <w:tcBorders/>
            <w:shd w:fill="FFFFFF" w:val="clear"/>
            <w:tcMar>
              <w:bottom w:w="0" w:type="dxa"/>
            </w:tcMar>
            <w:vAlign w:val="center"/>
          </w:tcPr>
          <w:p>
            <w:pPr>
              <w:pStyle w:val="TableContents"/>
              <w:bidi w:val="0"/>
              <w:spacing w:before="0" w:after="283"/>
              <w:jc w:val="left"/>
              <w:rPr/>
            </w:pPr>
            <w:hyperlink w:anchor="Item_3_Quant">
              <w:r>
                <w:rPr>
                  <w:rStyle w:val="InternetLink"/>
                  <w:rFonts w:ascii="Arial;Helvetica;sans-serif" w:hAnsi="Arial;Helvetica;sans-serif"/>
                  <w:sz w:val="20"/>
                </w:rPr>
                <w:t>Quantitative and Qualitative Disclosures About Market Risk</w:t>
              </w:r>
            </w:hyperlink>
          </w:p>
        </w:tc>
        <w:tc>
          <w:tcPr>
            <w:tcW w:w="485" w:type="dxa"/>
            <w:tcBorders/>
            <w:shd w:fill="FFFFFF" w:val="clear"/>
            <w:tcMar>
              <w:bottom w:w="0" w:type="dxa"/>
            </w:tcMar>
            <w:vAlign w:val="center"/>
          </w:tcPr>
          <w:p>
            <w:pPr>
              <w:pStyle w:val="TableContents"/>
              <w:bidi w:val="0"/>
              <w:spacing w:before="0" w:after="283"/>
              <w:jc w:val="center"/>
              <w:rPr/>
            </w:pPr>
            <w:hyperlink w:anchor="Item_3_Quant">
              <w:r>
                <w:rPr>
                  <w:rStyle w:val="InternetLink"/>
                  <w:rFonts w:ascii="Arial;Helvetica;sans-serif" w:hAnsi="Arial;Helvetica;sans-serif"/>
                  <w:sz w:val="20"/>
                </w:rPr>
                <w:t>23</w:t>
              </w:r>
            </w:hyperlink>
          </w:p>
        </w:tc>
      </w:tr>
      <w:tr>
        <w:trPr/>
        <w:tc>
          <w:tcPr>
            <w:tcW w:w="7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CCEEFF" w:val="clear"/>
            <w:tcMar>
              <w:bottom w:w="0" w:type="dxa"/>
            </w:tcMar>
            <w:vAlign w:val="center"/>
          </w:tcPr>
          <w:p>
            <w:pPr>
              <w:pStyle w:val="TableContents"/>
              <w:bidi w:val="0"/>
              <w:spacing w:before="0" w:after="0"/>
              <w:ind w:left="0" w:right="0" w:hanging="0"/>
              <w:jc w:val="left"/>
              <w:rPr/>
            </w:pPr>
            <w:hyperlink w:anchor="item_four">
              <w:r>
                <w:rPr>
                  <w:rStyle w:val="InternetLink"/>
                  <w:rFonts w:ascii="Arial;Helvetica;sans-serif" w:hAnsi="Arial;Helvetica;sans-serif"/>
                  <w:caps w:val="false"/>
                  <w:smallCaps w:val="false"/>
                  <w:sz w:val="20"/>
                </w:rPr>
                <w:t>Item 4.</w:t>
              </w:r>
            </w:hyperlink>
          </w:p>
        </w:tc>
        <w:tc>
          <w:tcPr>
            <w:tcW w:w="7760" w:type="dxa"/>
            <w:tcBorders/>
            <w:shd w:fill="CCEEFF" w:val="clear"/>
            <w:tcMar>
              <w:bottom w:w="0" w:type="dxa"/>
            </w:tcMar>
            <w:vAlign w:val="center"/>
          </w:tcPr>
          <w:p>
            <w:pPr>
              <w:pStyle w:val="TableContents"/>
              <w:bidi w:val="0"/>
              <w:spacing w:before="0" w:after="0"/>
              <w:ind w:left="0" w:right="0" w:hanging="0"/>
              <w:jc w:val="left"/>
              <w:rPr/>
            </w:pPr>
            <w:hyperlink w:anchor="item_four">
              <w:r>
                <w:rPr>
                  <w:rStyle w:val="InternetLink"/>
                  <w:rFonts w:ascii="Arial;Helvetica;sans-serif" w:hAnsi="Arial;Helvetica;sans-serif"/>
                  <w:caps w:val="false"/>
                  <w:smallCaps w:val="false"/>
                  <w:sz w:val="20"/>
                </w:rPr>
                <w:t>Controls and Procedures</w:t>
              </w:r>
            </w:hyperlink>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item_four">
              <w:r>
                <w:rPr>
                  <w:rStyle w:val="InternetLink"/>
                  <w:rFonts w:ascii="Arial;Helvetica;sans-serif" w:hAnsi="Arial;Helvetica;sans-serif"/>
                  <w:caps w:val="false"/>
                  <w:smallCaps w:val="false"/>
                  <w:sz w:val="20"/>
                </w:rPr>
                <w:t>23</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8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40" w:type="dxa"/>
            <w:tcBorders/>
            <w:shd w:fill="CCEEFF" w:val="clear"/>
            <w:tcMar>
              <w:bottom w:w="0" w:type="dxa"/>
            </w:tcMar>
            <w:vAlign w:val="center"/>
          </w:tcPr>
          <w:p>
            <w:pPr>
              <w:pStyle w:val="TableContents"/>
              <w:bidi w:val="0"/>
              <w:spacing w:before="0" w:after="0"/>
              <w:ind w:left="0" w:right="0" w:hanging="0"/>
              <w:jc w:val="both"/>
              <w:rPr/>
            </w:pPr>
            <w:hyperlink w:anchor="part_ii">
              <w:r>
                <w:rPr>
                  <w:rStyle w:val="InternetLink"/>
                  <w:rFonts w:ascii="Arial;Helvetica;sans-serif" w:hAnsi="Arial;Helvetica;sans-serif"/>
                  <w:caps w:val="false"/>
                  <w:smallCaps w:val="false"/>
                  <w:sz w:val="20"/>
                </w:rPr>
                <w:t>PART II</w:t>
              </w:r>
            </w:hyperlink>
          </w:p>
        </w:tc>
        <w:tc>
          <w:tcPr>
            <w:tcW w:w="8530" w:type="dxa"/>
            <w:gridSpan w:val="2"/>
            <w:tcBorders/>
            <w:shd w:fill="CCEEFF" w:val="clear"/>
            <w:tcMar>
              <w:bottom w:w="0" w:type="dxa"/>
            </w:tcMar>
            <w:vAlign w:val="center"/>
          </w:tcPr>
          <w:p>
            <w:pPr>
              <w:pStyle w:val="TableContents"/>
              <w:bidi w:val="0"/>
              <w:spacing w:before="0" w:after="0"/>
              <w:ind w:left="0" w:right="0" w:hanging="0"/>
              <w:jc w:val="left"/>
              <w:rPr/>
            </w:pPr>
            <w:hyperlink w:anchor="part_ii">
              <w:r>
                <w:rPr>
                  <w:rStyle w:val="InternetLink"/>
                  <w:rFonts w:ascii="Arial;Helvetica;sans-serif" w:hAnsi="Arial;Helvetica;sans-serif"/>
                  <w:caps w:val="false"/>
                  <w:smallCaps w:val="false"/>
                  <w:sz w:val="20"/>
                </w:rPr>
                <w:t>OTHER INFORMATION</w:t>
              </w:r>
            </w:hyperlink>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part_ii">
              <w:r>
                <w:rPr>
                  <w:rStyle w:val="InternetLink"/>
                  <w:rFonts w:ascii="Arial;Helvetica;sans-serif" w:hAnsi="Arial;Helvetica;sans-serif"/>
                  <w:caps w:val="false"/>
                  <w:smallCaps w:val="false"/>
                  <w:sz w:val="20"/>
                </w:rPr>
                <w:t>24</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pPr>
            <w:hyperlink w:anchor="legal">
              <w:r>
                <w:rPr>
                  <w:rStyle w:val="InternetLink"/>
                  <w:rFonts w:ascii="Arial;Helvetica;sans-serif" w:hAnsi="Arial;Helvetica;sans-serif"/>
                  <w:caps w:val="false"/>
                  <w:smallCaps w:val="false"/>
                  <w:sz w:val="20"/>
                </w:rPr>
                <w:t>Item 1.</w:t>
              </w:r>
            </w:hyperlink>
          </w:p>
        </w:tc>
        <w:tc>
          <w:tcPr>
            <w:tcW w:w="7760" w:type="dxa"/>
            <w:tcBorders/>
            <w:shd w:fill="FFFFFF" w:val="clear"/>
            <w:tcMar>
              <w:bottom w:w="0" w:type="dxa"/>
            </w:tcMar>
            <w:vAlign w:val="center"/>
          </w:tcPr>
          <w:p>
            <w:pPr>
              <w:pStyle w:val="TableContents"/>
              <w:bidi w:val="0"/>
              <w:spacing w:before="0" w:after="0"/>
              <w:ind w:left="0" w:right="0" w:hanging="0"/>
              <w:jc w:val="left"/>
              <w:rPr/>
            </w:pPr>
            <w:hyperlink w:anchor="legal">
              <w:r>
                <w:rPr>
                  <w:rStyle w:val="InternetLink"/>
                  <w:rFonts w:ascii="Arial;Helvetica;sans-serif" w:hAnsi="Arial;Helvetica;sans-serif"/>
                  <w:caps w:val="false"/>
                  <w:smallCaps w:val="false"/>
                  <w:sz w:val="20"/>
                </w:rPr>
                <w:t>Legal Proceedings</w:t>
              </w:r>
            </w:hyperlink>
          </w:p>
        </w:tc>
        <w:tc>
          <w:tcPr>
            <w:tcW w:w="485" w:type="dxa"/>
            <w:tcBorders/>
            <w:shd w:fill="FFFFFF" w:val="clear"/>
            <w:tcMar>
              <w:bottom w:w="0" w:type="dxa"/>
            </w:tcMar>
            <w:vAlign w:val="center"/>
          </w:tcPr>
          <w:p>
            <w:pPr>
              <w:pStyle w:val="TableContents"/>
              <w:bidi w:val="0"/>
              <w:spacing w:before="0" w:after="0"/>
              <w:ind w:left="0" w:right="0" w:hanging="0"/>
              <w:jc w:val="center"/>
              <w:rPr/>
            </w:pPr>
            <w:hyperlink w:anchor="legal">
              <w:r>
                <w:rPr>
                  <w:rStyle w:val="InternetLink"/>
                  <w:rFonts w:ascii="Arial;Helvetica;sans-serif" w:hAnsi="Arial;Helvetica;sans-serif"/>
                  <w:caps w:val="false"/>
                  <w:smallCaps w:val="false"/>
                  <w:sz w:val="20"/>
                </w:rPr>
                <w:t>24</w:t>
              </w:r>
            </w:hyperlink>
          </w:p>
        </w:tc>
      </w:tr>
      <w:tr>
        <w:trPr/>
        <w:tc>
          <w:tcPr>
            <w:tcW w:w="7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CCEEFF" w:val="clear"/>
            <w:tcMar>
              <w:bottom w:w="0" w:type="dxa"/>
            </w:tcMar>
            <w:vAlign w:val="center"/>
          </w:tcPr>
          <w:p>
            <w:pPr>
              <w:pStyle w:val="TableContents"/>
              <w:bidi w:val="0"/>
              <w:spacing w:before="0" w:after="0"/>
              <w:ind w:left="0" w:right="0" w:hanging="0"/>
              <w:jc w:val="left"/>
              <w:rPr/>
            </w:pPr>
            <w:hyperlink w:anchor="risk">
              <w:r>
                <w:rPr>
                  <w:rStyle w:val="InternetLink"/>
                  <w:rFonts w:ascii="Arial;Helvetica;sans-serif" w:hAnsi="Arial;Helvetica;sans-serif"/>
                  <w:caps w:val="false"/>
                  <w:smallCaps w:val="false"/>
                  <w:sz w:val="20"/>
                </w:rPr>
                <w:t>Item 1A.</w:t>
              </w:r>
            </w:hyperlink>
          </w:p>
        </w:tc>
        <w:tc>
          <w:tcPr>
            <w:tcW w:w="7760" w:type="dxa"/>
            <w:tcBorders/>
            <w:shd w:fill="CCEEFF" w:val="clear"/>
            <w:tcMar>
              <w:bottom w:w="0" w:type="dxa"/>
            </w:tcMar>
            <w:vAlign w:val="center"/>
          </w:tcPr>
          <w:p>
            <w:pPr>
              <w:pStyle w:val="TableContents"/>
              <w:bidi w:val="0"/>
              <w:spacing w:before="0" w:after="0"/>
              <w:ind w:left="0" w:right="0" w:hanging="0"/>
              <w:jc w:val="left"/>
              <w:rPr/>
            </w:pPr>
            <w:hyperlink w:anchor="risk">
              <w:r>
                <w:rPr>
                  <w:rStyle w:val="InternetLink"/>
                  <w:rFonts w:ascii="Arial;Helvetica;sans-serif" w:hAnsi="Arial;Helvetica;sans-serif"/>
                  <w:caps w:val="false"/>
                  <w:smallCaps w:val="false"/>
                  <w:sz w:val="20"/>
                </w:rPr>
                <w:t>Risk Factors</w:t>
              </w:r>
            </w:hyperlink>
          </w:p>
        </w:tc>
        <w:tc>
          <w:tcPr>
            <w:tcW w:w="485" w:type="dxa"/>
            <w:tcBorders/>
            <w:shd w:fill="CCEEFF" w:val="clear"/>
            <w:tcMar>
              <w:bottom w:w="0" w:type="dxa"/>
            </w:tcMar>
            <w:vAlign w:val="center"/>
          </w:tcPr>
          <w:p>
            <w:pPr>
              <w:pStyle w:val="TableContents"/>
              <w:bidi w:val="0"/>
              <w:spacing w:before="0" w:after="0"/>
              <w:ind w:left="0" w:right="0" w:hanging="0"/>
              <w:jc w:val="center"/>
              <w:rPr/>
            </w:pPr>
            <w:hyperlink w:anchor="risk">
              <w:r>
                <w:rPr>
                  <w:rStyle w:val="InternetLink"/>
                  <w:rFonts w:ascii="Arial;Helvetica;sans-serif" w:hAnsi="Arial;Helvetica;sans-serif"/>
                  <w:caps w:val="false"/>
                  <w:smallCaps w:val="false"/>
                  <w:sz w:val="20"/>
                </w:rPr>
                <w:t>24</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pPr>
            <w:hyperlink w:anchor="unregistered">
              <w:r>
                <w:rPr>
                  <w:rStyle w:val="InternetLink"/>
                  <w:rFonts w:ascii="Arial;Helvetica;sans-serif" w:hAnsi="Arial;Helvetica;sans-serif"/>
                  <w:caps w:val="false"/>
                  <w:smallCaps w:val="false"/>
                  <w:sz w:val="20"/>
                </w:rPr>
                <w:t>Item 2.</w:t>
              </w:r>
            </w:hyperlink>
          </w:p>
        </w:tc>
        <w:tc>
          <w:tcPr>
            <w:tcW w:w="7760" w:type="dxa"/>
            <w:tcBorders/>
            <w:shd w:fill="FFFFFF" w:val="clear"/>
            <w:tcMar>
              <w:bottom w:w="0" w:type="dxa"/>
            </w:tcMar>
            <w:vAlign w:val="center"/>
          </w:tcPr>
          <w:p>
            <w:pPr>
              <w:pStyle w:val="TableContents"/>
              <w:bidi w:val="0"/>
              <w:spacing w:before="0" w:after="0"/>
              <w:ind w:left="0" w:right="0" w:hanging="0"/>
              <w:jc w:val="left"/>
              <w:rPr/>
            </w:pPr>
            <w:hyperlink w:anchor="unregistered">
              <w:r>
                <w:rPr>
                  <w:rStyle w:val="InternetLink"/>
                  <w:rFonts w:ascii="Arial;Helvetica;sans-serif" w:hAnsi="Arial;Helvetica;sans-serif"/>
                  <w:caps w:val="false"/>
                  <w:smallCaps w:val="false"/>
                  <w:sz w:val="20"/>
                </w:rPr>
                <w:t>Unregistered Sales of Equity Securities and Use of Proceeds</w:t>
              </w:r>
            </w:hyperlink>
          </w:p>
        </w:tc>
        <w:tc>
          <w:tcPr>
            <w:tcW w:w="485" w:type="dxa"/>
            <w:tcBorders/>
            <w:shd w:fill="FFFFFF" w:val="clear"/>
            <w:tcMar>
              <w:bottom w:w="0" w:type="dxa"/>
            </w:tcMar>
            <w:vAlign w:val="center"/>
          </w:tcPr>
          <w:p>
            <w:pPr>
              <w:pStyle w:val="TableContents"/>
              <w:bidi w:val="0"/>
              <w:spacing w:before="0" w:after="0"/>
              <w:ind w:left="0" w:right="0" w:hanging="0"/>
              <w:jc w:val="center"/>
              <w:rPr/>
            </w:pPr>
            <w:hyperlink w:anchor="unregistered">
              <w:r>
                <w:rPr>
                  <w:rStyle w:val="InternetLink"/>
                  <w:rFonts w:ascii="Arial;Helvetica;sans-serif" w:hAnsi="Arial;Helvetica;sans-serif"/>
                  <w:caps w:val="false"/>
                  <w:smallCaps w:val="false"/>
                  <w:sz w:val="20"/>
                </w:rPr>
                <w:t>24</w:t>
              </w:r>
            </w:hyperlink>
          </w:p>
        </w:tc>
      </w:tr>
      <w:tr>
        <w:trPr/>
        <w:tc>
          <w:tcPr>
            <w:tcW w:w="7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left"/>
              <w:rPr/>
            </w:pPr>
            <w:hyperlink w:anchor="defaults">
              <w:r>
                <w:rPr>
                  <w:rStyle w:val="InternetLink"/>
                  <w:rFonts w:ascii="Arial;Helvetica;sans-serif" w:hAnsi="Arial;Helvetica;sans-serif"/>
                  <w:sz w:val="20"/>
                </w:rPr>
                <w:t>Item 3.</w:t>
              </w:r>
            </w:hyperlink>
          </w:p>
        </w:tc>
        <w:tc>
          <w:tcPr>
            <w:tcW w:w="7760" w:type="dxa"/>
            <w:tcBorders/>
            <w:shd w:fill="CCEEFF" w:val="clear"/>
            <w:tcMar>
              <w:bottom w:w="0" w:type="dxa"/>
            </w:tcMar>
            <w:vAlign w:val="center"/>
          </w:tcPr>
          <w:p>
            <w:pPr>
              <w:pStyle w:val="TableContents"/>
              <w:bidi w:val="0"/>
              <w:spacing w:before="0" w:after="283"/>
              <w:jc w:val="left"/>
              <w:rPr/>
            </w:pPr>
            <w:hyperlink w:anchor="defaults">
              <w:r>
                <w:rPr>
                  <w:rStyle w:val="InternetLink"/>
                  <w:rFonts w:ascii="Arial;Helvetica;sans-serif" w:hAnsi="Arial;Helvetica;sans-serif"/>
                  <w:sz w:val="20"/>
                </w:rPr>
                <w:t>Defaults Upon Senior Securities</w:t>
              </w:r>
            </w:hyperlink>
          </w:p>
        </w:tc>
        <w:tc>
          <w:tcPr>
            <w:tcW w:w="485" w:type="dxa"/>
            <w:tcBorders/>
            <w:shd w:fill="CCEEFF" w:val="clear"/>
            <w:tcMar>
              <w:bottom w:w="0" w:type="dxa"/>
            </w:tcMar>
            <w:vAlign w:val="center"/>
          </w:tcPr>
          <w:p>
            <w:pPr>
              <w:pStyle w:val="TableContents"/>
              <w:bidi w:val="0"/>
              <w:spacing w:before="0" w:after="283"/>
              <w:jc w:val="center"/>
              <w:rPr/>
            </w:pPr>
            <w:hyperlink w:anchor="defaults">
              <w:r>
                <w:rPr>
                  <w:rStyle w:val="InternetLink"/>
                  <w:rFonts w:ascii="Arial;Helvetica;sans-serif" w:hAnsi="Arial;Helvetica;sans-serif"/>
                  <w:sz w:val="20"/>
                </w:rPr>
                <w:t>24</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left"/>
              <w:rPr/>
            </w:pPr>
            <w:hyperlink w:anchor="mine">
              <w:r>
                <w:rPr>
                  <w:rStyle w:val="InternetLink"/>
                  <w:rFonts w:ascii="Arial;Helvetica;sans-serif" w:hAnsi="Arial;Helvetica;sans-serif"/>
                  <w:sz w:val="20"/>
                </w:rPr>
                <w:t>Item 4.</w:t>
              </w:r>
            </w:hyperlink>
          </w:p>
        </w:tc>
        <w:tc>
          <w:tcPr>
            <w:tcW w:w="7760" w:type="dxa"/>
            <w:tcBorders/>
            <w:shd w:fill="FFFFFF" w:val="clear"/>
            <w:tcMar>
              <w:bottom w:w="0" w:type="dxa"/>
            </w:tcMar>
            <w:vAlign w:val="center"/>
          </w:tcPr>
          <w:p>
            <w:pPr>
              <w:pStyle w:val="TableContents"/>
              <w:bidi w:val="0"/>
              <w:spacing w:before="0" w:after="283"/>
              <w:jc w:val="left"/>
              <w:rPr/>
            </w:pPr>
            <w:hyperlink w:anchor="mine">
              <w:r>
                <w:rPr>
                  <w:rStyle w:val="InternetLink"/>
                  <w:rFonts w:ascii="Arial;Helvetica;sans-serif" w:hAnsi="Arial;Helvetica;sans-serif"/>
                  <w:sz w:val="20"/>
                </w:rPr>
                <w:t>Mine Safety Disclosures</w:t>
              </w:r>
            </w:hyperlink>
          </w:p>
        </w:tc>
        <w:tc>
          <w:tcPr>
            <w:tcW w:w="485" w:type="dxa"/>
            <w:tcBorders/>
            <w:shd w:fill="FFFFFF" w:val="clear"/>
            <w:tcMar>
              <w:bottom w:w="0" w:type="dxa"/>
            </w:tcMar>
            <w:vAlign w:val="center"/>
          </w:tcPr>
          <w:p>
            <w:pPr>
              <w:pStyle w:val="TableContents"/>
              <w:bidi w:val="0"/>
              <w:spacing w:before="0" w:after="283"/>
              <w:jc w:val="center"/>
              <w:rPr/>
            </w:pPr>
            <w:hyperlink w:anchor="mine">
              <w:r>
                <w:rPr>
                  <w:rStyle w:val="InternetLink"/>
                  <w:rFonts w:ascii="Arial;Helvetica;sans-serif" w:hAnsi="Arial;Helvetica;sans-serif"/>
                  <w:sz w:val="20"/>
                </w:rPr>
                <w:t>24</w:t>
              </w:r>
            </w:hyperlink>
          </w:p>
        </w:tc>
      </w:tr>
      <w:tr>
        <w:trPr/>
        <w:tc>
          <w:tcPr>
            <w:tcW w:w="7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left"/>
              <w:rPr/>
            </w:pPr>
            <w:hyperlink w:anchor="other">
              <w:r>
                <w:rPr>
                  <w:rStyle w:val="InternetLink"/>
                  <w:rFonts w:ascii="Arial;Helvetica;sans-serif" w:hAnsi="Arial;Helvetica;sans-serif"/>
                  <w:sz w:val="20"/>
                </w:rPr>
                <w:t>Item 5.</w:t>
              </w:r>
            </w:hyperlink>
          </w:p>
        </w:tc>
        <w:tc>
          <w:tcPr>
            <w:tcW w:w="7760" w:type="dxa"/>
            <w:tcBorders/>
            <w:shd w:fill="CCEEFF" w:val="clear"/>
            <w:tcMar>
              <w:bottom w:w="0" w:type="dxa"/>
            </w:tcMar>
            <w:vAlign w:val="center"/>
          </w:tcPr>
          <w:p>
            <w:pPr>
              <w:pStyle w:val="TableContents"/>
              <w:bidi w:val="0"/>
              <w:spacing w:before="0" w:after="283"/>
              <w:jc w:val="left"/>
              <w:rPr/>
            </w:pPr>
            <w:hyperlink w:anchor="other">
              <w:r>
                <w:rPr>
                  <w:rStyle w:val="InternetLink"/>
                  <w:rFonts w:ascii="Arial;Helvetica;sans-serif" w:hAnsi="Arial;Helvetica;sans-serif"/>
                  <w:sz w:val="20"/>
                </w:rPr>
                <w:t>Other Information</w:t>
              </w:r>
            </w:hyperlink>
          </w:p>
        </w:tc>
        <w:tc>
          <w:tcPr>
            <w:tcW w:w="485" w:type="dxa"/>
            <w:tcBorders/>
            <w:shd w:fill="CCEEFF" w:val="clear"/>
            <w:tcMar>
              <w:bottom w:w="0" w:type="dxa"/>
            </w:tcMar>
            <w:vAlign w:val="center"/>
          </w:tcPr>
          <w:p>
            <w:pPr>
              <w:pStyle w:val="TableContents"/>
              <w:bidi w:val="0"/>
              <w:spacing w:before="0" w:after="283"/>
              <w:jc w:val="center"/>
              <w:rPr/>
            </w:pPr>
            <w:hyperlink w:anchor="other">
              <w:r>
                <w:rPr>
                  <w:rStyle w:val="InternetLink"/>
                  <w:rFonts w:ascii="Arial;Helvetica;sans-serif" w:hAnsi="Arial;Helvetica;sans-serif"/>
                  <w:sz w:val="20"/>
                </w:rPr>
                <w:t>24</w:t>
              </w:r>
            </w:hyperlink>
          </w:p>
        </w:tc>
      </w:tr>
      <w:tr>
        <w:trPr/>
        <w:tc>
          <w:tcPr>
            <w:tcW w:w="7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FFFFFF" w:val="clear"/>
            <w:tcMar>
              <w:bottom w:w="0" w:type="dxa"/>
            </w:tcMar>
            <w:vAlign w:val="center"/>
          </w:tcPr>
          <w:p>
            <w:pPr>
              <w:pStyle w:val="TableContents"/>
              <w:bidi w:val="0"/>
              <w:spacing w:before="0" w:after="0"/>
              <w:ind w:left="0" w:right="0" w:hanging="0"/>
              <w:jc w:val="left"/>
              <w:rPr/>
            </w:pPr>
            <w:hyperlink w:anchor="exhibits">
              <w:r>
                <w:rPr>
                  <w:rStyle w:val="InternetLink"/>
                  <w:rFonts w:ascii="Arial;Helvetica;sans-serif" w:hAnsi="Arial;Helvetica;sans-serif"/>
                  <w:caps w:val="false"/>
                  <w:smallCaps w:val="false"/>
                  <w:sz w:val="20"/>
                </w:rPr>
                <w:t>Item 6.</w:t>
              </w:r>
            </w:hyperlink>
          </w:p>
        </w:tc>
        <w:tc>
          <w:tcPr>
            <w:tcW w:w="7760" w:type="dxa"/>
            <w:tcBorders/>
            <w:shd w:fill="FFFFFF" w:val="clear"/>
            <w:tcMar>
              <w:bottom w:w="0" w:type="dxa"/>
            </w:tcMar>
            <w:vAlign w:val="center"/>
          </w:tcPr>
          <w:p>
            <w:pPr>
              <w:pStyle w:val="TableContents"/>
              <w:bidi w:val="0"/>
              <w:spacing w:before="0" w:after="0"/>
              <w:ind w:left="0" w:right="0" w:hanging="0"/>
              <w:jc w:val="left"/>
              <w:rPr/>
            </w:pPr>
            <w:hyperlink w:anchor="exhibits">
              <w:r>
                <w:rPr>
                  <w:rStyle w:val="InternetLink"/>
                  <w:rFonts w:ascii="Arial;Helvetica;sans-serif" w:hAnsi="Arial;Helvetica;sans-serif"/>
                  <w:caps w:val="false"/>
                  <w:smallCaps w:val="false"/>
                  <w:sz w:val="20"/>
                </w:rPr>
                <w:t>Exhibits</w:t>
              </w:r>
            </w:hyperlink>
          </w:p>
        </w:tc>
        <w:tc>
          <w:tcPr>
            <w:tcW w:w="485" w:type="dxa"/>
            <w:tcBorders/>
            <w:shd w:fill="FFFFFF" w:val="clear"/>
            <w:tcMar>
              <w:bottom w:w="0" w:type="dxa"/>
            </w:tcMar>
            <w:vAlign w:val="center"/>
          </w:tcPr>
          <w:p>
            <w:pPr>
              <w:pStyle w:val="TableContents"/>
              <w:bidi w:val="0"/>
              <w:spacing w:before="0" w:after="0"/>
              <w:ind w:left="0" w:right="0" w:hanging="0"/>
              <w:jc w:val="center"/>
              <w:rPr/>
            </w:pPr>
            <w:hyperlink w:anchor="exhibits">
              <w:r>
                <w:rPr>
                  <w:rStyle w:val="InternetLink"/>
                  <w:rFonts w:ascii="Arial;Helvetica;sans-serif" w:hAnsi="Arial;Helvetica;sans-serif"/>
                  <w:caps w:val="false"/>
                  <w:smallCaps w:val="false"/>
                  <w:sz w:val="20"/>
                </w:rPr>
                <w:t>25</w:t>
              </w:r>
            </w:hyperlink>
          </w:p>
        </w:tc>
      </w:tr>
      <w:tr>
        <w:trPr/>
        <w:tc>
          <w:tcPr>
            <w:tcW w:w="7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8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9270" w:type="dxa"/>
            <w:gridSpan w:val="3"/>
            <w:tcBorders>
              <w:bottom w:val="single" w:sz="2" w:space="0" w:color="000000"/>
            </w:tcBorders>
            <w:shd w:fill="FFFFFF" w:val="clear"/>
            <w:vAlign w:val="center"/>
          </w:tcPr>
          <w:p>
            <w:pPr>
              <w:pStyle w:val="TableContents"/>
              <w:bidi w:val="0"/>
              <w:spacing w:before="0" w:after="0"/>
              <w:ind w:left="0" w:right="0" w:hanging="0"/>
              <w:jc w:val="left"/>
              <w:rPr/>
            </w:pPr>
            <w:hyperlink w:anchor="sig">
              <w:r>
                <w:rPr>
                  <w:rStyle w:val="InternetLink"/>
                  <w:rFonts w:ascii="Arial;Helvetica;sans-serif" w:hAnsi="Arial;Helvetica;sans-serif"/>
                  <w:caps w:val="false"/>
                  <w:smallCaps w:val="false"/>
                  <w:sz w:val="20"/>
                </w:rPr>
                <w:t>SIGNATURE</w:t>
              </w:r>
            </w:hyperlink>
          </w:p>
        </w:tc>
        <w:tc>
          <w:tcPr>
            <w:tcW w:w="485" w:type="dxa"/>
            <w:tcBorders>
              <w:bottom w:val="single" w:sz="2" w:space="0" w:color="000000"/>
            </w:tcBorders>
            <w:shd w:fill="FFFFFF" w:val="clear"/>
            <w:vAlign w:val="center"/>
          </w:tcPr>
          <w:p>
            <w:pPr>
              <w:pStyle w:val="TableContents"/>
              <w:bidi w:val="0"/>
              <w:spacing w:before="0" w:after="0"/>
              <w:ind w:left="0" w:right="0" w:hanging="0"/>
              <w:jc w:val="center"/>
              <w:rPr/>
            </w:pPr>
            <w:hyperlink w:anchor="sig">
              <w:r>
                <w:rPr>
                  <w:rStyle w:val="InternetLink"/>
                  <w:rFonts w:ascii="Arial;Helvetica;sans-serif" w:hAnsi="Arial;Helvetica;sans-serif"/>
                  <w:caps w:val="false"/>
                  <w:smallCaps w:val="false"/>
                  <w:sz w:val="20"/>
                </w:rPr>
                <w:t>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This Quarterly Report on Form 10-Q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Statements may be forward looking even in the absence of these particular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Examples of forward-looking statements include, but are not limited to, statements regarding our financial position, business strategy, and other plans and objectives for our future operations, and generation of free cash flow. These forward-looking statements are based on our current expectations and beliefs concerning future developments and their potential effect on us. The forward-looking statements contained herein are largely based on our expectations for the future, which reflect certain estimates and assumptions made by our management. These estimates and assumptions reflect our best judgment based on currently known market conditions, operating trends, and other factors. Although we believe such estimates and assumptions to be reasonable, they are inherently uncertain and involve a number of risks and uncertainties that are beyond our control. As such, management’s assumptions about future events may prove to be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We do not intend to publicly update or revise any forward-looking statements as a result of new information, future events, changes in circumstances, or otherwise. These cautionary statements qualify all forward-looking statements attributable to us, or persons acting on our behalf. Management cautions you that the forward-looking statements contained herein are not guarantees of future performance, and we cannot assure you that such statements will be realized or that the events and circumstances they describe will occur. Factors that could cause actual results to differ materially from those anticipated or implied in the forward-looking statements herein include, but are not limited to, a change in the relationship with any of our key suppliers, including access to premium products, volume discounts, cooperative advertising, markdown allowances, or the ability to cancel orders or return merchandise; our ability to fund our planned capital investments; a recession, volatility in the financial markets, and other global economic factors, including inflation; difficulties in appropriately allocating capital and resources among our strategic opportunities; our ability to realize the expected benefits from acquisitions; business opportunities and expansion; investments; expenses; dividends; share repurchases; cash management; liquidity; cash flow from operations; our ability to access the credit markets at competitive terms; borrowing capacity under our credit facility; repatriation of cash to the United States; supply chain issues; labor shortages and wage pressures; consumer spending levels; the effect of certain governmental assistance programs; expectations regarding increasing global taxes; the effect of increased government regulation, compliance, and changes in law; the effect of the adverse outcome of any material litigation against us or judicial decisions that affect us or our industry generally; the effects of weather; climate change; ESG risks; increased competition; geopolitical events; the financial effect of accounting regulations and critical accounting policies; credit risk relating to the risk of loss as a result of non-performance by our counterparties; and any other factors set forth in the section entitled “Risk Factors” of our most recent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All written and oral forward-looking statements attributable to us are expressly qualified in their entirety by this cautionary statement. A forward-looking statement is neither a prediction nor a guarantee of future events or circumstances, and those future events or circumstances may not occur. You should not place undue reliance on forward-looking statements, which speak to our views only as of the date of this filing. Additional risks and uncertainties that we do not presently know about or that we currently consider to be insignificant may also affect our business operations and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8"/>
        </w:rPr>
      </w:pPr>
      <w:r>
        <w:rPr>
          <w:rFonts w:ascii="Arial;Helvetica;sans-serif" w:hAnsi="Arial;Helvetica;sans-serif"/>
          <w:caps w:val="false"/>
          <w:smallCaps w:val="false"/>
          <w:sz w:val="18"/>
        </w:rPr>
        <w:t>Please refer to “Item 1A. Risk Factors” of our most recent Annual Report on Form 10-K filed with the U.S. Securities and Exchange Commission for a discussion of certain risks relating to our business and any investment in our securities. Given these risks and uncertainties, you should not rely on forward-looking statements as predictions of actual results. Any or all of the forward-looking statements contained in this report, or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b/>
          <w:sz w:val="18"/>
        </w:rPr>
      </w:pPr>
      <w:bookmarkStart w:id="3" w:name="part_one"/>
      <w:bookmarkEnd w:id="3"/>
      <w:r>
        <w:rPr>
          <w:rFonts w:ascii="Arial;Helvetica;sans-serif" w:hAnsi="Arial;Helvetica;sans-serif"/>
          <w:b/>
          <w:sz w:val="18"/>
        </w:rPr>
        <w:t>PART I -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Item 1. Financial Statements</w:t>
      </w:r>
    </w:p>
    <w:p>
      <w:pPr>
        <w:pStyle w:val="TextBody"/>
        <w:bidi w:val="0"/>
        <w:spacing w:before="0" w:after="0"/>
        <w:ind w:left="0" w:right="0" w:hanging="0"/>
        <w:jc w:val="center"/>
        <w:rPr>
          <w:caps w:val="false"/>
          <w:smallCaps w:val="false"/>
        </w:rPr>
      </w:pPr>
      <w:bookmarkStart w:id="4" w:name="bs"/>
      <w:bookmarkEnd w:id="4"/>
      <w:r>
        <w:rPr>
          <w:caps w:val="false"/>
          <w:smallCaps w:val="false"/>
        </w:rPr>
        <w:drawing>
          <wp:inline distT="0" distB="0" distL="0" distR="0">
            <wp:extent cx="2695575" cy="314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9557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CONDENSED CONSOLIDATED BALANCE SHEETS</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59"/>
        <w:gridCol w:w="60"/>
        <w:gridCol w:w="136"/>
        <w:gridCol w:w="531"/>
        <w:gridCol w:w="80"/>
        <w:gridCol w:w="120"/>
        <w:gridCol w:w="136"/>
        <w:gridCol w:w="531"/>
        <w:gridCol w:w="120"/>
        <w:gridCol w:w="60"/>
        <w:gridCol w:w="199"/>
        <w:gridCol w:w="776"/>
        <w:gridCol w:w="97"/>
      </w:tblGrid>
      <w:tr>
        <w:trPr/>
        <w:tc>
          <w:tcPr>
            <w:tcW w:w="735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8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January 28,</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 except share amounts)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359"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ASSETS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35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Current assets: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359"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180</w:t>
            </w:r>
          </w:p>
        </w:tc>
        <w:tc>
          <w:tcPr>
            <w:tcW w:w="8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386</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7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536</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Merchandise inventories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1,831</w:t>
            </w:r>
          </w:p>
        </w:tc>
        <w:tc>
          <w:tcPr>
            <w:tcW w:w="8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1,644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1,643</w:t>
            </w:r>
          </w:p>
        </w:tc>
        <w:tc>
          <w:tcPr>
            <w:tcW w:w="97" w:type="dxa"/>
            <w:tcBorders/>
            <w:shd w:fill="CCEEFF" w:val="clear"/>
            <w:vAlign w:val="center"/>
          </w:tcPr>
          <w:p>
            <w:pPr>
              <w:pStyle w:val="TableContents"/>
              <w:bidi w:val="0"/>
              <w:spacing w:before="0" w:after="283"/>
              <w:jc w:val="left"/>
              <w:rPr/>
            </w:pPr>
            <w:r>
              <w:rPr/>
              <w:t> </w:t>
            </w:r>
          </w:p>
        </w:tc>
      </w:tr>
      <w:tr>
        <w:trPr/>
        <w:tc>
          <w:tcPr>
            <w:tcW w:w="7359" w:type="dxa"/>
            <w:tcBorders>
              <w:bottom w:val="single" w:sz="2" w:space="0" w:color="000000"/>
            </w:tcBorders>
            <w:shd w:fill="FFFFFF" w:val="clear"/>
            <w:tcMar>
              <w:bottom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current assets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285</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342</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359"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2,371</w:t>
            </w:r>
          </w:p>
        </w:tc>
        <w:tc>
          <w:tcPr>
            <w:tcW w:w="8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2,315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2,521</w:t>
            </w:r>
          </w:p>
        </w:tc>
        <w:tc>
          <w:tcPr>
            <w:tcW w:w="97" w:type="dxa"/>
            <w:tcBorders/>
            <w:shd w:fill="CCEEFF" w:val="clear"/>
            <w:vAlign w:val="center"/>
          </w:tcPr>
          <w:p>
            <w:pPr>
              <w:pStyle w:val="TableContents"/>
              <w:bidi w:val="0"/>
              <w:spacing w:before="0" w:after="283"/>
              <w:jc w:val="left"/>
              <w:rPr/>
            </w:pPr>
            <w:r>
              <w:rPr/>
              <w:t> </w:t>
            </w:r>
          </w:p>
        </w:tc>
      </w:tr>
      <w:tr>
        <w:trPr/>
        <w:tc>
          <w:tcPr>
            <w:tcW w:w="735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Property and equipment, net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898</w:t>
            </w:r>
          </w:p>
        </w:tc>
        <w:tc>
          <w:tcPr>
            <w:tcW w:w="8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899</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920</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2,266</w:t>
            </w:r>
          </w:p>
        </w:tc>
        <w:tc>
          <w:tcPr>
            <w:tcW w:w="8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2,443</w:t>
            </w:r>
          </w:p>
        </w:tc>
        <w:tc>
          <w:tcPr>
            <w:tcW w:w="97" w:type="dxa"/>
            <w:tcBorders/>
            <w:shd w:fill="CCEEFF" w:val="clear"/>
            <w:vAlign w:val="center"/>
          </w:tcPr>
          <w:p>
            <w:pPr>
              <w:pStyle w:val="TableContents"/>
              <w:bidi w:val="0"/>
              <w:spacing w:before="0" w:after="283"/>
              <w:jc w:val="left"/>
              <w:rPr/>
            </w:pPr>
            <w:r>
              <w:rPr/>
              <w:t> </w:t>
            </w:r>
          </w:p>
        </w:tc>
      </w:tr>
      <w:tr>
        <w:trPr/>
        <w:tc>
          <w:tcPr>
            <w:tcW w:w="735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Deferred taxes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94</w:t>
            </w:r>
          </w:p>
        </w:tc>
        <w:tc>
          <w:tcPr>
            <w:tcW w:w="8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90</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Goodwill</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774</w:t>
            </w:r>
          </w:p>
        </w:tc>
        <w:tc>
          <w:tcPr>
            <w:tcW w:w="8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773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785</w:t>
            </w:r>
          </w:p>
        </w:tc>
        <w:tc>
          <w:tcPr>
            <w:tcW w:w="97" w:type="dxa"/>
            <w:tcBorders/>
            <w:shd w:fill="CCEEFF" w:val="clear"/>
            <w:vAlign w:val="center"/>
          </w:tcPr>
          <w:p>
            <w:pPr>
              <w:pStyle w:val="TableContents"/>
              <w:bidi w:val="0"/>
              <w:spacing w:before="0" w:after="283"/>
              <w:jc w:val="left"/>
              <w:rPr/>
            </w:pPr>
            <w:r>
              <w:rPr/>
              <w:t> </w:t>
            </w:r>
          </w:p>
        </w:tc>
      </w:tr>
      <w:tr>
        <w:trPr/>
        <w:tc>
          <w:tcPr>
            <w:tcW w:w="735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intangible assets, net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415</w:t>
            </w:r>
          </w:p>
        </w:tc>
        <w:tc>
          <w:tcPr>
            <w:tcW w:w="8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432</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426</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Minority investments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629</w:t>
            </w:r>
          </w:p>
        </w:tc>
        <w:tc>
          <w:tcPr>
            <w:tcW w:w="8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736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630</w:t>
            </w:r>
          </w:p>
        </w:tc>
        <w:tc>
          <w:tcPr>
            <w:tcW w:w="97" w:type="dxa"/>
            <w:tcBorders/>
            <w:shd w:fill="CCEEFF" w:val="clear"/>
            <w:vAlign w:val="center"/>
          </w:tcPr>
          <w:p>
            <w:pPr>
              <w:pStyle w:val="TableContents"/>
              <w:bidi w:val="0"/>
              <w:spacing w:before="0" w:after="283"/>
              <w:jc w:val="left"/>
              <w:rPr/>
            </w:pPr>
            <w:r>
              <w:rPr/>
              <w:t> </w:t>
            </w:r>
          </w:p>
        </w:tc>
      </w:tr>
      <w:tr>
        <w:trPr/>
        <w:tc>
          <w:tcPr>
            <w:tcW w:w="73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assets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113</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92</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3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7,536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7,868</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7,907</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35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35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66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359"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514</w:t>
            </w:r>
          </w:p>
        </w:tc>
        <w:tc>
          <w:tcPr>
            <w:tcW w:w="8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596</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7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492</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Accrued and other liabilities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419</w:t>
            </w:r>
          </w:p>
        </w:tc>
        <w:tc>
          <w:tcPr>
            <w:tcW w:w="8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568</w:t>
            </w:r>
          </w:p>
        </w:tc>
        <w:tc>
          <w:tcPr>
            <w:tcW w:w="97" w:type="dxa"/>
            <w:tcBorders/>
            <w:shd w:fill="CCEEFF" w:val="clear"/>
            <w:vAlign w:val="center"/>
          </w:tcPr>
          <w:p>
            <w:pPr>
              <w:pStyle w:val="TableContents"/>
              <w:bidi w:val="0"/>
              <w:spacing w:before="0" w:after="283"/>
              <w:jc w:val="left"/>
              <w:rPr/>
            </w:pPr>
            <w:r>
              <w:rPr/>
              <w:t> </w:t>
            </w:r>
          </w:p>
        </w:tc>
      </w:tr>
      <w:tr>
        <w:trPr/>
        <w:tc>
          <w:tcPr>
            <w:tcW w:w="7359"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Current portion of debt and obligations under finance leases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8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bottom w:val="single" w:sz="2" w:space="0" w:color="000000"/>
            </w:tcBorders>
            <w:shd w:fill="CCEEFF" w:val="clear"/>
            <w:tcMar>
              <w:bottom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Current portion of lease obligations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548</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544</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35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1,452</w:t>
            </w:r>
          </w:p>
        </w:tc>
        <w:tc>
          <w:tcPr>
            <w:tcW w:w="8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1,585</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1,610</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Long-term debt and obligations under finance leases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444</w:t>
            </w:r>
          </w:p>
        </w:tc>
        <w:tc>
          <w:tcPr>
            <w:tcW w:w="8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446</w:t>
            </w:r>
          </w:p>
        </w:tc>
        <w:tc>
          <w:tcPr>
            <w:tcW w:w="97" w:type="dxa"/>
            <w:tcBorders/>
            <w:shd w:fill="CCEEFF" w:val="clear"/>
            <w:vAlign w:val="center"/>
          </w:tcPr>
          <w:p>
            <w:pPr>
              <w:pStyle w:val="TableContents"/>
              <w:bidi w:val="0"/>
              <w:spacing w:before="0" w:after="283"/>
              <w:jc w:val="left"/>
              <w:rPr/>
            </w:pPr>
            <w:r>
              <w:rPr/>
              <w:t> </w:t>
            </w:r>
          </w:p>
        </w:tc>
      </w:tr>
      <w:tr>
        <w:trPr/>
        <w:tc>
          <w:tcPr>
            <w:tcW w:w="735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Long-term lease obligations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2,071</w:t>
            </w:r>
          </w:p>
        </w:tc>
        <w:tc>
          <w:tcPr>
            <w:tcW w:w="8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2,287</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2,230</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liabilities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330</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328</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35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liabilities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4,289</w:t>
            </w:r>
          </w:p>
        </w:tc>
        <w:tc>
          <w:tcPr>
            <w:tcW w:w="8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4,651</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4,614</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Commitments and contingencies</w:t>
            </w:r>
          </w:p>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pPr>
            <w:r>
              <w:rPr/>
              <w:t> </w:t>
            </w:r>
          </w:p>
        </w:tc>
      </w:tr>
      <w:tr>
        <w:trPr/>
        <w:tc>
          <w:tcPr>
            <w:tcW w:w="735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Common stock and paid-in capital: 94,253,029; 99,319,014; and 93,396,901 shares issued, respectively</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767</w:t>
            </w:r>
          </w:p>
        </w:tc>
        <w:tc>
          <w:tcPr>
            <w:tcW w:w="8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788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760</w:t>
            </w:r>
          </w:p>
        </w:tc>
        <w:tc>
          <w:tcPr>
            <w:tcW w:w="97" w:type="dxa"/>
            <w:tcBorders/>
            <w:shd w:fill="CCEEFF" w:val="clear"/>
            <w:vAlign w:val="center"/>
          </w:tcPr>
          <w:p>
            <w:pPr>
              <w:pStyle w:val="TableContents"/>
              <w:bidi w:val="0"/>
              <w:spacing w:before="0" w:after="283"/>
              <w:jc w:val="left"/>
              <w:rPr/>
            </w:pPr>
            <w:r>
              <w:rPr/>
              <w:t> </w:t>
            </w:r>
          </w:p>
        </w:tc>
      </w:tr>
      <w:tr>
        <w:trPr/>
        <w:tc>
          <w:tcPr>
            <w:tcW w:w="7359"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Retained earnings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2,881</w:t>
            </w:r>
          </w:p>
        </w:tc>
        <w:tc>
          <w:tcPr>
            <w:tcW w:w="8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3,051</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2,925</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(397</w:t>
            </w:r>
          </w:p>
        </w:tc>
        <w:tc>
          <w:tcPr>
            <w:tcW w:w="80" w:type="dxa"/>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(416</w:t>
            </w:r>
          </w:p>
        </w:tc>
        <w:tc>
          <w:tcPr>
            <w:tcW w:w="12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(392</w:t>
            </w:r>
          </w:p>
        </w:tc>
        <w:tc>
          <w:tcPr>
            <w:tcW w:w="97"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7359"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Less: Treasury stock at cost: 98,990; 6,018,197; and 1,489 shares, respectively</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80" w:type="dxa"/>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2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(213</w:t>
            </w:r>
          </w:p>
        </w:tc>
        <w:tc>
          <w:tcPr>
            <w:tcW w:w="12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283"/>
              <w:jc w:val="left"/>
              <w:rPr/>
            </w:pPr>
            <w:r>
              <w:rPr/>
              <w:t> </w:t>
            </w:r>
          </w:p>
        </w:tc>
      </w:tr>
      <w:tr>
        <w:trPr/>
        <w:tc>
          <w:tcPr>
            <w:tcW w:w="7359" w:type="dxa"/>
            <w:tcBorders>
              <w:bottom w:val="single" w:sz="2" w:space="0" w:color="000000"/>
            </w:tcBorders>
            <w:shd w:fill="CCEEFF" w:val="clear"/>
            <w:tcMar>
              <w:bottom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Noncontrolling interest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3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shareholders' equity</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3,247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3,217</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3,293</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3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7,536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7,868</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7,907</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w:t>
            </w:r>
          </w:p>
        </w:tc>
        <w:tc>
          <w:tcPr>
            <w:tcW w:w="1012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The balance sheet at January 28, 2023 has been derived from the previously reported audited consolidated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January 28, 2023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See Accompanying Notes to the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Second Quarter 2023 Form 10-Q Page 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180" w:right="0" w:hanging="180"/>
        <w:jc w:val="center"/>
        <w:rPr/>
      </w:pPr>
      <w:bookmarkStart w:id="5" w:name="sop"/>
      <w:bookmarkEnd w:id="5"/>
      <w:r>
        <w:rPr/>
        <w:drawing>
          <wp:inline distT="0" distB="0" distL="0" distR="0">
            <wp:extent cx="2695575" cy="31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69557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CONDENSED CONSOLIDATED STATEMENTS OF OPERATIONS</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959" w:type="dxa"/>
        <w:jc w:val="left"/>
        <w:tblInd w:w="0" w:type="dxa"/>
        <w:tblLayout w:type="fixed"/>
        <w:tblCellMar>
          <w:top w:w="0" w:type="dxa"/>
          <w:left w:w="0" w:type="dxa"/>
          <w:bottom w:w="28" w:type="dxa"/>
          <w:right w:w="0" w:type="dxa"/>
        </w:tblCellMar>
      </w:tblPr>
      <w:tblGrid>
        <w:gridCol w:w="4670"/>
        <w:gridCol w:w="60"/>
        <w:gridCol w:w="174"/>
        <w:gridCol w:w="675"/>
        <w:gridCol w:w="111"/>
        <w:gridCol w:w="83"/>
        <w:gridCol w:w="174"/>
        <w:gridCol w:w="675"/>
        <w:gridCol w:w="80"/>
        <w:gridCol w:w="60"/>
        <w:gridCol w:w="194"/>
        <w:gridCol w:w="756"/>
        <w:gridCol w:w="124"/>
        <w:gridCol w:w="93"/>
        <w:gridCol w:w="194"/>
        <w:gridCol w:w="756"/>
        <w:gridCol w:w="80"/>
      </w:tblGrid>
      <w:tr>
        <w:trPr/>
        <w:tc>
          <w:tcPr>
            <w:tcW w:w="467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7"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Twenty-six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6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 except per share amounts)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24" w:type="dxa"/>
            <w:tcBorders>
              <w:bottom w:val="single" w:sz="2" w:space="0" w:color="000000"/>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1,861</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2,065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56"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3,788</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56"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4,240</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Licensing revenue</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3</w:t>
            </w:r>
          </w:p>
        </w:tc>
        <w:tc>
          <w:tcPr>
            <w:tcW w:w="11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7</w:t>
            </w:r>
          </w:p>
        </w:tc>
        <w:tc>
          <w:tcPr>
            <w:tcW w:w="12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46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1,864</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2,068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3,795</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4,246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6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6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Cost of 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1,357</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1,411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2,706</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2,846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67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Selling, general and administrative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442</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pPr>
            <w:r>
              <w:rPr/>
              <w:t> </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873</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pPr>
            <w:r>
              <w:rPr/>
              <w:t> </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915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6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50</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101</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6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Impairment and 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53</w:t>
            </w:r>
          </w:p>
        </w:tc>
        <w:tc>
          <w:tcPr>
            <w:tcW w:w="124" w:type="dxa"/>
            <w:tcBorders>
              <w:bottom w:val="single" w:sz="2" w:space="0" w:color="000000"/>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62</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6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6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11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w:t>
            </w:r>
          </w:p>
        </w:tc>
        <w:tc>
          <w:tcPr>
            <w:tcW w:w="124"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46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 (expense), net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24"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46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 (loss)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1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54</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6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tax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23</w:t>
            </w:r>
          </w:p>
        </w:tc>
        <w:tc>
          <w:tcPr>
            <w:tcW w:w="124" w:type="dxa"/>
            <w:tcBorders>
              <w:bottom w:val="single" w:sz="2" w:space="0" w:color="000000"/>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 /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w:t>
            </w:r>
          </w:p>
        </w:tc>
        <w:tc>
          <w:tcPr>
            <w:tcW w:w="11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31</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6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loss attributable to noncontrolling interests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124" w:type="dxa"/>
            <w:tcBorders>
              <w:bottom w:val="single" w:sz="2" w:space="0" w:color="000000"/>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7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Net income / (loss) attributable to Foot Locker, Inc.</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w:t>
            </w:r>
          </w:p>
        </w:tc>
        <w:tc>
          <w:tcPr>
            <w:tcW w:w="111"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31</w:t>
            </w:r>
          </w:p>
        </w:tc>
        <w:tc>
          <w:tcPr>
            <w:tcW w:w="124" w:type="dxa"/>
            <w:tcBorders>
              <w:bottom w:val="double" w:sz="6" w:space="0" w:color="000000"/>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227</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46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67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Basic earnings / (loss)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(0.05</w:t>
            </w:r>
          </w:p>
        </w:tc>
        <w:tc>
          <w:tcPr>
            <w:tcW w:w="11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0.33</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67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Weighted-average shares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94.2</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pPr>
            <w:r>
              <w:rPr/>
              <w:t> </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94.0</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pPr>
            <w:r>
              <w:rPr/>
              <w:t> </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95.1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67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67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 earnings / (loss) per share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(0.05</w:t>
            </w:r>
          </w:p>
        </w:tc>
        <w:tc>
          <w:tcPr>
            <w:tcW w:w="111"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0.99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0.33</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670"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Weighted-average shares outstanding, assuming dilution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94.2</w:t>
            </w:r>
          </w:p>
        </w:tc>
        <w:tc>
          <w:tcPr>
            <w:tcW w:w="111" w:type="dxa"/>
            <w:tcBorders>
              <w:bottom w:val="single" w:sz="2" w:space="0" w:color="000000"/>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95.1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95.0</w:t>
            </w:r>
          </w:p>
        </w:tc>
        <w:tc>
          <w:tcPr>
            <w:tcW w:w="124" w:type="dxa"/>
            <w:tcBorders>
              <w:bottom w:val="single" w:sz="2" w:space="0" w:color="000000"/>
            </w:tcBorders>
            <w:shd w:fill="CCEEFF" w:val="clear"/>
            <w:vAlign w:val="center"/>
          </w:tcPr>
          <w:p>
            <w:pPr>
              <w:pStyle w:val="TableContents"/>
              <w:bidi w:val="0"/>
              <w:spacing w:before="0" w:after="283"/>
              <w:jc w:val="left"/>
              <w:rPr/>
            </w:pPr>
            <w:r>
              <w:rPr/>
              <w:t> </w:t>
            </w:r>
          </w:p>
        </w:tc>
        <w:tc>
          <w:tcPr>
            <w:tcW w:w="93" w:type="dxa"/>
            <w:tcBorders>
              <w:bottom w:val="single" w:sz="2" w:space="0" w:color="000000"/>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96.1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Second Quarter 2023 Form 10-Q Page 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6" w:name="soci"/>
      <w:bookmarkEnd w:id="6"/>
      <w:r>
        <w:rPr/>
        <w:drawing>
          <wp:inline distT="0" distB="0" distL="0" distR="0">
            <wp:extent cx="2695575" cy="314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9557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CONDENSED CONSOLIDATED STATEMENTS OF COMPREHENSIVE INCOME / (LOSS)</w:t>
      </w:r>
    </w:p>
    <w:p>
      <w:pPr>
        <w:pStyle w:val="TextBody"/>
        <w:bidi w:val="0"/>
        <w:spacing w:before="0" w:after="0"/>
        <w:ind w:left="0" w:right="0" w:hanging="0"/>
        <w:jc w:val="center"/>
        <w:rPr>
          <w:rFonts w:ascii="arial" w:hAnsi="arial"/>
          <w:caps w:val="false"/>
          <w:smallCaps w:val="false"/>
          <w:sz w:val="20"/>
        </w:rPr>
      </w:pPr>
      <w:r>
        <w:rPr>
          <w:rFonts w:ascii="arial" w:hAnsi="arial"/>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04"/>
        <w:gridCol w:w="60"/>
        <w:gridCol w:w="214"/>
        <w:gridCol w:w="390"/>
        <w:gridCol w:w="119"/>
        <w:gridCol w:w="89"/>
        <w:gridCol w:w="199"/>
        <w:gridCol w:w="434"/>
        <w:gridCol w:w="80"/>
        <w:gridCol w:w="60"/>
        <w:gridCol w:w="243"/>
        <w:gridCol w:w="368"/>
        <w:gridCol w:w="127"/>
        <w:gridCol w:w="95"/>
        <w:gridCol w:w="199"/>
        <w:gridCol w:w="536"/>
        <w:gridCol w:w="88"/>
      </w:tblGrid>
      <w:tr>
        <w:trPr/>
        <w:tc>
          <w:tcPr>
            <w:tcW w:w="6904" w:type="dxa"/>
            <w:tcBorders>
              <w:bottom w:val="single" w:sz="2" w:space="0" w:color="000000"/>
            </w:tcBorders>
            <w:shd w:fill="FFFFFF" w:val="clear"/>
            <w:vAlign w:val="center"/>
          </w:tcPr>
          <w:p>
            <w:pPr>
              <w:pStyle w:val="TableContents"/>
              <w:bidi w:val="0"/>
              <w:spacing w:before="0" w:after="0"/>
              <w:ind w:left="180" w:right="0" w:hanging="18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45"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68"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Twenty-six weeks ended</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904" w:type="dxa"/>
            <w:tcBorders/>
            <w:shd w:fill="FFFFFF" w:val="clear"/>
            <w:tcMar>
              <w:bottom w:w="0" w:type="dxa"/>
            </w:tcMar>
            <w:vAlign w:val="center"/>
          </w:tcPr>
          <w:p>
            <w:pPr>
              <w:pStyle w:val="TableContents"/>
              <w:bidi w:val="0"/>
              <w:spacing w:before="0" w:after="0"/>
              <w:ind w:left="180" w:right="0" w:hanging="18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19"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633"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27"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c>
          <w:tcPr>
            <w:tcW w:w="73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88" w:type="dxa"/>
            <w:tcBorders/>
            <w:shd w:fill="FFFFFF" w:val="clear"/>
            <w:tcMar>
              <w:bottom w:w="0" w:type="dxa"/>
            </w:tcMar>
            <w:vAlign w:val="center"/>
          </w:tcPr>
          <w:p>
            <w:pPr>
              <w:pStyle w:val="TableContents"/>
              <w:bidi w:val="0"/>
              <w:spacing w:before="0" w:after="283"/>
              <w:jc w:val="left"/>
              <w:rPr/>
            </w:pPr>
            <w:r>
              <w:rPr/>
              <w:t> </w:t>
            </w:r>
          </w:p>
        </w:tc>
      </w:tr>
      <w:tr>
        <w:trPr/>
        <w:tc>
          <w:tcPr>
            <w:tcW w:w="6904" w:type="dxa"/>
            <w:tcBorders>
              <w:bottom w:val="single" w:sz="2" w:space="0" w:color="000000"/>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19" w:type="dxa"/>
            <w:tcBorders>
              <w:bottom w:val="single" w:sz="2" w:space="0" w:color="000000"/>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1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27"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904"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Net income / (loss)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9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w:t>
            </w:r>
          </w:p>
        </w:tc>
        <w:tc>
          <w:tcPr>
            <w:tcW w:w="119"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9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3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6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31</w:t>
            </w:r>
          </w:p>
        </w:tc>
        <w:tc>
          <w:tcPr>
            <w:tcW w:w="127"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c>
          <w:tcPr>
            <w:tcW w:w="19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3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227</w:t>
            </w:r>
          </w:p>
        </w:tc>
        <w:tc>
          <w:tcPr>
            <w:tcW w:w="88" w:type="dxa"/>
            <w:tcBorders/>
            <w:shd w:fill="CCEEFF" w:val="clear"/>
            <w:tcMar>
              <w:bottom w:w="0" w:type="dxa"/>
            </w:tcMar>
            <w:vAlign w:val="center"/>
          </w:tcPr>
          <w:p>
            <w:pPr>
              <w:pStyle w:val="TableContents"/>
              <w:bidi w:val="0"/>
              <w:spacing w:before="0" w:after="283"/>
              <w:jc w:val="left"/>
              <w:rPr/>
            </w:pPr>
            <w:r>
              <w:rPr/>
              <w:t> </w:t>
            </w:r>
          </w:p>
        </w:tc>
      </w:tr>
      <w:tr>
        <w:trPr/>
        <w:tc>
          <w:tcPr>
            <w:tcW w:w="6904"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comprehensive income / (loss), net of income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43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368"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r>
      <w:tr>
        <w:trPr/>
        <w:tc>
          <w:tcPr>
            <w:tcW w:w="6904" w:type="dxa"/>
            <w:tcBorders/>
            <w:shd w:fill="CCEEFF" w:val="clear"/>
            <w:tcMar>
              <w:bottom w:w="0" w:type="dxa"/>
            </w:tcMar>
            <w:vAlign w:val="center"/>
          </w:tcPr>
          <w:p>
            <w:pPr>
              <w:pStyle w:val="TableContents"/>
              <w:bidi w:val="0"/>
              <w:spacing w:before="0" w:after="0"/>
              <w:ind w:left="180" w:right="0" w:hanging="18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9"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633"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11"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7"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c>
          <w:tcPr>
            <w:tcW w:w="73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8" w:type="dxa"/>
            <w:tcBorders/>
            <w:shd w:fill="CCEEFF" w:val="clear"/>
            <w:tcMar>
              <w:bottom w:w="0" w:type="dxa"/>
            </w:tcMar>
            <w:vAlign w:val="center"/>
          </w:tcPr>
          <w:p>
            <w:pPr>
              <w:pStyle w:val="TableContents"/>
              <w:bidi w:val="0"/>
              <w:spacing w:before="0" w:after="283"/>
              <w:jc w:val="left"/>
              <w:rPr/>
            </w:pPr>
            <w:r>
              <w:rPr/>
              <w:t> </w:t>
            </w:r>
          </w:p>
        </w:tc>
      </w:tr>
      <w:tr>
        <w:trPr/>
        <w:tc>
          <w:tcPr>
            <w:tcW w:w="6904"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i/>
                <w:caps w:val="false"/>
                <w:smallCaps w:val="false"/>
                <w:sz w:val="18"/>
              </w:rPr>
            </w:pPr>
            <w:r>
              <w:rPr>
                <w:rFonts w:ascii="Arial;Helvetica;sans-serif" w:hAnsi="Arial;Helvetica;sans-serif"/>
                <w:i/>
                <w:caps w:val="false"/>
                <w:smallCaps w:val="false"/>
                <w:sz w:val="18"/>
              </w:rPr>
              <w:t>Foreign currency translation adjustment: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43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368"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r>
      <w:tr>
        <w:trPr/>
        <w:tc>
          <w:tcPr>
            <w:tcW w:w="6904" w:type="dxa"/>
            <w:tcBorders/>
            <w:shd w:fill="CCEEFF" w:val="clear"/>
            <w:tcMar>
              <w:bottom w:w="0" w:type="dxa"/>
            </w:tcMar>
            <w:vAlign w:val="center"/>
          </w:tcPr>
          <w:p>
            <w:pPr>
              <w:pStyle w:val="TableContents"/>
              <w:bidi w:val="0"/>
              <w:spacing w:before="0" w:after="0"/>
              <w:ind w:left="36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Translation adjustment arising during the period, net of income tax benefit of $-, $-, $-, and $1, respectively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ind w:left="0" w:right="0" w:hanging="0"/>
              <w:jc w:val="left"/>
              <w:rPr/>
            </w:pPr>
            <w:r>
              <w:rPr/>
              <w:t> </w:t>
            </w:r>
          </w:p>
        </w:tc>
        <w:tc>
          <w:tcPr>
            <w:tcW w:w="390" w:type="dxa"/>
            <w:tcBorders/>
            <w:shd w:fill="CCEEFF" w:val="clear"/>
            <w:tcMar>
              <w:bottom w:w="0" w:type="dxa"/>
            </w:tcMar>
            <w:vAlign w:val="center"/>
          </w:tcPr>
          <w:p>
            <w:pPr>
              <w:pStyle w:val="TableContents"/>
              <w:bidi w:val="0"/>
              <w:spacing w:before="0" w:after="283"/>
              <w:ind w:left="0" w:right="0" w:hanging="0"/>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ind w:left="0" w:right="0" w:hanging="0"/>
              <w:jc w:val="left"/>
              <w:rPr/>
            </w:pPr>
            <w:r>
              <w:rPr/>
              <w:t> </w:t>
            </w:r>
          </w:p>
        </w:tc>
        <w:tc>
          <w:tcPr>
            <w:tcW w:w="43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ind w:left="0" w:right="0" w:hanging="0"/>
              <w:jc w:val="left"/>
              <w:rPr/>
            </w:pPr>
            <w:r>
              <w:rPr/>
              <w:t> </w:t>
            </w:r>
          </w:p>
        </w:tc>
        <w:tc>
          <w:tcPr>
            <w:tcW w:w="36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w:t>
            </w:r>
          </w:p>
        </w:tc>
        <w:tc>
          <w:tcPr>
            <w:tcW w:w="127"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ind w:left="0" w:right="0" w:hanging="0"/>
              <w:jc w:val="left"/>
              <w:rPr/>
            </w:pPr>
            <w:r>
              <w:rPr/>
              <w:t> </w:t>
            </w:r>
          </w:p>
        </w:tc>
        <w:tc>
          <w:tcPr>
            <w:tcW w:w="53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(75</w:t>
            </w:r>
          </w:p>
        </w:tc>
        <w:tc>
          <w:tcPr>
            <w:tcW w:w="88"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904" w:type="dxa"/>
            <w:tcBorders/>
            <w:shd w:fill="FFFFFF" w:val="clear"/>
            <w:tcMar>
              <w:bottom w:w="0" w:type="dxa"/>
            </w:tcMar>
            <w:vAlign w:val="center"/>
          </w:tcPr>
          <w:p>
            <w:pPr>
              <w:pStyle w:val="TableContents"/>
              <w:bidi w:val="0"/>
              <w:spacing w:before="0" w:after="0"/>
              <w:ind w:left="180" w:right="0" w:hanging="18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633"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368"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c>
          <w:tcPr>
            <w:tcW w:w="73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8" w:type="dxa"/>
            <w:tcBorders/>
            <w:shd w:fill="FFFFFF" w:val="clear"/>
            <w:tcMar>
              <w:bottom w:w="0" w:type="dxa"/>
            </w:tcMar>
            <w:vAlign w:val="center"/>
          </w:tcPr>
          <w:p>
            <w:pPr>
              <w:pStyle w:val="TableContents"/>
              <w:bidi w:val="0"/>
              <w:spacing w:before="0" w:after="283"/>
              <w:jc w:val="left"/>
              <w:rPr/>
            </w:pPr>
            <w:r>
              <w:rPr/>
              <w:t> </w:t>
            </w:r>
          </w:p>
        </w:tc>
      </w:tr>
      <w:tr>
        <w:trPr/>
        <w:tc>
          <w:tcPr>
            <w:tcW w:w="6904"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i/>
                <w:caps w:val="false"/>
                <w:smallCaps w:val="false"/>
                <w:sz w:val="18"/>
              </w:rPr>
            </w:pPr>
            <w:r>
              <w:rPr>
                <w:rFonts w:ascii="Arial;Helvetica;sans-serif" w:hAnsi="Arial;Helvetica;sans-serif"/>
                <w:i/>
                <w:caps w:val="false"/>
                <w:smallCaps w:val="false"/>
                <w:sz w:val="18"/>
              </w:rPr>
              <w:t>Hedges contracts: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43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368"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r>
      <w:tr>
        <w:trPr/>
        <w:tc>
          <w:tcPr>
            <w:tcW w:w="6904" w:type="dxa"/>
            <w:tcBorders/>
            <w:shd w:fill="FFFFFF" w:val="clear"/>
            <w:tcMar>
              <w:bottom w:w="0" w:type="dxa"/>
            </w:tcMar>
            <w:vAlign w:val="center"/>
          </w:tcPr>
          <w:p>
            <w:pPr>
              <w:pStyle w:val="TableContents"/>
              <w:bidi w:val="0"/>
              <w:spacing w:before="0" w:after="0"/>
              <w:ind w:left="36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Change in fair value of derivatives, net of income tax benefit of $1, $-, $1, and $-, respectively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ind w:left="0" w:right="0" w:hanging="0"/>
              <w:jc w:val="left"/>
              <w:rPr/>
            </w:pPr>
            <w:r>
              <w:rPr/>
              <w:t> </w:t>
            </w:r>
          </w:p>
        </w:tc>
        <w:tc>
          <w:tcPr>
            <w:tcW w:w="39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19"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9"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ind w:left="0" w:right="0" w:hanging="0"/>
              <w:jc w:val="left"/>
              <w:rPr/>
            </w:pPr>
            <w:r>
              <w:rPr/>
              <w:t> </w:t>
            </w:r>
          </w:p>
        </w:tc>
        <w:tc>
          <w:tcPr>
            <w:tcW w:w="43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ind w:left="0" w:right="0" w:hanging="0"/>
              <w:jc w:val="left"/>
              <w:rPr/>
            </w:pPr>
            <w:r>
              <w:rPr/>
              <w:t> </w:t>
            </w:r>
          </w:p>
        </w:tc>
        <w:tc>
          <w:tcPr>
            <w:tcW w:w="36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27"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ind w:left="0" w:right="0" w:hanging="0"/>
              <w:jc w:val="left"/>
              <w:rPr/>
            </w:pPr>
            <w:r>
              <w:rPr/>
              <w:t> </w:t>
            </w:r>
          </w:p>
        </w:tc>
        <w:tc>
          <w:tcPr>
            <w:tcW w:w="53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88"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904" w:type="dxa"/>
            <w:tcBorders/>
            <w:shd w:fill="CCEEFF" w:val="clear"/>
            <w:tcMar>
              <w:bottom w:w="0" w:type="dxa"/>
            </w:tcMar>
            <w:vAlign w:val="center"/>
          </w:tcPr>
          <w:p>
            <w:pPr>
              <w:pStyle w:val="TableContents"/>
              <w:bidi w:val="0"/>
              <w:spacing w:before="0" w:after="0"/>
              <w:ind w:left="180" w:right="0" w:hanging="18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633"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368"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c>
          <w:tcPr>
            <w:tcW w:w="73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8" w:type="dxa"/>
            <w:tcBorders/>
            <w:shd w:fill="CCEEFF" w:val="clear"/>
            <w:tcMar>
              <w:bottom w:w="0" w:type="dxa"/>
            </w:tcMar>
            <w:vAlign w:val="center"/>
          </w:tcPr>
          <w:p>
            <w:pPr>
              <w:pStyle w:val="TableContents"/>
              <w:bidi w:val="0"/>
              <w:spacing w:before="0" w:after="283"/>
              <w:jc w:val="left"/>
              <w:rPr/>
            </w:pPr>
            <w:r>
              <w:rPr/>
              <w:t> </w:t>
            </w:r>
          </w:p>
        </w:tc>
      </w:tr>
      <w:tr>
        <w:trPr/>
        <w:tc>
          <w:tcPr>
            <w:tcW w:w="6904"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i/>
                <w:caps w:val="false"/>
                <w:smallCaps w:val="false"/>
                <w:sz w:val="18"/>
              </w:rPr>
            </w:pPr>
            <w:r>
              <w:rPr>
                <w:rFonts w:ascii="Arial;Helvetica;sans-serif" w:hAnsi="Arial;Helvetica;sans-serif"/>
                <w:i/>
                <w:caps w:val="false"/>
                <w:smallCaps w:val="false"/>
                <w:sz w:val="18"/>
              </w:rPr>
              <w:t>Pension and postretirement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633"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368"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r>
      <w:tr>
        <w:trPr/>
        <w:tc>
          <w:tcPr>
            <w:tcW w:w="6904" w:type="dxa"/>
            <w:tcBorders>
              <w:bottom w:val="single" w:sz="2" w:space="0" w:color="000000"/>
            </w:tcBorders>
            <w:shd w:fill="CCEEFF" w:val="clear"/>
            <w:vAlign w:val="center"/>
          </w:tcPr>
          <w:p>
            <w:pPr>
              <w:pStyle w:val="TableContents"/>
              <w:bidi w:val="0"/>
              <w:spacing w:before="0" w:after="0"/>
              <w:ind w:left="36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net actuarial gain/loss and prior service cost included in net periodic benefit costs, net of income tax expense of $-, $-, $1, and $1, respectively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19" w:type="dxa"/>
            <w:tcBorders>
              <w:bottom w:val="single" w:sz="2" w:space="0" w:color="000000"/>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3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6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127" w:type="dxa"/>
            <w:tcBorders>
              <w:bottom w:val="single" w:sz="2" w:space="0" w:color="000000"/>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88"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904" w:type="dxa"/>
            <w:tcBorders>
              <w:bottom w:val="double" w:sz="6" w:space="0" w:color="000000"/>
            </w:tcBorders>
            <w:shd w:fill="FFFFFF" w:val="clear"/>
            <w:vAlign w:val="center"/>
          </w:tcPr>
          <w:p>
            <w:pPr>
              <w:pStyle w:val="TableContents"/>
              <w:bidi w:val="0"/>
              <w:spacing w:before="0" w:after="0"/>
              <w:ind w:left="180" w:right="0" w:hanging="18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Comprehensive income / (loss)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9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119"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9"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34"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6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26</w:t>
            </w:r>
          </w:p>
        </w:tc>
        <w:tc>
          <w:tcPr>
            <w:tcW w:w="127" w:type="dxa"/>
            <w:tcBorders>
              <w:bottom w:val="double" w:sz="6" w:space="0" w:color="000000"/>
            </w:tcBorders>
            <w:shd w:fill="FFFFFF" w:val="clear"/>
            <w:vAlign w:val="center"/>
          </w:tcPr>
          <w:p>
            <w:pPr>
              <w:pStyle w:val="TableContents"/>
              <w:bidi w:val="0"/>
              <w:spacing w:before="0" w:after="283"/>
              <w:jc w:val="left"/>
              <w:rPr/>
            </w:pPr>
            <w:r>
              <w:rPr/>
              <w:t> </w:t>
            </w:r>
          </w:p>
        </w:tc>
        <w:tc>
          <w:tcPr>
            <w:tcW w:w="95"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36"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154</w:t>
            </w:r>
          </w:p>
        </w:tc>
        <w:tc>
          <w:tcPr>
            <w:tcW w:w="88"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caps w:val="false"/>
          <w:smallCaps w:val="false"/>
          <w:sz w:val="18"/>
        </w:rPr>
      </w:pPr>
      <w:r>
        <w:rPr>
          <w:rFonts w:ascii="arial" w:hAnsi="arial"/>
          <w:caps w:val="false"/>
          <w:smallCaps w:val="false"/>
          <w:sz w:val="18"/>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Second Quarter 2023 Form 10-Q Page 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pPr>
      <w:bookmarkStart w:id="7" w:name="se"/>
      <w:bookmarkEnd w:id="7"/>
      <w:r>
        <w:rPr/>
        <w:drawing>
          <wp:inline distT="0" distB="0" distL="0" distR="0">
            <wp:extent cx="2695575" cy="314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69557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b/>
          <w:caps w:val="false"/>
          <w:smallCaps w:val="false"/>
          <w:sz w:val="16"/>
        </w:rPr>
        <w:t>CONDENSED CONSOLIDATED STATEMENTS OF CHANGES IN SHAREHOLDERS</w:t>
      </w:r>
      <w:r>
        <w:rPr>
          <w:rFonts w:ascii="Arial;Helvetica;sans-serif" w:hAnsi="Arial;Helvetica;sans-serif"/>
          <w:caps w:val="false"/>
          <w:smallCaps w:val="false"/>
          <w:sz w:val="16"/>
        </w:rPr>
        <w:t xml:space="preserve">’ </w:t>
      </w:r>
      <w:r>
        <w:rPr>
          <w:rFonts w:ascii="Arial;Helvetica;sans-serif" w:hAnsi="Arial;Helvetica;sans-serif"/>
          <w:b/>
          <w:caps w:val="false"/>
          <w:smallCaps w:val="false"/>
          <w:sz w:val="16"/>
        </w:rPr>
        <w:t>EQUITY</w:t>
      </w:r>
    </w:p>
    <w:p>
      <w:pPr>
        <w:pStyle w:val="TextBody"/>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2"/>
        <w:gridCol w:w="60"/>
        <w:gridCol w:w="69"/>
        <w:gridCol w:w="510"/>
        <w:gridCol w:w="69"/>
        <w:gridCol w:w="69"/>
        <w:gridCol w:w="133"/>
        <w:gridCol w:w="367"/>
        <w:gridCol w:w="65"/>
        <w:gridCol w:w="60"/>
        <w:gridCol w:w="60"/>
        <w:gridCol w:w="415"/>
        <w:gridCol w:w="65"/>
        <w:gridCol w:w="60"/>
        <w:gridCol w:w="123"/>
        <w:gridCol w:w="377"/>
        <w:gridCol w:w="65"/>
        <w:gridCol w:w="60"/>
        <w:gridCol w:w="121"/>
        <w:gridCol w:w="469"/>
        <w:gridCol w:w="65"/>
        <w:gridCol w:w="60"/>
        <w:gridCol w:w="248"/>
        <w:gridCol w:w="762"/>
        <w:gridCol w:w="65"/>
        <w:gridCol w:w="60"/>
        <w:gridCol w:w="254"/>
        <w:gridCol w:w="696"/>
        <w:gridCol w:w="60"/>
        <w:gridCol w:w="60"/>
        <w:gridCol w:w="185"/>
        <w:gridCol w:w="714"/>
        <w:gridCol w:w="67"/>
      </w:tblGrid>
      <w:tr>
        <w:trPr/>
        <w:tc>
          <w:tcPr>
            <w:tcW w:w="369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17"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Additional Paid-In</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Accumulated</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7" w:type="dxa"/>
            <w:tcBorders/>
            <w:shd w:fill="FFFFFF" w:val="cle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17"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Capital &amp;</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Other</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Total</w:t>
            </w:r>
          </w:p>
        </w:tc>
        <w:tc>
          <w:tcPr>
            <w:tcW w:w="67" w:type="dxa"/>
            <w:tcBorders/>
            <w:shd w:fill="FFFFFF" w:val="cle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Thirteen weeks ended</w:t>
            </w:r>
          </w:p>
        </w:tc>
        <w:tc>
          <w:tcPr>
            <w:tcW w:w="60" w:type="dxa"/>
            <w:tcBorders/>
            <w:shd w:fill="FFFFFF" w:val="clear"/>
            <w:vAlign w:val="center"/>
          </w:tcPr>
          <w:p>
            <w:pPr>
              <w:pStyle w:val="TableContents"/>
              <w:bidi w:val="0"/>
              <w:spacing w:before="0" w:after="283"/>
              <w:ind w:left="0" w:right="0" w:hanging="0"/>
              <w:jc w:val="left"/>
              <w:rPr/>
            </w:pPr>
            <w:r>
              <w:rPr/>
              <w:t> </w:t>
            </w:r>
          </w:p>
        </w:tc>
        <w:tc>
          <w:tcPr>
            <w:tcW w:w="121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Common Stock</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Treasury Stock</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Retained</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Comprehensive</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Noncontrolling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Shareholders'</w:t>
            </w:r>
          </w:p>
        </w:tc>
        <w:tc>
          <w:tcPr>
            <w:tcW w:w="67" w:type="dxa"/>
            <w:tcBorders/>
            <w:shd w:fill="FFFFFF" w:val="clear"/>
            <w:vAlign w:val="center"/>
          </w:tcPr>
          <w:p>
            <w:pPr>
              <w:pStyle w:val="TableContents"/>
              <w:bidi w:val="0"/>
              <w:spacing w:before="0" w:after="283"/>
              <w:jc w:val="left"/>
              <w:rPr/>
            </w:pPr>
            <w:r>
              <w:rPr/>
              <w:t> </w:t>
            </w:r>
          </w:p>
        </w:tc>
      </w:tr>
      <w:tr>
        <w:trPr/>
        <w:tc>
          <w:tcPr>
            <w:tcW w:w="36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(shares in thousands, $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Shares</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Amount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Shares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Amount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Earnings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Loss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interests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Equity</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92"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4"/>
              </w:rPr>
            </w:pPr>
            <w:r>
              <w:rPr>
                <w:rFonts w:ascii="Arial;Helvetica;sans-serif" w:hAnsi="Arial;Helvetica;sans-serif"/>
                <w:b/>
                <w:caps w:val="false"/>
                <w:smallCaps w:val="false"/>
                <w:sz w:val="14"/>
              </w:rPr>
              <w:t>Balance at April 29, 2023</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94,176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367"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766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5"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(261</w:t>
            </w:r>
          </w:p>
        </w:tc>
        <w:tc>
          <w:tcPr>
            <w:tcW w:w="65" w:type="dxa"/>
            <w:tcBorders/>
            <w:shd w:fill="CCEEFF" w:val="cle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3"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377"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(10</w:t>
            </w:r>
          </w:p>
        </w:tc>
        <w:tc>
          <w:tcPr>
            <w:tcW w:w="65" w:type="dxa"/>
            <w:tcBorders/>
            <w:shd w:fill="CCEEFF" w:val="cle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1"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469"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2,923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762"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(396</w:t>
            </w:r>
          </w:p>
        </w:tc>
        <w:tc>
          <w:tcPr>
            <w:tcW w:w="65" w:type="dxa"/>
            <w:tcBorders/>
            <w:shd w:fill="CCEEFF" w:val="cle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69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714"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3,283</w:t>
            </w:r>
          </w:p>
        </w:tc>
        <w:tc>
          <w:tcPr>
            <w:tcW w:w="67" w:type="dxa"/>
            <w:tcBorders/>
            <w:shd w:fill="CCEEFF" w:val="cle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Restricted stock issued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25</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367" w:type="dxa"/>
            <w:tcBorders/>
            <w:shd w:fill="FFFFFF" w:val="clear"/>
            <w:vAlign w:val="center"/>
          </w:tcPr>
          <w:p>
            <w:pPr>
              <w:pStyle w:val="TableContents"/>
              <w:bidi w:val="0"/>
              <w:spacing w:before="0" w:after="283"/>
              <w:ind w:left="0" w:right="0" w:hanging="0"/>
              <w:jc w:val="right"/>
              <w:rPr/>
            </w:pPr>
            <w:r>
              <w:rPr>
                <w:rStyle w:val="Emphasis"/>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pPr>
            <w:r>
              <w:rPr/>
              <w:t>—</w:t>
            </w:r>
          </w:p>
        </w:tc>
        <w:tc>
          <w:tcPr>
            <w:tcW w:w="67" w:type="dxa"/>
            <w:tcBorders/>
            <w:shd w:fill="FFFFFF" w:val="clear"/>
            <w:vAlign w:val="center"/>
          </w:tcPr>
          <w:p>
            <w:pPr>
              <w:pStyle w:val="TableContents"/>
              <w:bidi w:val="0"/>
              <w:spacing w:before="0" w:after="283"/>
              <w:jc w:val="left"/>
              <w:rPr/>
            </w:pPr>
            <w:r>
              <w:rPr/>
              <w:t> </w:t>
            </w:r>
          </w:p>
        </w:tc>
      </w:tr>
      <w:tr>
        <w:trPr/>
        <w:tc>
          <w:tcPr>
            <w:tcW w:w="369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Issued under director and stock plans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52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367"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w:t>
            </w:r>
          </w:p>
        </w:tc>
        <w:tc>
          <w:tcPr>
            <w:tcW w:w="67" w:type="dxa"/>
            <w:tcBorders/>
            <w:shd w:fill="CCEEFF" w:val="cle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367"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w:t>
            </w:r>
          </w:p>
        </w:tc>
        <w:tc>
          <w:tcPr>
            <w:tcW w:w="67" w:type="dxa"/>
            <w:tcBorders/>
            <w:shd w:fill="FFFFFF" w:val="clear"/>
            <w:vAlign w:val="center"/>
          </w:tcPr>
          <w:p>
            <w:pPr>
              <w:pStyle w:val="TableContents"/>
              <w:bidi w:val="0"/>
              <w:spacing w:before="0" w:after="283"/>
              <w:jc w:val="left"/>
              <w:rPr/>
            </w:pPr>
            <w:r>
              <w:rPr/>
              <w:t> </w:t>
            </w:r>
          </w:p>
        </w:tc>
      </w:tr>
      <w:tr>
        <w:trPr/>
        <w:tc>
          <w:tcPr>
            <w:tcW w:w="3692" w:type="dxa"/>
            <w:tcBorders/>
            <w:shd w:fill="CCEEFF" w:val="clear"/>
            <w:vAlign w:val="center"/>
          </w:tcPr>
          <w:p>
            <w:pPr>
              <w:pStyle w:val="TableContents"/>
              <w:bidi w:val="0"/>
              <w:spacing w:before="0" w:after="0"/>
              <w:ind w:left="540" w:right="0" w:hanging="540"/>
              <w:jc w:val="left"/>
              <w:rPr>
                <w:rFonts w:ascii="Arial;Helvetica;sans-serif" w:hAnsi="Arial;Helvetica;sans-serif"/>
                <w:sz w:val="14"/>
              </w:rPr>
            </w:pPr>
            <w:r>
              <w:rPr>
                <w:rFonts w:ascii="Arial;Helvetica;sans-serif" w:hAnsi="Arial;Helvetica;sans-serif"/>
                <w:sz w:val="14"/>
              </w:rPr>
              <w:t>Shares of common stock used to satisfy tax withholding obligations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rStyle w:val="Emphasis"/>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5"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(5</w:t>
            </w:r>
          </w:p>
        </w:tc>
        <w:tc>
          <w:tcPr>
            <w:tcW w:w="65" w:type="dxa"/>
            <w:tcBorders/>
            <w:shd w:fill="CCEE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377"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pPr>
            <w:r>
              <w:rPr/>
              <w:t>—</w:t>
            </w:r>
          </w:p>
        </w:tc>
        <w:tc>
          <w:tcPr>
            <w:tcW w:w="67" w:type="dxa"/>
            <w:tcBorders/>
            <w:shd w:fill="CCEEFF" w:val="cle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Reissued for Employee Stock Purchase Plan</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367"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(3</w:t>
            </w:r>
          </w:p>
        </w:tc>
        <w:tc>
          <w:tcPr>
            <w:tcW w:w="65"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167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377"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3</w:t>
            </w:r>
          </w:p>
        </w:tc>
        <w:tc>
          <w:tcPr>
            <w:tcW w:w="67" w:type="dxa"/>
            <w:tcBorders/>
            <w:shd w:fill="FFFFFF" w:val="clear"/>
            <w:vAlign w:val="center"/>
          </w:tcPr>
          <w:p>
            <w:pPr>
              <w:pStyle w:val="TableContents"/>
              <w:bidi w:val="0"/>
              <w:spacing w:before="0" w:after="283"/>
              <w:jc w:val="left"/>
              <w:rPr/>
            </w:pPr>
            <w:r>
              <w:rPr/>
              <w:t> </w:t>
            </w:r>
          </w:p>
        </w:tc>
      </w:tr>
      <w:tr>
        <w:trPr/>
        <w:tc>
          <w:tcPr>
            <w:tcW w:w="369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Net income / (loss)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rStyle w:val="Emphasis"/>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469"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(5</w:t>
            </w:r>
          </w:p>
        </w:tc>
        <w:tc>
          <w:tcPr>
            <w:tcW w:w="65" w:type="dxa"/>
            <w:tcBorders/>
            <w:shd w:fill="CCEE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(5</w:t>
            </w:r>
          </w:p>
        </w:tc>
        <w:tc>
          <w:tcPr>
            <w:tcW w:w="67" w:type="dxa"/>
            <w:tcBorders/>
            <w:shd w:fill="CCEE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r>
      <w:tr>
        <w:trPr/>
        <w:tc>
          <w:tcPr>
            <w:tcW w:w="369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Cash dividends on common stock ($0.40 per share)</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469"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(37</w:t>
            </w:r>
          </w:p>
        </w:tc>
        <w:tc>
          <w:tcPr>
            <w:tcW w:w="65"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(37</w:t>
            </w:r>
          </w:p>
        </w:tc>
        <w:tc>
          <w:tcPr>
            <w:tcW w:w="67"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r>
      <w:tr>
        <w:trPr/>
        <w:tc>
          <w:tcPr>
            <w:tcW w:w="3692"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Translation adjustment, net of tax</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rStyle w:val="Emphasis"/>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pPr>
            <w:r>
              <w:rPr/>
              <w:t>—</w:t>
            </w:r>
          </w:p>
        </w:tc>
        <w:tc>
          <w:tcPr>
            <w:tcW w:w="67" w:type="dxa"/>
            <w:tcBorders/>
            <w:shd w:fill="CCEEFF" w:val="cle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Change in cash flow hedges, net of tax</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pPr>
            <w:r>
              <w:rPr>
                <w:rStyle w:val="Emphasis"/>
                <w:rFonts w:ascii="Arial;Helvetica;sans-serif" w:hAnsi="Arial;Helvetica;sans-serif"/>
                <w:sz w:val="14"/>
              </w:rPr>
              <w:t>(3</w:t>
            </w:r>
          </w:p>
        </w:tc>
        <w:tc>
          <w:tcPr>
            <w:tcW w:w="65"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(3</w:t>
            </w:r>
          </w:p>
        </w:tc>
        <w:tc>
          <w:tcPr>
            <w:tcW w:w="67"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r>
      <w:tr>
        <w:trPr/>
        <w:tc>
          <w:tcPr>
            <w:tcW w:w="36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Pension and postretirement adjustments, net of tax</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67"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15"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77"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69"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14"/>
              </w:rPr>
            </w:pPr>
            <w:r>
              <w:rPr>
                <w:rFonts w:ascii="Arial;Helvetica;sans-serif" w:hAnsi="Arial;Helvetica;sans-serif"/>
                <w:b/>
                <w:caps w:val="false"/>
                <w:smallCaps w:val="false"/>
                <w:sz w:val="14"/>
              </w:rPr>
              <w:t>Balance at July 29,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94,253</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3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767</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(99</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(4</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4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2,881</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7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(397</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7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3,247</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9" w:type="dxa"/>
            <w:gridSpan w:val="2"/>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5" w:type="dxa"/>
            <w:gridSpan w:val="2"/>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gridSpan w:val="2"/>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gridSpan w:val="2"/>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92"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April 30, 2022</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99,233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367"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779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5"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(4,732</w:t>
            </w:r>
          </w:p>
        </w:tc>
        <w:tc>
          <w:tcPr>
            <w:tcW w:w="65" w:type="dxa"/>
            <w:tcBorders/>
            <w:shd w:fill="CCEEFF" w:val="cle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3"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377"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(178</w:t>
            </w:r>
          </w:p>
        </w:tc>
        <w:tc>
          <w:tcPr>
            <w:tcW w:w="65" w:type="dxa"/>
            <w:tcBorders/>
            <w:shd w:fill="CCEEFF" w:val="cle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1"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469"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2,995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762"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(384</w:t>
            </w:r>
          </w:p>
        </w:tc>
        <w:tc>
          <w:tcPr>
            <w:tcW w:w="65" w:type="dxa"/>
            <w:tcBorders/>
            <w:shd w:fill="CCEEFF" w:val="cle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696"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714"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3,215</w:t>
            </w:r>
          </w:p>
        </w:tc>
        <w:tc>
          <w:tcPr>
            <w:tcW w:w="67" w:type="dxa"/>
            <w:tcBorders/>
            <w:shd w:fill="CCEEFF" w:val="cle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Restricted stock issued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23</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367" w:type="dxa"/>
            <w:tcBorders/>
            <w:shd w:fill="FFFFFF" w:val="clear"/>
            <w:vAlign w:val="center"/>
          </w:tcPr>
          <w:p>
            <w:pPr>
              <w:pStyle w:val="TableContents"/>
              <w:bidi w:val="0"/>
              <w:spacing w:before="0" w:after="283"/>
              <w:ind w:left="0" w:right="0" w:hanging="0"/>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pPr>
            <w:r>
              <w:rPr/>
              <w:t>—</w:t>
            </w:r>
          </w:p>
        </w:tc>
        <w:tc>
          <w:tcPr>
            <w:tcW w:w="67" w:type="dxa"/>
            <w:tcBorders/>
            <w:shd w:fill="FFFFFF" w:val="clear"/>
            <w:vAlign w:val="center"/>
          </w:tcPr>
          <w:p>
            <w:pPr>
              <w:pStyle w:val="TableContents"/>
              <w:bidi w:val="0"/>
              <w:spacing w:before="0" w:after="283"/>
              <w:jc w:val="left"/>
              <w:rPr/>
            </w:pPr>
            <w:r>
              <w:rPr/>
              <w:t> </w:t>
            </w:r>
          </w:p>
        </w:tc>
      </w:tr>
      <w:tr>
        <w:trPr/>
        <w:tc>
          <w:tcPr>
            <w:tcW w:w="3692"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Issued under director and stock plans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63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367"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w:t>
            </w:r>
          </w:p>
        </w:tc>
        <w:tc>
          <w:tcPr>
            <w:tcW w:w="67" w:type="dxa"/>
            <w:tcBorders/>
            <w:shd w:fill="CCEEFF" w:val="cle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Share-based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69" w:type="dxa"/>
            <w:tcBorders/>
            <w:shd w:fill="FFFFFF" w:val="clear"/>
            <w:vAlign w:val="center"/>
          </w:tcPr>
          <w:p>
            <w:pPr>
              <w:pStyle w:val="TableContents"/>
              <w:bidi w:val="0"/>
              <w:spacing w:before="0" w:after="283"/>
              <w:ind w:left="0" w:right="0" w:hanging="0"/>
              <w:jc w:val="right"/>
              <w:rPr/>
            </w:pPr>
            <w:r>
              <w:rPr/>
              <w:t>​</w:t>
            </w:r>
          </w:p>
        </w:tc>
        <w:tc>
          <w:tcPr>
            <w:tcW w:w="510" w:type="dxa"/>
            <w:tcBorders/>
            <w:shd w:fill="FFFFFF" w:val="clear"/>
            <w:vAlign w:val="center"/>
          </w:tcPr>
          <w:p>
            <w:pPr>
              <w:pStyle w:val="TableContents"/>
              <w:bidi w:val="0"/>
              <w:spacing w:before="0" w:after="283"/>
              <w:jc w:val="righ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367"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9</w:t>
            </w:r>
          </w:p>
        </w:tc>
        <w:tc>
          <w:tcPr>
            <w:tcW w:w="67" w:type="dxa"/>
            <w:tcBorders/>
            <w:shd w:fill="FFFFFF" w:val="clear"/>
            <w:vAlign w:val="center"/>
          </w:tcPr>
          <w:p>
            <w:pPr>
              <w:pStyle w:val="TableContents"/>
              <w:bidi w:val="0"/>
              <w:spacing w:before="0" w:after="283"/>
              <w:jc w:val="left"/>
              <w:rPr/>
            </w:pPr>
            <w:r>
              <w:rPr/>
              <w:t> </w:t>
            </w:r>
          </w:p>
        </w:tc>
      </w:tr>
      <w:tr>
        <w:trPr/>
        <w:tc>
          <w:tcPr>
            <w:tcW w:w="3692"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Shares of common stock used to satisfy tax withholding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69" w:type="dxa"/>
            <w:tcBorders/>
            <w:shd w:fill="CCEEFF" w:val="clear"/>
            <w:vAlign w:val="center"/>
          </w:tcPr>
          <w:p>
            <w:pPr>
              <w:pStyle w:val="TableContents"/>
              <w:bidi w:val="0"/>
              <w:spacing w:before="0" w:after="283"/>
              <w:ind w:left="0" w:right="0" w:hanging="0"/>
              <w:jc w:val="right"/>
              <w:rPr/>
            </w:pPr>
            <w:r>
              <w:rPr/>
              <w:t>​</w:t>
            </w:r>
          </w:p>
        </w:tc>
        <w:tc>
          <w:tcPr>
            <w:tcW w:w="510" w:type="dxa"/>
            <w:tcBorders/>
            <w:shd w:fill="CCEEFF" w:val="clear"/>
            <w:vAlign w:val="center"/>
          </w:tcPr>
          <w:p>
            <w:pPr>
              <w:pStyle w:val="TableContents"/>
              <w:bidi w:val="0"/>
              <w:spacing w:before="0" w:after="283"/>
              <w:jc w:val="right"/>
              <w:rPr/>
            </w:pPr>
            <w:r>
              <w:rPr>
                <w:rStyle w:val="Emphasis"/>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5"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(6</w:t>
            </w:r>
          </w:p>
        </w:tc>
        <w:tc>
          <w:tcPr>
            <w:tcW w:w="65" w:type="dxa"/>
            <w:tcBorders/>
            <w:shd w:fill="CCEE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377"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pPr>
            <w:r>
              <w:rPr/>
              <w:t>—</w:t>
            </w:r>
          </w:p>
        </w:tc>
        <w:tc>
          <w:tcPr>
            <w:tcW w:w="67" w:type="dxa"/>
            <w:tcBorders/>
            <w:shd w:fill="CCEEFF" w:val="cle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Share repurchases</w:t>
            </w:r>
          </w:p>
        </w:tc>
        <w:tc>
          <w:tcPr>
            <w:tcW w:w="60" w:type="dxa"/>
            <w:tcBorders/>
            <w:shd w:fill="FFFFFF" w:val="clear"/>
            <w:vAlign w:val="center"/>
          </w:tcPr>
          <w:p>
            <w:pPr>
              <w:pStyle w:val="TableContents"/>
              <w:bidi w:val="0"/>
              <w:spacing w:before="0" w:after="283"/>
              <w:ind w:left="0" w:right="0" w:hanging="0"/>
              <w:jc w:val="left"/>
              <w:rPr/>
            </w:pPr>
            <w:r>
              <w:rPr/>
              <w:t> </w:t>
            </w:r>
          </w:p>
        </w:tc>
        <w:tc>
          <w:tcPr>
            <w:tcW w:w="69" w:type="dxa"/>
            <w:tcBorders/>
            <w:shd w:fill="FFFFFF" w:val="clear"/>
            <w:vAlign w:val="center"/>
          </w:tcPr>
          <w:p>
            <w:pPr>
              <w:pStyle w:val="TableContents"/>
              <w:bidi w:val="0"/>
              <w:spacing w:before="0" w:after="283"/>
              <w:ind w:left="0" w:right="0" w:hanging="0"/>
              <w:jc w:val="right"/>
              <w:rPr/>
            </w:pPr>
            <w:r>
              <w:rPr/>
              <w:t>​</w:t>
            </w:r>
          </w:p>
        </w:tc>
        <w:tc>
          <w:tcPr>
            <w:tcW w:w="510" w:type="dxa"/>
            <w:tcBorders/>
            <w:shd w:fill="FFFFFF" w:val="clear"/>
            <w:vAlign w:val="center"/>
          </w:tcPr>
          <w:p>
            <w:pPr>
              <w:pStyle w:val="TableContents"/>
              <w:bidi w:val="0"/>
              <w:spacing w:before="0" w:after="283"/>
              <w:jc w:val="righ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(1,400</w:t>
            </w:r>
          </w:p>
        </w:tc>
        <w:tc>
          <w:tcPr>
            <w:tcW w:w="65"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377"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(40</w:t>
            </w:r>
          </w:p>
        </w:tc>
        <w:tc>
          <w:tcPr>
            <w:tcW w:w="65"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(40</w:t>
            </w:r>
          </w:p>
        </w:tc>
        <w:tc>
          <w:tcPr>
            <w:tcW w:w="67"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r>
      <w:tr>
        <w:trPr/>
        <w:tc>
          <w:tcPr>
            <w:tcW w:w="3692"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Reissued for Employee Stock Purchase Plan</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rStyle w:val="Emphasis"/>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367"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w:t>
            </w:r>
          </w:p>
        </w:tc>
        <w:tc>
          <w:tcPr>
            <w:tcW w:w="65" w:type="dxa"/>
            <w:tcBorders/>
            <w:shd w:fill="CCEE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5"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120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377"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3</w:t>
            </w:r>
          </w:p>
        </w:tc>
        <w:tc>
          <w:tcPr>
            <w:tcW w:w="67" w:type="dxa"/>
            <w:tcBorders/>
            <w:shd w:fill="CCEEFF" w:val="cle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Noncontrolling interest capital contribution</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4</w:t>
            </w:r>
          </w:p>
        </w:tc>
        <w:tc>
          <w:tcPr>
            <w:tcW w:w="67" w:type="dxa"/>
            <w:tcBorders/>
            <w:shd w:fill="FFFFFF" w:val="clear"/>
            <w:vAlign w:val="center"/>
          </w:tcPr>
          <w:p>
            <w:pPr>
              <w:pStyle w:val="TableContents"/>
              <w:bidi w:val="0"/>
              <w:spacing w:before="0" w:after="283"/>
              <w:jc w:val="left"/>
              <w:rPr/>
            </w:pPr>
            <w:r>
              <w:rPr/>
              <w:t> </w:t>
            </w:r>
          </w:p>
        </w:tc>
      </w:tr>
      <w:tr>
        <w:trPr/>
        <w:tc>
          <w:tcPr>
            <w:tcW w:w="3692"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69" w:type="dxa"/>
            <w:tcBorders/>
            <w:shd w:fill="CCEEFF" w:val="clear"/>
            <w:vAlign w:val="center"/>
          </w:tcPr>
          <w:p>
            <w:pPr>
              <w:pStyle w:val="TableContents"/>
              <w:bidi w:val="0"/>
              <w:spacing w:before="0" w:after="283"/>
              <w:ind w:left="0" w:right="0" w:hanging="0"/>
              <w:jc w:val="right"/>
              <w:rPr/>
            </w:pPr>
            <w:r>
              <w:rPr/>
              <w:t>​</w:t>
            </w:r>
          </w:p>
        </w:tc>
        <w:tc>
          <w:tcPr>
            <w:tcW w:w="510" w:type="dxa"/>
            <w:tcBorders/>
            <w:shd w:fill="CCEEFF" w:val="clear"/>
            <w:vAlign w:val="center"/>
          </w:tcPr>
          <w:p>
            <w:pPr>
              <w:pStyle w:val="TableContents"/>
              <w:bidi w:val="0"/>
              <w:spacing w:before="0" w:after="283"/>
              <w:jc w:val="right"/>
              <w:rPr/>
            </w:pPr>
            <w:r>
              <w:rPr>
                <w:rStyle w:val="Emphasis"/>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469"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94</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94</w:t>
            </w:r>
          </w:p>
        </w:tc>
        <w:tc>
          <w:tcPr>
            <w:tcW w:w="67" w:type="dxa"/>
            <w:tcBorders/>
            <w:shd w:fill="CCEEFF" w:val="cle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Cash dividends on common stock ($0.40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69" w:type="dxa"/>
            <w:tcBorders/>
            <w:shd w:fill="FFFFFF" w:val="clear"/>
            <w:vAlign w:val="center"/>
          </w:tcPr>
          <w:p>
            <w:pPr>
              <w:pStyle w:val="TableContents"/>
              <w:bidi w:val="0"/>
              <w:spacing w:before="0" w:after="283"/>
              <w:ind w:left="0" w:right="0" w:hanging="0"/>
              <w:jc w:val="right"/>
              <w:rPr/>
            </w:pPr>
            <w:r>
              <w:rPr/>
              <w:t>​</w:t>
            </w:r>
          </w:p>
        </w:tc>
        <w:tc>
          <w:tcPr>
            <w:tcW w:w="510" w:type="dxa"/>
            <w:tcBorders/>
            <w:shd w:fill="FFFFFF" w:val="clear"/>
            <w:vAlign w:val="center"/>
          </w:tcPr>
          <w:p>
            <w:pPr>
              <w:pStyle w:val="TableContents"/>
              <w:bidi w:val="0"/>
              <w:spacing w:before="0" w:after="283"/>
              <w:jc w:val="righ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469"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(38</w:t>
            </w:r>
          </w:p>
        </w:tc>
        <w:tc>
          <w:tcPr>
            <w:tcW w:w="65"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(38</w:t>
            </w:r>
          </w:p>
        </w:tc>
        <w:tc>
          <w:tcPr>
            <w:tcW w:w="67"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r>
      <w:tr>
        <w:trPr/>
        <w:tc>
          <w:tcPr>
            <w:tcW w:w="3692"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Translation adjustment, net of tax</w:t>
            </w:r>
          </w:p>
        </w:tc>
        <w:tc>
          <w:tcPr>
            <w:tcW w:w="60" w:type="dxa"/>
            <w:tcBorders/>
            <w:shd w:fill="CCEEFF" w:val="clear"/>
            <w:vAlign w:val="center"/>
          </w:tcPr>
          <w:p>
            <w:pPr>
              <w:pStyle w:val="TableContents"/>
              <w:bidi w:val="0"/>
              <w:spacing w:before="0" w:after="283"/>
              <w:ind w:left="0" w:right="0" w:hanging="0"/>
              <w:jc w:val="left"/>
              <w:rPr/>
            </w:pPr>
            <w:r>
              <w:rPr/>
              <w:t> </w:t>
            </w:r>
          </w:p>
        </w:tc>
        <w:tc>
          <w:tcPr>
            <w:tcW w:w="69" w:type="dxa"/>
            <w:tcBorders/>
            <w:shd w:fill="CCEEFF" w:val="clear"/>
            <w:vAlign w:val="center"/>
          </w:tcPr>
          <w:p>
            <w:pPr>
              <w:pStyle w:val="TableContents"/>
              <w:bidi w:val="0"/>
              <w:spacing w:before="0" w:after="283"/>
              <w:ind w:left="0" w:right="0" w:hanging="0"/>
              <w:jc w:val="right"/>
              <w:rPr/>
            </w:pPr>
            <w:r>
              <w:rPr/>
              <w:t>​</w:t>
            </w:r>
          </w:p>
        </w:tc>
        <w:tc>
          <w:tcPr>
            <w:tcW w:w="510" w:type="dxa"/>
            <w:tcBorders/>
            <w:shd w:fill="CCEEFF" w:val="clear"/>
            <w:vAlign w:val="center"/>
          </w:tcPr>
          <w:p>
            <w:pPr>
              <w:pStyle w:val="TableContents"/>
              <w:bidi w:val="0"/>
              <w:spacing w:before="0" w:after="283"/>
              <w:jc w:val="right"/>
              <w:rPr/>
            </w:pPr>
            <w:r>
              <w:rPr>
                <w:rStyle w:val="Emphasis"/>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(31</w:t>
            </w:r>
          </w:p>
        </w:tc>
        <w:tc>
          <w:tcPr>
            <w:tcW w:w="65" w:type="dxa"/>
            <w:tcBorders/>
            <w:shd w:fill="CCEE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(31</w:t>
            </w:r>
          </w:p>
        </w:tc>
        <w:tc>
          <w:tcPr>
            <w:tcW w:w="67" w:type="dxa"/>
            <w:tcBorders/>
            <w:shd w:fill="CCEE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r>
      <w:tr>
        <w:trPr/>
        <w:tc>
          <w:tcPr>
            <w:tcW w:w="3692"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Change in hedges, net of tax</w:t>
            </w:r>
          </w:p>
        </w:tc>
        <w:tc>
          <w:tcPr>
            <w:tcW w:w="60" w:type="dxa"/>
            <w:tcBorders/>
            <w:shd w:fill="FFFFFF" w:val="clear"/>
            <w:vAlign w:val="center"/>
          </w:tcPr>
          <w:p>
            <w:pPr>
              <w:pStyle w:val="TableContents"/>
              <w:bidi w:val="0"/>
              <w:spacing w:before="0" w:after="283"/>
              <w:ind w:left="0" w:right="0" w:hanging="0"/>
              <w:jc w:val="left"/>
              <w:rPr/>
            </w:pPr>
            <w:r>
              <w:rPr/>
              <w:t> </w:t>
            </w:r>
          </w:p>
        </w:tc>
        <w:tc>
          <w:tcPr>
            <w:tcW w:w="69" w:type="dxa"/>
            <w:tcBorders/>
            <w:shd w:fill="FFFFFF" w:val="clear"/>
            <w:vAlign w:val="center"/>
          </w:tcPr>
          <w:p>
            <w:pPr>
              <w:pStyle w:val="TableContents"/>
              <w:bidi w:val="0"/>
              <w:spacing w:before="0" w:after="283"/>
              <w:ind w:left="0" w:right="0" w:hanging="0"/>
              <w:jc w:val="right"/>
              <w:rPr/>
            </w:pPr>
            <w:r>
              <w:rPr/>
              <w:t>​</w:t>
            </w:r>
          </w:p>
        </w:tc>
        <w:tc>
          <w:tcPr>
            <w:tcW w:w="510" w:type="dxa"/>
            <w:tcBorders/>
            <w:shd w:fill="FFFFFF" w:val="clear"/>
            <w:vAlign w:val="center"/>
          </w:tcPr>
          <w:p>
            <w:pPr>
              <w:pStyle w:val="TableContents"/>
              <w:bidi w:val="0"/>
              <w:spacing w:before="0" w:after="283"/>
              <w:jc w:val="righ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(3</w:t>
            </w:r>
          </w:p>
        </w:tc>
        <w:tc>
          <w:tcPr>
            <w:tcW w:w="65"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(3</w:t>
            </w:r>
          </w:p>
        </w:tc>
        <w:tc>
          <w:tcPr>
            <w:tcW w:w="67"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r>
      <w:tr>
        <w:trPr/>
        <w:tc>
          <w:tcPr>
            <w:tcW w:w="36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Pension and postretirement adjustments, net of tax</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510"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67"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15"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77"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69"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July 30, 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99,319</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3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788</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(6,018</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(213</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4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3,051</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7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(416</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7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3,217</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665"/>
        <w:gridCol w:w="60"/>
        <w:gridCol w:w="69"/>
        <w:gridCol w:w="515"/>
        <w:gridCol w:w="69"/>
        <w:gridCol w:w="69"/>
        <w:gridCol w:w="139"/>
        <w:gridCol w:w="361"/>
        <w:gridCol w:w="65"/>
        <w:gridCol w:w="60"/>
        <w:gridCol w:w="60"/>
        <w:gridCol w:w="414"/>
        <w:gridCol w:w="65"/>
        <w:gridCol w:w="60"/>
        <w:gridCol w:w="123"/>
        <w:gridCol w:w="377"/>
        <w:gridCol w:w="65"/>
        <w:gridCol w:w="60"/>
        <w:gridCol w:w="121"/>
        <w:gridCol w:w="469"/>
        <w:gridCol w:w="65"/>
        <w:gridCol w:w="60"/>
        <w:gridCol w:w="248"/>
        <w:gridCol w:w="762"/>
        <w:gridCol w:w="65"/>
        <w:gridCol w:w="60"/>
        <w:gridCol w:w="254"/>
        <w:gridCol w:w="696"/>
        <w:gridCol w:w="65"/>
        <w:gridCol w:w="60"/>
        <w:gridCol w:w="184"/>
        <w:gridCol w:w="714"/>
        <w:gridCol w:w="86"/>
      </w:tblGrid>
      <w:tr>
        <w:trPr/>
        <w:tc>
          <w:tcPr>
            <w:tcW w:w="366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22"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Additional Paid-In</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Accumulated</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22"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Capital &amp;</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Other</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8"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Total</w:t>
            </w:r>
          </w:p>
        </w:tc>
        <w:tc>
          <w:tcPr>
            <w:tcW w:w="86" w:type="dxa"/>
            <w:tcBorders/>
            <w:shd w:fill="FFFF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Twenty-six weeks ended</w:t>
            </w:r>
          </w:p>
        </w:tc>
        <w:tc>
          <w:tcPr>
            <w:tcW w:w="60" w:type="dxa"/>
            <w:tcBorders/>
            <w:shd w:fill="FFFFFF" w:val="clear"/>
            <w:vAlign w:val="center"/>
          </w:tcPr>
          <w:p>
            <w:pPr>
              <w:pStyle w:val="TableContents"/>
              <w:bidi w:val="0"/>
              <w:spacing w:before="0" w:after="283"/>
              <w:ind w:left="0" w:right="0" w:hanging="0"/>
              <w:jc w:val="left"/>
              <w:rPr/>
            </w:pPr>
            <w:r>
              <w:rPr/>
              <w:t> </w:t>
            </w:r>
          </w:p>
        </w:tc>
        <w:tc>
          <w:tcPr>
            <w:tcW w:w="1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Common Stock</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Treasury Stock</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Retained</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Comprehensive</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Noncontrolling</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8"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Shareholders'</w:t>
            </w:r>
          </w:p>
        </w:tc>
        <w:tc>
          <w:tcPr>
            <w:tcW w:w="86" w:type="dxa"/>
            <w:tcBorders/>
            <w:shd w:fill="FFFFFF" w:val="clear"/>
            <w:vAlign w:val="center"/>
          </w:tcPr>
          <w:p>
            <w:pPr>
              <w:pStyle w:val="TableContents"/>
              <w:bidi w:val="0"/>
              <w:spacing w:before="0" w:after="283"/>
              <w:jc w:val="left"/>
              <w:rPr/>
            </w:pPr>
            <w:r>
              <w:rPr/>
              <w:t> </w:t>
            </w:r>
          </w:p>
        </w:tc>
      </w:tr>
      <w:tr>
        <w:trPr/>
        <w:tc>
          <w:tcPr>
            <w:tcW w:w="36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(shares in thousands, $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Shares</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Amount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Shares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Amount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Earnings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Loss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interests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4"/>
              </w:rPr>
              <w:t>Equity</w:t>
            </w:r>
          </w:p>
        </w:tc>
        <w:tc>
          <w:tcPr>
            <w:tcW w:w="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January 28, 2023</w:t>
            </w:r>
          </w:p>
        </w:tc>
        <w:tc>
          <w:tcPr>
            <w:tcW w:w="60"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93,397</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61" w:type="dxa"/>
            <w:tcBorders/>
            <w:shd w:fill="CCEEFF" w:val="cle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760</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14" w:type="dxa"/>
            <w:tcBorders/>
            <w:shd w:fill="CCEEFF" w:val="cle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(1</w:t>
            </w:r>
          </w:p>
        </w:tc>
        <w:tc>
          <w:tcPr>
            <w:tcW w:w="65"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7" w:type="dxa"/>
            <w:tcBorders/>
            <w:shd w:fill="CCEEFF" w:val="clear"/>
            <w:vAlign w:val="center"/>
          </w:tcPr>
          <w:p>
            <w:pPr>
              <w:pStyle w:val="TableContents"/>
              <w:bidi w:val="0"/>
              <w:spacing w:before="0" w:after="0"/>
              <w:ind w:left="0" w:right="0" w:hanging="0"/>
              <w:jc w:val="right"/>
              <w:rPr/>
            </w:pPr>
            <w:r>
              <w:rPr/>
              <w:t>—</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469" w:type="dxa"/>
            <w:tcBorders/>
            <w:shd w:fill="CCEEFF" w:val="cle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2,925</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62" w:type="dxa"/>
            <w:tcBorders/>
            <w:shd w:fill="CCEEFF" w:val="cle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(392</w:t>
            </w:r>
          </w:p>
        </w:tc>
        <w:tc>
          <w:tcPr>
            <w:tcW w:w="65"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96" w:type="dxa"/>
            <w:tcBorders/>
            <w:shd w:fill="CCEEFF" w:val="clear"/>
            <w:vAlign w:val="center"/>
          </w:tcPr>
          <w:p>
            <w:pPr>
              <w:pStyle w:val="TableContents"/>
              <w:bidi w:val="0"/>
              <w:spacing w:before="0" w:after="0"/>
              <w:ind w:left="0" w:right="0" w:hanging="0"/>
              <w:jc w:val="right"/>
              <w:rPr/>
            </w:pPr>
            <w:r>
              <w:rPr/>
              <w:t>—</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14" w:type="dxa"/>
            <w:tcBorders/>
            <w:shd w:fill="CCEEFF" w:val="cle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3,293</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Restricted stock issued</w:t>
            </w:r>
          </w:p>
        </w:tc>
        <w:tc>
          <w:tcPr>
            <w:tcW w:w="60"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653</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361" w:type="dxa"/>
            <w:tcBorders/>
            <w:shd w:fill="FFFFFF" w:val="clear"/>
            <w:vAlign w:val="center"/>
          </w:tcPr>
          <w:p>
            <w:pPr>
              <w:pStyle w:val="TableContents"/>
              <w:bidi w:val="0"/>
              <w:spacing w:before="0" w:after="0"/>
              <w:ind w:left="0" w:right="0" w:hanging="0"/>
              <w:jc w:val="right"/>
              <w:rPr/>
            </w:pPr>
            <w:r>
              <w:rPr>
                <w:rStyle w:val="Emphasis"/>
              </w:rPr>
              <w:t>—</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74"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9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714" w:type="dxa"/>
            <w:tcBorders/>
            <w:shd w:fill="FFFFFF" w:val="clear"/>
            <w:vAlign w:val="center"/>
          </w:tcPr>
          <w:p>
            <w:pPr>
              <w:pStyle w:val="TableContents"/>
              <w:bidi w:val="0"/>
              <w:spacing w:before="0" w:after="0"/>
              <w:ind w:left="0" w:right="0" w:hanging="0"/>
              <w:jc w:val="right"/>
              <w:rPr/>
            </w:pPr>
            <w:r>
              <w:rPr/>
              <w:t>—</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Issued under director and stock plans</w:t>
            </w:r>
          </w:p>
        </w:tc>
        <w:tc>
          <w:tcPr>
            <w:tcW w:w="60"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203</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74"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0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9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1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Share-based compensation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584"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361" w:type="dxa"/>
            <w:tcBorders/>
            <w:shd w:fill="FFFF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74"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9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714" w:type="dxa"/>
            <w:tcBorders/>
            <w:shd w:fill="FFFF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Shares of common stock used to satisfy tax withholding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584"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50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(265</w:t>
            </w:r>
          </w:p>
        </w:tc>
        <w:tc>
          <w:tcPr>
            <w:tcW w:w="6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3" w:type="dxa"/>
            <w:tcBorders/>
            <w:shd w:fill="CCEEFF" w:val="clear"/>
            <w:vAlign w:val="center"/>
          </w:tcPr>
          <w:p>
            <w:pPr>
              <w:pStyle w:val="TableContents"/>
              <w:bidi w:val="0"/>
              <w:spacing w:before="0" w:after="0"/>
              <w:ind w:left="0" w:right="0" w:hanging="0"/>
              <w:jc w:val="left"/>
              <w:rPr/>
            </w:pPr>
            <w:r>
              <w:rPr/>
              <w:t> </w:t>
            </w:r>
          </w:p>
        </w:tc>
        <w:tc>
          <w:tcPr>
            <w:tcW w:w="37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w:t>
            </w:r>
          </w:p>
        </w:tc>
        <w:tc>
          <w:tcPr>
            <w:tcW w:w="6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 w:type="dxa"/>
            <w:tcBorders/>
            <w:shd w:fill="CCEEFF" w:val="clear"/>
            <w:vAlign w:val="center"/>
          </w:tcPr>
          <w:p>
            <w:pPr>
              <w:pStyle w:val="TableContents"/>
              <w:bidi w:val="0"/>
              <w:spacing w:before="0" w:after="0"/>
              <w:ind w:left="0" w:right="0" w:hanging="0"/>
              <w:jc w:val="left"/>
              <w:rPr/>
            </w:pPr>
            <w:r>
              <w:rPr/>
              <w:t> </w:t>
            </w:r>
          </w:p>
        </w:tc>
        <w:tc>
          <w:tcPr>
            <w:tcW w:w="59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1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w:t>
            </w:r>
          </w:p>
        </w:tc>
        <w:tc>
          <w:tcPr>
            <w:tcW w:w="8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r>
      <w:tr>
        <w:trPr/>
        <w:tc>
          <w:tcPr>
            <w:tcW w:w="3665"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Reissued for Employee Stock Purchase Plan</w:t>
            </w:r>
          </w:p>
        </w:tc>
        <w:tc>
          <w:tcPr>
            <w:tcW w:w="60"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pPr>
            <w:r>
              <w:rPr>
                <w:rStyle w:val="Emphasis"/>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361" w:type="dxa"/>
            <w:tcBorders/>
            <w:shd w:fill="FFFF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w:t>
            </w:r>
          </w:p>
        </w:tc>
        <w:tc>
          <w:tcPr>
            <w:tcW w:w="65"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14" w:type="dxa"/>
            <w:tcBorders/>
            <w:shd w:fill="FFFF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167</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3" w:type="dxa"/>
            <w:tcBorders/>
            <w:shd w:fill="FFFFFF" w:val="clear"/>
            <w:vAlign w:val="center"/>
          </w:tcPr>
          <w:p>
            <w:pPr>
              <w:pStyle w:val="TableContents"/>
              <w:bidi w:val="0"/>
              <w:spacing w:before="0" w:after="0"/>
              <w:ind w:left="0" w:right="0" w:hanging="0"/>
              <w:jc w:val="left"/>
              <w:rPr/>
            </w:pPr>
            <w:r>
              <w:rPr/>
              <w:t> </w:t>
            </w:r>
          </w:p>
        </w:tc>
        <w:tc>
          <w:tcPr>
            <w:tcW w:w="377" w:type="dxa"/>
            <w:tcBorders/>
            <w:shd w:fill="FFFF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1" w:type="dxa"/>
            <w:tcBorders/>
            <w:shd w:fill="FFFFFF" w:val="clear"/>
            <w:vAlign w:val="center"/>
          </w:tcPr>
          <w:p>
            <w:pPr>
              <w:pStyle w:val="TableContents"/>
              <w:bidi w:val="0"/>
              <w:spacing w:before="0" w:after="0"/>
              <w:ind w:left="0" w:right="0" w:hanging="0"/>
              <w:jc w:val="left"/>
              <w:rPr/>
            </w:pPr>
            <w:r>
              <w:rPr/>
              <w:t> </w:t>
            </w:r>
          </w:p>
        </w:tc>
        <w:tc>
          <w:tcPr>
            <w:tcW w:w="469" w:type="dxa"/>
            <w:tcBorders/>
            <w:shd w:fill="FFFFFF" w:val="clear"/>
            <w:vAlign w:val="center"/>
          </w:tcPr>
          <w:p>
            <w:pPr>
              <w:pStyle w:val="TableContents"/>
              <w:bidi w:val="0"/>
              <w:spacing w:before="0" w:after="0"/>
              <w:ind w:left="0" w:right="0" w:hanging="0"/>
              <w:jc w:val="righ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8" w:type="dxa"/>
            <w:tcBorders/>
            <w:shd w:fill="FFFFFF" w:val="clear"/>
            <w:vAlign w:val="center"/>
          </w:tcPr>
          <w:p>
            <w:pPr>
              <w:pStyle w:val="TableContents"/>
              <w:bidi w:val="0"/>
              <w:spacing w:before="0" w:after="0"/>
              <w:ind w:left="0" w:right="0" w:hanging="0"/>
              <w:jc w:val="left"/>
              <w:rPr/>
            </w:pPr>
            <w:r>
              <w:rPr/>
              <w:t> </w:t>
            </w:r>
          </w:p>
        </w:tc>
        <w:tc>
          <w:tcPr>
            <w:tcW w:w="762" w:type="dxa"/>
            <w:tcBorders/>
            <w:shd w:fill="FFFFFF" w:val="clear"/>
            <w:vAlign w:val="center"/>
          </w:tcPr>
          <w:p>
            <w:pPr>
              <w:pStyle w:val="TableContents"/>
              <w:bidi w:val="0"/>
              <w:spacing w:before="0" w:after="0"/>
              <w:ind w:left="0" w:right="0" w:hanging="0"/>
              <w:jc w:val="righ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4" w:type="dxa"/>
            <w:tcBorders/>
            <w:shd w:fill="FFFFFF" w:val="clear"/>
            <w:vAlign w:val="center"/>
          </w:tcPr>
          <w:p>
            <w:pPr>
              <w:pStyle w:val="TableContents"/>
              <w:bidi w:val="0"/>
              <w:spacing w:before="0" w:after="0"/>
              <w:ind w:left="0" w:right="0" w:hanging="0"/>
              <w:jc w:val="left"/>
              <w:rPr/>
            </w:pPr>
            <w:r>
              <w:rPr/>
              <w:t> </w:t>
            </w:r>
          </w:p>
        </w:tc>
        <w:tc>
          <w:tcPr>
            <w:tcW w:w="696" w:type="dxa"/>
            <w:tcBorders/>
            <w:shd w:fill="FFFFFF" w:val="clear"/>
            <w:vAlign w:val="center"/>
          </w:tcPr>
          <w:p>
            <w:pPr>
              <w:pStyle w:val="TableContents"/>
              <w:bidi w:val="0"/>
              <w:spacing w:before="0" w:after="0"/>
              <w:ind w:left="0" w:right="0" w:hanging="0"/>
              <w:jc w:val="righ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714" w:type="dxa"/>
            <w:tcBorders/>
            <w:shd w:fill="FFFF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584"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50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74"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0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1" w:type="dxa"/>
            <w:tcBorders/>
            <w:shd w:fill="CCEEFF" w:val="clear"/>
            <w:vAlign w:val="center"/>
          </w:tcPr>
          <w:p>
            <w:pPr>
              <w:pStyle w:val="TableContents"/>
              <w:bidi w:val="0"/>
              <w:spacing w:before="0" w:after="0"/>
              <w:ind w:left="0" w:right="0" w:hanging="0"/>
              <w:jc w:val="left"/>
              <w:rPr/>
            </w:pPr>
            <w:r>
              <w:rPr/>
              <w:t> </w:t>
            </w:r>
          </w:p>
        </w:tc>
        <w:tc>
          <w:tcPr>
            <w:tcW w:w="46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1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Cash dividends on common stock ($0.80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584"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74"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1" w:type="dxa"/>
            <w:tcBorders/>
            <w:shd w:fill="FFFFFF" w:val="clear"/>
            <w:vAlign w:val="center"/>
          </w:tcPr>
          <w:p>
            <w:pPr>
              <w:pStyle w:val="TableContents"/>
              <w:bidi w:val="0"/>
              <w:spacing w:before="0" w:after="0"/>
              <w:ind w:left="0" w:right="0" w:hanging="0"/>
              <w:jc w:val="left"/>
              <w:rPr/>
            </w:pPr>
            <w:r>
              <w:rPr/>
              <w:t> </w:t>
            </w:r>
          </w:p>
        </w:tc>
        <w:tc>
          <w:tcPr>
            <w:tcW w:w="469" w:type="dxa"/>
            <w:tcBorders/>
            <w:shd w:fill="FFFF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(75</w:t>
            </w:r>
          </w:p>
        </w:tc>
        <w:tc>
          <w:tcPr>
            <w:tcW w:w="65"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714" w:type="dxa"/>
            <w:tcBorders/>
            <w:shd w:fill="FFFF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(75</w:t>
            </w:r>
          </w:p>
        </w:tc>
        <w:tc>
          <w:tcPr>
            <w:tcW w:w="86"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r>
      <w:tr>
        <w:trPr/>
        <w:tc>
          <w:tcPr>
            <w:tcW w:w="366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Translation adjustment, net of tax</w:t>
            </w:r>
          </w:p>
        </w:tc>
        <w:tc>
          <w:tcPr>
            <w:tcW w:w="60" w:type="dxa"/>
            <w:tcBorders/>
            <w:shd w:fill="CCEEFF" w:val="clear"/>
            <w:vAlign w:val="center"/>
          </w:tcPr>
          <w:p>
            <w:pPr>
              <w:pStyle w:val="TableContents"/>
              <w:bidi w:val="0"/>
              <w:spacing w:before="0" w:after="0"/>
              <w:ind w:left="0" w:right="0" w:hanging="0"/>
              <w:jc w:val="left"/>
              <w:rPr/>
            </w:pPr>
            <w:r>
              <w:rPr/>
              <w:t> </w:t>
            </w:r>
          </w:p>
        </w:tc>
        <w:tc>
          <w:tcPr>
            <w:tcW w:w="584"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50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74"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0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9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 </w:t>
            </w:r>
          </w:p>
        </w:tc>
        <w:tc>
          <w:tcPr>
            <w:tcW w:w="762"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w:t>
            </w:r>
          </w:p>
        </w:tc>
        <w:tc>
          <w:tcPr>
            <w:tcW w:w="6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50" w:type="dxa"/>
            <w:gridSpan w:val="2"/>
            <w:tcBorders/>
            <w:shd w:fill="CCEEFF" w:val="clear"/>
            <w:vAlign w:val="center"/>
          </w:tcPr>
          <w:p>
            <w:pPr>
              <w:pStyle w:val="TableContents"/>
              <w:bidi w:val="0"/>
              <w:spacing w:before="0" w:after="0"/>
              <w:ind w:left="0" w:right="0" w:hanging="0"/>
              <w:jc w:val="lef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w:t>
            </w:r>
          </w:p>
        </w:tc>
        <w:tc>
          <w:tcPr>
            <w:tcW w:w="8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r>
      <w:tr>
        <w:trPr/>
        <w:tc>
          <w:tcPr>
            <w:tcW w:w="3665"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Change in hedges, net of tax</w:t>
            </w:r>
          </w:p>
        </w:tc>
        <w:tc>
          <w:tcPr>
            <w:tcW w:w="60" w:type="dxa"/>
            <w:tcBorders/>
            <w:shd w:fill="FFFFFF" w:val="clear"/>
            <w:vAlign w:val="center"/>
          </w:tcPr>
          <w:p>
            <w:pPr>
              <w:pStyle w:val="TableContents"/>
              <w:bidi w:val="0"/>
              <w:spacing w:before="0" w:after="0"/>
              <w:ind w:left="0" w:right="0" w:hanging="0"/>
              <w:jc w:val="left"/>
              <w:rPr/>
            </w:pPr>
            <w:r>
              <w:rPr/>
              <w:t> </w:t>
            </w:r>
          </w:p>
        </w:tc>
        <w:tc>
          <w:tcPr>
            <w:tcW w:w="584"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74"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9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8" w:type="dxa"/>
            <w:tcBorders/>
            <w:shd w:fill="FFFFFF" w:val="clear"/>
            <w:vAlign w:val="center"/>
          </w:tcPr>
          <w:p>
            <w:pPr>
              <w:pStyle w:val="TableContents"/>
              <w:bidi w:val="0"/>
              <w:spacing w:before="0" w:after="0"/>
              <w:ind w:left="0" w:right="0" w:hanging="0"/>
              <w:jc w:val="left"/>
              <w:rPr/>
            </w:pPr>
            <w:r>
              <w:rPr/>
              <w:t> </w:t>
            </w:r>
          </w:p>
        </w:tc>
        <w:tc>
          <w:tcPr>
            <w:tcW w:w="762" w:type="dxa"/>
            <w:tcBorders/>
            <w:shd w:fill="FFFF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w:t>
            </w:r>
          </w:p>
        </w:tc>
        <w:tc>
          <w:tcPr>
            <w:tcW w:w="65"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714" w:type="dxa"/>
            <w:tcBorders/>
            <w:shd w:fill="FFFF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w:t>
            </w:r>
          </w:p>
        </w:tc>
        <w:tc>
          <w:tcPr>
            <w:tcW w:w="86"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r>
      <w:tr>
        <w:trPr/>
        <w:tc>
          <w:tcPr>
            <w:tcW w:w="36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Pension and postretirement adjustments, net of tax</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 </w:t>
            </w:r>
          </w:p>
        </w:tc>
        <w:tc>
          <w:tcPr>
            <w:tcW w:w="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w:t>
            </w:r>
          </w:p>
        </w:tc>
        <w:tc>
          <w:tcPr>
            <w:tcW w:w="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w:t>
            </w:r>
          </w:p>
        </w:tc>
        <w:tc>
          <w:tcPr>
            <w:tcW w:w="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6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July 29, 2023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94,253</w:t>
            </w:r>
          </w:p>
        </w:tc>
        <w:tc>
          <w:tcPr>
            <w:tcW w:w="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767</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(99</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(4</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46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2,881</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(397</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3,247</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6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6"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4"/>
              </w:rPr>
            </w:pPr>
            <w:r>
              <w:rPr>
                <w:rFonts w:ascii="Arial;Helvetica;sans-serif" w:hAnsi="Arial;Helvetica;sans-serif"/>
                <w:b/>
                <w:caps w:val="false"/>
                <w:smallCaps w:val="false"/>
                <w:sz w:val="14"/>
              </w:rPr>
              <w:t>Balance at January 29, 2022</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99,071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361"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770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4"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(2,050</w:t>
            </w:r>
          </w:p>
        </w:tc>
        <w:tc>
          <w:tcPr>
            <w:tcW w:w="65" w:type="dxa"/>
            <w:tcBorders/>
            <w:shd w:fill="CCEEFF" w:val="cle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3"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377"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(88</w:t>
            </w:r>
          </w:p>
        </w:tc>
        <w:tc>
          <w:tcPr>
            <w:tcW w:w="65" w:type="dxa"/>
            <w:tcBorders/>
            <w:shd w:fill="CCEEFF" w:val="cle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1"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469"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2,900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762"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(343</w:t>
            </w:r>
          </w:p>
        </w:tc>
        <w:tc>
          <w:tcPr>
            <w:tcW w:w="65" w:type="dxa"/>
            <w:tcBorders/>
            <w:shd w:fill="CCEEFF" w:val="cle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696"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4</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714" w:type="dxa"/>
            <w:tcBorders/>
            <w:shd w:fill="CCEEFF" w:val="cle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3,243</w:t>
            </w:r>
          </w:p>
        </w:tc>
        <w:tc>
          <w:tcPr>
            <w:tcW w:w="86"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Restricted stock issued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111</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4"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Issued under director and stock plans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137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361"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4</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4"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4</w:t>
            </w:r>
          </w:p>
        </w:tc>
        <w:tc>
          <w:tcPr>
            <w:tcW w:w="86"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Share-based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584" w:type="dxa"/>
            <w:gridSpan w:val="2"/>
            <w:tcBorders/>
            <w:shd w:fill="FFFFFF" w:val="clear"/>
            <w:vAlign w:val="center"/>
          </w:tcPr>
          <w:p>
            <w:pPr>
              <w:pStyle w:val="TableContents"/>
              <w:bidi w:val="0"/>
              <w:spacing w:before="0" w:after="283"/>
              <w:jc w:val="lef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361"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16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4"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16</w:t>
            </w:r>
          </w:p>
        </w:tc>
        <w:tc>
          <w:tcPr>
            <w:tcW w:w="86"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4"/>
              </w:rPr>
            </w:pPr>
            <w:r>
              <w:rPr>
                <w:rFonts w:ascii="Arial;Helvetica;sans-serif" w:hAnsi="Arial;Helvetica;sans-serif"/>
                <w:caps w:val="false"/>
                <w:smallCaps w:val="false"/>
                <w:sz w:val="14"/>
              </w:rPr>
              <w:t>Shares of common stock used to satisfy tax withholding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584" w:type="dxa"/>
            <w:gridSpan w:val="2"/>
            <w:tcBorders/>
            <w:shd w:fill="CCEEFF" w:val="clear"/>
            <w:vAlign w:val="center"/>
          </w:tcPr>
          <w:p>
            <w:pPr>
              <w:pStyle w:val="TableContents"/>
              <w:bidi w:val="0"/>
              <w:spacing w:before="0" w:after="283"/>
              <w:jc w:val="left"/>
              <w:rPr/>
            </w:pPr>
            <w:r>
              <w:rPr>
                <w:rStyle w:val="Emphasis"/>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00"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4"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(38</w:t>
            </w:r>
          </w:p>
        </w:tc>
        <w:tc>
          <w:tcPr>
            <w:tcW w:w="65" w:type="dxa"/>
            <w:tcBorders/>
            <w:shd w:fill="CCEE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377"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(1</w:t>
            </w:r>
          </w:p>
        </w:tc>
        <w:tc>
          <w:tcPr>
            <w:tcW w:w="65" w:type="dxa"/>
            <w:tcBorders/>
            <w:shd w:fill="CCEE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(1</w:t>
            </w:r>
          </w:p>
        </w:tc>
        <w:tc>
          <w:tcPr>
            <w:tcW w:w="86" w:type="dxa"/>
            <w:tcBorders/>
            <w:shd w:fill="CCEE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r>
      <w:tr>
        <w:trPr/>
        <w:tc>
          <w:tcPr>
            <w:tcW w:w="3665"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4"/>
              </w:rPr>
            </w:pPr>
            <w:r>
              <w:rPr>
                <w:rFonts w:ascii="Arial;Helvetica;sans-serif" w:hAnsi="Arial;Helvetica;sans-serif"/>
                <w:caps w:val="false"/>
                <w:smallCaps w:val="false"/>
                <w:sz w:val="14"/>
              </w:rPr>
              <w:t>Share repurchases</w:t>
            </w:r>
          </w:p>
        </w:tc>
        <w:tc>
          <w:tcPr>
            <w:tcW w:w="60" w:type="dxa"/>
            <w:tcBorders/>
            <w:shd w:fill="FFFFFF" w:val="clear"/>
            <w:vAlign w:val="center"/>
          </w:tcPr>
          <w:p>
            <w:pPr>
              <w:pStyle w:val="TableContents"/>
              <w:bidi w:val="0"/>
              <w:spacing w:before="0" w:after="283"/>
              <w:ind w:left="0" w:right="0" w:hanging="0"/>
              <w:jc w:val="left"/>
              <w:rPr/>
            </w:pPr>
            <w:r>
              <w:rPr/>
              <w:t> </w:t>
            </w:r>
          </w:p>
        </w:tc>
        <w:tc>
          <w:tcPr>
            <w:tcW w:w="584" w:type="dxa"/>
            <w:gridSpan w:val="2"/>
            <w:tcBorders/>
            <w:shd w:fill="FFFFFF" w:val="clear"/>
            <w:vAlign w:val="center"/>
          </w:tcPr>
          <w:p>
            <w:pPr>
              <w:pStyle w:val="TableContents"/>
              <w:bidi w:val="0"/>
              <w:spacing w:before="0" w:after="283"/>
              <w:jc w:val="lef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4"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(4,050</w:t>
            </w:r>
          </w:p>
        </w:tc>
        <w:tc>
          <w:tcPr>
            <w:tcW w:w="65"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377"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(129</w:t>
            </w:r>
          </w:p>
        </w:tc>
        <w:tc>
          <w:tcPr>
            <w:tcW w:w="65"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(129</w:t>
            </w:r>
          </w:p>
        </w:tc>
        <w:tc>
          <w:tcPr>
            <w:tcW w:w="86" w:type="dxa"/>
            <w:tcBorders/>
            <w:shd w:fill="FFFFFF" w:val="cle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r>
      <w:tr>
        <w:trPr/>
        <w:tc>
          <w:tcPr>
            <w:tcW w:w="366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Reissued for Employee Stock Purchase Plan</w:t>
            </w:r>
          </w:p>
        </w:tc>
        <w:tc>
          <w:tcPr>
            <w:tcW w:w="60"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rStyle w:val="Emphasis"/>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w:t>
            </w:r>
          </w:p>
        </w:tc>
        <w:tc>
          <w:tcPr>
            <w:tcW w:w="6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120</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3" w:type="dxa"/>
            <w:tcBorders/>
            <w:shd w:fill="CCEEFF" w:val="clear"/>
            <w:vAlign w:val="center"/>
          </w:tcPr>
          <w:p>
            <w:pPr>
              <w:pStyle w:val="TableContents"/>
              <w:bidi w:val="0"/>
              <w:spacing w:before="0" w:after="0"/>
              <w:ind w:left="0" w:right="0" w:hanging="0"/>
              <w:jc w:val="left"/>
              <w:rPr/>
            </w:pPr>
            <w:r>
              <w:rPr/>
              <w:t> </w:t>
            </w:r>
          </w:p>
        </w:tc>
        <w:tc>
          <w:tcPr>
            <w:tcW w:w="37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1" w:type="dxa"/>
            <w:tcBorders/>
            <w:shd w:fill="CCEEFF" w:val="clear"/>
            <w:vAlign w:val="center"/>
          </w:tcPr>
          <w:p>
            <w:pPr>
              <w:pStyle w:val="TableContents"/>
              <w:bidi w:val="0"/>
              <w:spacing w:before="0" w:after="0"/>
              <w:ind w:left="0" w:right="0" w:hanging="0"/>
              <w:jc w:val="left"/>
              <w:rPr/>
            </w:pPr>
            <w:r>
              <w:rPr/>
              <w:t> </w:t>
            </w:r>
          </w:p>
        </w:tc>
        <w:tc>
          <w:tcPr>
            <w:tcW w:w="469" w:type="dxa"/>
            <w:tcBorders/>
            <w:shd w:fill="CCEEFF" w:val="clear"/>
            <w:vAlign w:val="center"/>
          </w:tcPr>
          <w:p>
            <w:pPr>
              <w:pStyle w:val="TableContents"/>
              <w:bidi w:val="0"/>
              <w:spacing w:before="0" w:after="0"/>
              <w:ind w:left="0" w:right="0" w:hanging="0"/>
              <w:jc w:val="righ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 </w:t>
            </w:r>
          </w:p>
        </w:tc>
        <w:tc>
          <w:tcPr>
            <w:tcW w:w="762" w:type="dxa"/>
            <w:tcBorders/>
            <w:shd w:fill="CCEEFF" w:val="clear"/>
            <w:vAlign w:val="center"/>
          </w:tcPr>
          <w:p>
            <w:pPr>
              <w:pStyle w:val="TableContents"/>
              <w:bidi w:val="0"/>
              <w:spacing w:before="0" w:after="0"/>
              <w:ind w:left="0" w:right="0" w:hanging="0"/>
              <w:jc w:val="righ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Noncontrolling interest capital contribution</w:t>
            </w:r>
          </w:p>
        </w:tc>
        <w:tc>
          <w:tcPr>
            <w:tcW w:w="60"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pPr>
            <w:r>
              <w:rPr>
                <w:rStyle w:val="Emphasis"/>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361" w:type="dxa"/>
            <w:tcBorders/>
            <w:shd w:fill="FFFFFF" w:val="clear"/>
            <w:vAlign w:val="center"/>
          </w:tcPr>
          <w:p>
            <w:pPr>
              <w:pStyle w:val="TableContents"/>
              <w:bidi w:val="0"/>
              <w:spacing w:before="0" w:after="0"/>
              <w:ind w:left="0" w:right="0" w:hanging="0"/>
              <w:jc w:val="righ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14" w:type="dxa"/>
            <w:tcBorders/>
            <w:shd w:fill="FFFFFF" w:val="clear"/>
            <w:vAlign w:val="center"/>
          </w:tcPr>
          <w:p>
            <w:pPr>
              <w:pStyle w:val="TableContents"/>
              <w:bidi w:val="0"/>
              <w:spacing w:before="0" w:after="0"/>
              <w:ind w:left="0" w:right="0" w:hanging="0"/>
              <w:jc w:val="righ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3" w:type="dxa"/>
            <w:tcBorders/>
            <w:shd w:fill="FFFFFF" w:val="clear"/>
            <w:vAlign w:val="center"/>
          </w:tcPr>
          <w:p>
            <w:pPr>
              <w:pStyle w:val="TableContents"/>
              <w:bidi w:val="0"/>
              <w:spacing w:before="0" w:after="0"/>
              <w:ind w:left="0" w:right="0" w:hanging="0"/>
              <w:jc w:val="left"/>
              <w:rPr/>
            </w:pPr>
            <w:r>
              <w:rPr/>
              <w:t> </w:t>
            </w:r>
          </w:p>
        </w:tc>
        <w:tc>
          <w:tcPr>
            <w:tcW w:w="377" w:type="dxa"/>
            <w:tcBorders/>
            <w:shd w:fill="FFFFFF" w:val="clear"/>
            <w:vAlign w:val="center"/>
          </w:tcPr>
          <w:p>
            <w:pPr>
              <w:pStyle w:val="TableContents"/>
              <w:bidi w:val="0"/>
              <w:spacing w:before="0" w:after="0"/>
              <w:ind w:left="0" w:right="0" w:hanging="0"/>
              <w:jc w:val="righ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1" w:type="dxa"/>
            <w:tcBorders/>
            <w:shd w:fill="FFFFFF" w:val="clear"/>
            <w:vAlign w:val="center"/>
          </w:tcPr>
          <w:p>
            <w:pPr>
              <w:pStyle w:val="TableContents"/>
              <w:bidi w:val="0"/>
              <w:spacing w:before="0" w:after="0"/>
              <w:ind w:left="0" w:right="0" w:hanging="0"/>
              <w:jc w:val="left"/>
              <w:rPr/>
            </w:pPr>
            <w:r>
              <w:rPr/>
              <w:t> </w:t>
            </w:r>
          </w:p>
        </w:tc>
        <w:tc>
          <w:tcPr>
            <w:tcW w:w="469" w:type="dxa"/>
            <w:tcBorders/>
            <w:shd w:fill="FFFFFF" w:val="clear"/>
            <w:vAlign w:val="center"/>
          </w:tcPr>
          <w:p>
            <w:pPr>
              <w:pStyle w:val="TableContents"/>
              <w:bidi w:val="0"/>
              <w:spacing w:before="0" w:after="0"/>
              <w:ind w:left="0" w:right="0" w:hanging="0"/>
              <w:jc w:val="righ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8" w:type="dxa"/>
            <w:tcBorders/>
            <w:shd w:fill="FFFFFF" w:val="clear"/>
            <w:vAlign w:val="center"/>
          </w:tcPr>
          <w:p>
            <w:pPr>
              <w:pStyle w:val="TableContents"/>
              <w:bidi w:val="0"/>
              <w:spacing w:before="0" w:after="0"/>
              <w:ind w:left="0" w:right="0" w:hanging="0"/>
              <w:jc w:val="left"/>
              <w:rPr/>
            </w:pPr>
            <w:r>
              <w:rPr/>
              <w:t> </w:t>
            </w:r>
          </w:p>
        </w:tc>
        <w:tc>
          <w:tcPr>
            <w:tcW w:w="762" w:type="dxa"/>
            <w:tcBorders/>
            <w:shd w:fill="FFFFFF" w:val="clear"/>
            <w:vAlign w:val="center"/>
          </w:tcPr>
          <w:p>
            <w:pPr>
              <w:pStyle w:val="TableContents"/>
              <w:bidi w:val="0"/>
              <w:spacing w:before="0" w:after="0"/>
              <w:ind w:left="0" w:right="0" w:hanging="0"/>
              <w:jc w:val="righ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4" w:type="dxa"/>
            <w:tcBorders/>
            <w:shd w:fill="FFFFFF" w:val="clear"/>
            <w:vAlign w:val="center"/>
          </w:tcPr>
          <w:p>
            <w:pPr>
              <w:pStyle w:val="TableContents"/>
              <w:bidi w:val="0"/>
              <w:spacing w:before="0" w:after="0"/>
              <w:ind w:left="0" w:right="0" w:hanging="0"/>
              <w:jc w:val="left"/>
              <w:rPr/>
            </w:pPr>
            <w:r>
              <w:rPr/>
              <w:t> </w:t>
            </w:r>
          </w:p>
        </w:tc>
        <w:tc>
          <w:tcPr>
            <w:tcW w:w="696" w:type="dxa"/>
            <w:tcBorders/>
            <w:shd w:fill="FFFF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714" w:type="dxa"/>
            <w:tcBorders/>
            <w:shd w:fill="FFFF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w:t>
            </w:r>
          </w:p>
        </w:tc>
        <w:tc>
          <w:tcPr>
            <w:tcW w:w="86" w:type="dxa"/>
            <w:tcBorders/>
            <w:shd w:fill="FFFFFF" w:val="clear"/>
            <w:vAlign w:val="center"/>
          </w:tcPr>
          <w:p>
            <w:pPr>
              <w:pStyle w:val="TableContents"/>
              <w:bidi w:val="0"/>
              <w:spacing w:before="0" w:after="0"/>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584" w:type="dxa"/>
            <w:gridSpan w:val="2"/>
            <w:tcBorders/>
            <w:shd w:fill="CCEEFF" w:val="clear"/>
            <w:vAlign w:val="center"/>
          </w:tcPr>
          <w:p>
            <w:pPr>
              <w:pStyle w:val="TableContents"/>
              <w:bidi w:val="0"/>
              <w:spacing w:before="0" w:after="283"/>
              <w:jc w:val="left"/>
              <w:rPr/>
            </w:pPr>
            <w:r>
              <w:rPr>
                <w:rStyle w:val="Emphasis"/>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00"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4"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469"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227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gridSpan w:val="2"/>
            <w:tcBorders/>
            <w:shd w:fill="CCEEFF" w:val="clear"/>
            <w:vAlign w:val="center"/>
          </w:tcPr>
          <w:p>
            <w:pPr>
              <w:pStyle w:val="TableContents"/>
              <w:bidi w:val="0"/>
              <w:spacing w:before="0" w:after="0"/>
              <w:ind w:left="0" w:right="0" w:hanging="0"/>
              <w:jc w:val="right"/>
              <w:rPr/>
            </w:pPr>
            <w:r>
              <w:rPr>
                <w:rStyle w:val="Emphasis"/>
                <w:rFonts w:ascii="Arial;Helvetica;sans-serif" w:hAnsi="Arial;Helvetica;sans-serif"/>
                <w:caps w:val="false"/>
                <w:smallCaps w:val="false"/>
                <w:sz w:val="14"/>
              </w:rPr>
              <w:t>(1</w:t>
            </w:r>
          </w:p>
        </w:tc>
        <w:tc>
          <w:tcPr>
            <w:tcW w:w="65" w:type="dxa"/>
            <w:tcBorders/>
            <w:shd w:fill="CCEE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226</w:t>
            </w:r>
          </w:p>
        </w:tc>
        <w:tc>
          <w:tcPr>
            <w:tcW w:w="86"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360" w:right="0" w:hanging="360"/>
              <w:jc w:val="left"/>
              <w:rPr>
                <w:rFonts w:ascii="Arial;Helvetica;sans-serif" w:hAnsi="Arial;Helvetica;sans-serif"/>
                <w:caps w:val="false"/>
                <w:smallCaps w:val="false"/>
                <w:sz w:val="14"/>
              </w:rPr>
            </w:pPr>
            <w:r>
              <w:rPr>
                <w:rFonts w:ascii="Arial;Helvetica;sans-serif" w:hAnsi="Arial;Helvetica;sans-serif"/>
                <w:caps w:val="false"/>
                <w:smallCaps w:val="false"/>
                <w:sz w:val="14"/>
              </w:rPr>
              <w:t>Cash dividends on common stock ($0.80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584" w:type="dxa"/>
            <w:gridSpan w:val="2"/>
            <w:tcBorders/>
            <w:shd w:fill="FFFFFF" w:val="clear"/>
            <w:vAlign w:val="center"/>
          </w:tcPr>
          <w:p>
            <w:pPr>
              <w:pStyle w:val="TableContents"/>
              <w:bidi w:val="0"/>
              <w:spacing w:before="0" w:after="283"/>
              <w:jc w:val="lef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4"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469"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(76</w:t>
            </w:r>
          </w:p>
        </w:tc>
        <w:tc>
          <w:tcPr>
            <w:tcW w:w="65"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(76</w:t>
            </w:r>
          </w:p>
        </w:tc>
        <w:tc>
          <w:tcPr>
            <w:tcW w:w="86"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r>
      <w:tr>
        <w:trPr/>
        <w:tc>
          <w:tcPr>
            <w:tcW w:w="3665"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4"/>
              </w:rPr>
            </w:pPr>
            <w:r>
              <w:rPr>
                <w:rFonts w:ascii="Arial;Helvetica;sans-serif" w:hAnsi="Arial;Helvetica;sans-serif"/>
                <w:caps w:val="false"/>
                <w:smallCaps w:val="false"/>
                <w:sz w:val="14"/>
              </w:rPr>
              <w:t>Translation adjustment, net of tax</w:t>
            </w:r>
          </w:p>
        </w:tc>
        <w:tc>
          <w:tcPr>
            <w:tcW w:w="60" w:type="dxa"/>
            <w:tcBorders/>
            <w:shd w:fill="CCEEFF" w:val="clear"/>
            <w:vAlign w:val="center"/>
          </w:tcPr>
          <w:p>
            <w:pPr>
              <w:pStyle w:val="TableContents"/>
              <w:bidi w:val="0"/>
              <w:spacing w:before="0" w:after="283"/>
              <w:ind w:left="0" w:right="0" w:hanging="0"/>
              <w:jc w:val="left"/>
              <w:rPr/>
            </w:pPr>
            <w:r>
              <w:rPr/>
              <w:t> </w:t>
            </w:r>
          </w:p>
        </w:tc>
        <w:tc>
          <w:tcPr>
            <w:tcW w:w="584" w:type="dxa"/>
            <w:gridSpan w:val="2"/>
            <w:tcBorders/>
            <w:shd w:fill="CCEEFF" w:val="clear"/>
            <w:vAlign w:val="center"/>
          </w:tcPr>
          <w:p>
            <w:pPr>
              <w:pStyle w:val="TableContents"/>
              <w:bidi w:val="0"/>
              <w:spacing w:before="0" w:after="283"/>
              <w:jc w:val="left"/>
              <w:rPr/>
            </w:pPr>
            <w:r>
              <w:rPr>
                <w:rStyle w:val="Emphasis"/>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00"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4"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(75</w:t>
            </w:r>
          </w:p>
        </w:tc>
        <w:tc>
          <w:tcPr>
            <w:tcW w:w="65" w:type="dxa"/>
            <w:tcBorders/>
            <w:shd w:fill="CCEE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gridSpan w:val="2"/>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(75</w:t>
            </w:r>
          </w:p>
        </w:tc>
        <w:tc>
          <w:tcPr>
            <w:tcW w:w="86" w:type="dxa"/>
            <w:tcBorders/>
            <w:shd w:fill="CCEE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r>
      <w:tr>
        <w:trPr/>
        <w:tc>
          <w:tcPr>
            <w:tcW w:w="3665"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4"/>
              </w:rPr>
            </w:pPr>
            <w:r>
              <w:rPr>
                <w:rFonts w:ascii="Arial;Helvetica;sans-serif" w:hAnsi="Arial;Helvetica;sans-serif"/>
                <w:caps w:val="false"/>
                <w:smallCaps w:val="false"/>
                <w:sz w:val="14"/>
              </w:rPr>
              <w:t>Change in hedges, net of tax</w:t>
            </w:r>
          </w:p>
        </w:tc>
        <w:tc>
          <w:tcPr>
            <w:tcW w:w="60" w:type="dxa"/>
            <w:tcBorders/>
            <w:shd w:fill="FFFFFF" w:val="clear"/>
            <w:vAlign w:val="center"/>
          </w:tcPr>
          <w:p>
            <w:pPr>
              <w:pStyle w:val="TableContents"/>
              <w:bidi w:val="0"/>
              <w:spacing w:before="0" w:after="283"/>
              <w:ind w:left="0" w:right="0" w:hanging="0"/>
              <w:jc w:val="left"/>
              <w:rPr/>
            </w:pPr>
            <w:r>
              <w:rPr/>
              <w:t> </w:t>
            </w:r>
          </w:p>
        </w:tc>
        <w:tc>
          <w:tcPr>
            <w:tcW w:w="584" w:type="dxa"/>
            <w:gridSpan w:val="2"/>
            <w:tcBorders/>
            <w:shd w:fill="FFFFFF" w:val="clear"/>
            <w:vAlign w:val="center"/>
          </w:tcPr>
          <w:p>
            <w:pPr>
              <w:pStyle w:val="TableContents"/>
              <w:bidi w:val="0"/>
              <w:spacing w:before="0" w:after="283"/>
              <w:jc w:val="left"/>
              <w:rPr/>
            </w:pPr>
            <w:r>
              <w:rPr>
                <w:rStyle w:val="Emphasis"/>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4"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w:t>
            </w:r>
          </w:p>
        </w:tc>
        <w:tc>
          <w:tcPr>
            <w:tcW w:w="65"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(2</w:t>
            </w:r>
          </w:p>
        </w:tc>
        <w:tc>
          <w:tcPr>
            <w:tcW w:w="86" w:type="dxa"/>
            <w:tcBorders/>
            <w:shd w:fill="FFFFFF" w:val="cle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r>
      <w:tr>
        <w:trPr/>
        <w:tc>
          <w:tcPr>
            <w:tcW w:w="3665" w:type="dxa"/>
            <w:tcBorders>
              <w:bottom w:val="single" w:sz="2" w:space="0" w:color="000000"/>
            </w:tcBorders>
            <w:shd w:fill="CCEEFF" w:val="clear"/>
            <w:tcMar>
              <w:bottom w:w="28" w:type="dxa"/>
            </w:tcMar>
            <w:vAlign w:val="center"/>
          </w:tcPr>
          <w:p>
            <w:pPr>
              <w:pStyle w:val="TableContents"/>
              <w:bidi w:val="0"/>
              <w:spacing w:before="0" w:after="0"/>
              <w:ind w:left="360" w:right="0" w:hanging="360"/>
              <w:jc w:val="left"/>
              <w:rPr>
                <w:rFonts w:ascii="Arial;Helvetica;sans-serif" w:hAnsi="Arial;Helvetica;sans-serif"/>
                <w:caps w:val="false"/>
                <w:smallCaps w:val="false"/>
                <w:sz w:val="14"/>
              </w:rPr>
            </w:pPr>
            <w:r>
              <w:rPr>
                <w:rFonts w:ascii="Arial;Helvetica;sans-serif" w:hAnsi="Arial;Helvetica;sans-serif"/>
                <w:caps w:val="false"/>
                <w:smallCaps w:val="false"/>
                <w:sz w:val="14"/>
              </w:rPr>
              <w:t>Pension and postretirement adjustments, net of tax</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4" w:type="dxa"/>
            <w:gridSpan w:val="2"/>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4" w:type="dxa"/>
            <w:gridSpan w:val="2"/>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gridSpan w:val="2"/>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4</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4"/>
              </w:rPr>
            </w:pPr>
            <w:r>
              <w:rPr>
                <w:rFonts w:ascii="Arial;Helvetica;sans-serif" w:hAnsi="Arial;Helvetica;sans-serif"/>
                <w:sz w:val="14"/>
              </w:rPr>
              <w:t>4</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14"/>
              </w:rPr>
            </w:pPr>
            <w:r>
              <w:rPr>
                <w:rFonts w:ascii="Arial;Helvetica;sans-serif" w:hAnsi="Arial;Helvetica;sans-serif"/>
                <w:b/>
                <w:caps w:val="false"/>
                <w:smallCaps w:val="false"/>
                <w:sz w:val="14"/>
              </w:rPr>
              <w:t>Balance at July 30, 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99,319</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3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788</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(6,018</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(213</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4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3,051</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7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(416</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7</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4"/>
              </w:rPr>
            </w:pPr>
            <w:r>
              <w:rPr>
                <w:rFonts w:ascii="Arial;Helvetica;sans-serif" w:hAnsi="Arial;Helvetica;sans-serif"/>
                <w:sz w:val="14"/>
              </w:rPr>
              <w:t>$</w:t>
            </w:r>
          </w:p>
        </w:tc>
        <w:tc>
          <w:tcPr>
            <w:tcW w:w="7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4"/>
              </w:rPr>
            </w:pPr>
            <w:r>
              <w:rPr>
                <w:rFonts w:ascii="Arial;Helvetica;sans-serif" w:hAnsi="Arial;Helvetica;sans-serif"/>
                <w:b/>
                <w:sz w:val="14"/>
              </w:rPr>
              <w:t>3,217</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caps w:val="false"/>
          <w:smallCaps w:val="false"/>
          <w:sz w:val="16"/>
        </w:rPr>
      </w:pPr>
      <w:r>
        <w:rPr>
          <w:rFonts w:ascii="arial" w:hAnsi="arial"/>
          <w:caps w:val="false"/>
          <w:smallCaps w:val="false"/>
          <w:sz w:val="16"/>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Second Quarter 2023 Form 10-Q Page 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pPr>
      <w:bookmarkStart w:id="8" w:name="cf"/>
      <w:bookmarkEnd w:id="8"/>
      <w:r>
        <w:rPr/>
        <w:drawing>
          <wp:inline distT="0" distB="0" distL="0" distR="0">
            <wp:extent cx="2695575" cy="314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69557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CONDENSED CONSOLIDATED STATEMENTS OF CASH FLOWS</w:t>
      </w:r>
    </w:p>
    <w:p>
      <w:pPr>
        <w:pStyle w:val="TextBody"/>
        <w:bidi w:val="0"/>
        <w:spacing w:before="0" w:after="0"/>
        <w:ind w:left="0" w:right="0" w:hanging="0"/>
        <w:jc w:val="center"/>
        <w:rPr>
          <w:rFonts w:ascii="arial" w:hAnsi="arial"/>
          <w:caps w:val="false"/>
          <w:smallCaps w:val="false"/>
          <w:sz w:val="20"/>
        </w:rPr>
      </w:pPr>
      <w:r>
        <w:rPr>
          <w:rFonts w:ascii="arial" w:hAnsi="arial"/>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906" w:type="dxa"/>
        <w:jc w:val="left"/>
        <w:tblInd w:w="0" w:type="dxa"/>
        <w:tblLayout w:type="fixed"/>
        <w:tblCellMar>
          <w:top w:w="0" w:type="dxa"/>
          <w:left w:w="0" w:type="dxa"/>
          <w:bottom w:w="28" w:type="dxa"/>
          <w:right w:w="0" w:type="dxa"/>
        </w:tblCellMar>
      </w:tblPr>
      <w:tblGrid>
        <w:gridCol w:w="6650"/>
        <w:gridCol w:w="60"/>
        <w:gridCol w:w="224"/>
        <w:gridCol w:w="709"/>
        <w:gridCol w:w="143"/>
        <w:gridCol w:w="107"/>
        <w:gridCol w:w="224"/>
        <w:gridCol w:w="709"/>
        <w:gridCol w:w="80"/>
      </w:tblGrid>
      <w:tr>
        <w:trPr/>
        <w:tc>
          <w:tcPr>
            <w:tcW w:w="665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Twenty-six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0" w:right="0" w:hanging="0"/>
              <w:jc w:val="left"/>
              <w:rPr/>
            </w:pPr>
            <w:r>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3" w:type="dxa"/>
            <w:gridSpan w:val="2"/>
            <w:tcBorders/>
            <w:shd w:fill="FFFFFF" w:val="clear"/>
            <w:tcMar>
              <w:bottom w:w="0" w:type="dxa"/>
            </w:tcMar>
            <w:vAlign w:val="center"/>
          </w:tcPr>
          <w:p>
            <w:pPr>
              <w:pStyle w:val="TableContents"/>
              <w:bidi w:val="0"/>
              <w:spacing w:before="0" w:after="0"/>
              <w:jc w:val="center"/>
              <w:rPr/>
            </w:pPr>
            <w:r>
              <w:rPr>
                <w:rStyle w:val="Emphasis"/>
                <w:rFonts w:ascii="Arial;Helvetica;sans-serif" w:hAnsi="Arial;Helvetica;sans-serif"/>
                <w:b/>
                <w:sz w:val="18"/>
              </w:rPr>
              <w:t>July 29,</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933" w:type="dxa"/>
            <w:gridSpan w:val="2"/>
            <w:tcBorders/>
            <w:shd w:fill="FFFFFF" w:val="clear"/>
            <w:tcMar>
              <w:bottom w:w="0" w:type="dxa"/>
            </w:tcMar>
            <w:vAlign w:val="center"/>
          </w:tcPr>
          <w:p>
            <w:pPr>
              <w:pStyle w:val="TableContents"/>
              <w:bidi w:val="0"/>
              <w:spacing w:before="0" w:after="0"/>
              <w:jc w:val="center"/>
              <w:rPr/>
            </w:pPr>
            <w:r>
              <w:rPr>
                <w:rStyle w:val="Emphasis"/>
                <w:rFonts w:ascii="Arial;Helvetica;sans-serif" w:hAnsi="Arial;Helvetica;sans-serif"/>
                <w:b/>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43"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31</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22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36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Adjustments to reconcile net income to net cash from operating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33"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ind w:left="0" w:right="0" w:hanging="0"/>
              <w:jc w:val="left"/>
              <w:rPr/>
            </w:pPr>
            <w:r>
              <w:rPr/>
              <w:t> </w:t>
            </w:r>
          </w:p>
        </w:tc>
        <w:tc>
          <w:tcPr>
            <w:tcW w:w="933"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Non-cash impairment and 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21</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Fair value adjustments to minority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101</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Deferred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(3</w:t>
            </w:r>
          </w:p>
        </w:tc>
        <w:tc>
          <w:tcPr>
            <w:tcW w:w="143"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Share-based compensation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4</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Gain on sales of businesses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(2</w:t>
            </w:r>
          </w:p>
        </w:tc>
        <w:tc>
          <w:tcPr>
            <w:tcW w:w="143"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Change in assets and liabilities: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3" w:type="dxa"/>
            <w:gridSpan w:val="2"/>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933"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540" w:right="0" w:hanging="0"/>
              <w:jc w:val="left"/>
              <w:rPr>
                <w:rFonts w:ascii="Arial;Helvetica;sans-serif" w:hAnsi="Arial;Helvetica;sans-serif"/>
                <w:sz w:val="18"/>
              </w:rPr>
            </w:pPr>
            <w:r>
              <w:rPr>
                <w:rFonts w:ascii="Arial;Helvetica;sans-serif" w:hAnsi="Arial;Helvetica;sans-serif"/>
                <w:sz w:val="18"/>
              </w:rPr>
              <w:t>Merchandise inventories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(194</w:t>
            </w:r>
          </w:p>
        </w:tc>
        <w:tc>
          <w:tcPr>
            <w:tcW w:w="143"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(413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FFFFFF" w:val="clear"/>
            <w:tcMar>
              <w:bottom w:w="0" w:type="dxa"/>
            </w:tcMar>
            <w:vAlign w:val="center"/>
          </w:tcPr>
          <w:p>
            <w:pPr>
              <w:pStyle w:val="TableContents"/>
              <w:bidi w:val="0"/>
              <w:spacing w:before="0" w:after="0"/>
              <w:ind w:left="540" w:right="0" w:hanging="0"/>
              <w:jc w:val="left"/>
              <w:rPr>
                <w:rFonts w:ascii="Arial;Helvetica;sans-serif" w:hAnsi="Arial;Helvetica;sans-serif"/>
                <w:sz w:val="18"/>
              </w:rPr>
            </w:pPr>
            <w:r>
              <w:rPr>
                <w:rFonts w:ascii="Arial;Helvetica;sans-serif" w:hAnsi="Arial;Helvetica;sans-serif"/>
                <w:sz w:val="18"/>
              </w:rPr>
              <w:t>Accounts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23</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540" w:right="0" w:hanging="0"/>
              <w:jc w:val="left"/>
              <w:rPr>
                <w:rFonts w:ascii="Arial;Helvetica;sans-serif" w:hAnsi="Arial;Helvetica;sans-serif"/>
                <w:sz w:val="18"/>
              </w:rPr>
            </w:pPr>
            <w:r>
              <w:rPr>
                <w:rFonts w:ascii="Arial;Helvetica;sans-serif" w:hAnsi="Arial;Helvetica;sans-serif"/>
                <w:sz w:val="18"/>
              </w:rPr>
              <w:t>Accrued and other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(97</w:t>
            </w:r>
          </w:p>
        </w:tc>
        <w:tc>
          <w:tcPr>
            <w:tcW w:w="143"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(69</w:t>
            </w:r>
          </w:p>
        </w:tc>
        <w:tc>
          <w:tcPr>
            <w:tcW w:w="8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r>
      <w:tr>
        <w:trPr/>
        <w:tc>
          <w:tcPr>
            <w:tcW w:w="665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net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(68</w:t>
            </w:r>
          </w:p>
        </w:tc>
        <w:tc>
          <w:tcPr>
            <w:tcW w:w="143"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10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80" w:type="dxa"/>
            <w:tcBorders>
              <w:bottom w:val="single" w:sz="2" w:space="0" w:color="000000"/>
            </w:tcBorders>
            <w:shd w:fill="FFFFFF" w:val="clear"/>
            <w:vAlign w:val="center"/>
          </w:tcPr>
          <w:p>
            <w:pPr>
              <w:pStyle w:val="TableContents"/>
              <w:bidi w:val="0"/>
              <w:spacing w:before="0" w:after="0"/>
              <w:jc w:val="left"/>
              <w:rPr>
                <w:rFonts w:ascii="Arial;Helvetica;sans-serif" w:hAnsi="Arial;Helvetica;sans-serif"/>
                <w:sz w:val="18"/>
              </w:rPr>
            </w:pPr>
            <w:r>
              <w:rPr>
                <w:rFonts w:ascii="Arial;Helvetica;sans-serif" w:hAnsi="Arial;Helvetica;sans-serif"/>
                <w:sz w:val="18"/>
              </w:rPr>
              <w:t>)</w:t>
            </w:r>
          </w:p>
        </w:tc>
      </w:tr>
      <w:tr>
        <w:trPr/>
        <w:tc>
          <w:tcPr>
            <w:tcW w:w="665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used in operating activities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(184</w:t>
            </w:r>
          </w:p>
        </w:tc>
        <w:tc>
          <w:tcPr>
            <w:tcW w:w="143"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bottom w:val="single" w:sz="2" w:space="0" w:color="000000"/>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(102</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From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Capital expenditures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(105</w:t>
            </w:r>
          </w:p>
        </w:tc>
        <w:tc>
          <w:tcPr>
            <w:tcW w:w="143"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(156</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Purchase of business, net of cash acquired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pPr>
            <w:r>
              <w:rPr/>
              <w:t>—</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w:t>
            </w:r>
          </w:p>
        </w:tc>
        <w:tc>
          <w:tcPr>
            <w:tcW w:w="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Minority investments</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shd w:fill="CCEEFF" w:val="clear"/>
            <w:tcMar>
              <w:bottom w:w="0" w:type="dxa"/>
            </w:tcMar>
            <w:vAlign w:val="center"/>
          </w:tcPr>
          <w:p>
            <w:pPr>
              <w:pStyle w:val="TableContents"/>
              <w:bidi w:val="0"/>
              <w:spacing w:before="0" w:after="0"/>
              <w:ind w:left="0" w:right="0" w:hanging="0"/>
              <w:jc w:val="left"/>
              <w:rPr/>
            </w:pPr>
            <w:r>
              <w:rPr/>
              <w:t> </w:t>
            </w:r>
          </w:p>
        </w:tc>
        <w:tc>
          <w:tcPr>
            <w:tcW w:w="709" w:type="dxa"/>
            <w:tcBorders/>
            <w:shd w:fill="CCEEFF" w:val="clear"/>
            <w:tcMar>
              <w:bottom w:w="0"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w:t>
            </w:r>
          </w:p>
        </w:tc>
        <w:tc>
          <w:tcPr>
            <w:tcW w:w="143"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107"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shd w:fill="CCEEFF" w:val="clear"/>
            <w:tcMar>
              <w:bottom w:w="0" w:type="dxa"/>
            </w:tcMar>
            <w:vAlign w:val="center"/>
          </w:tcPr>
          <w:p>
            <w:pPr>
              <w:pStyle w:val="TableContents"/>
              <w:bidi w:val="0"/>
              <w:spacing w:before="0" w:after="0"/>
              <w:ind w:left="0" w:right="0" w:hanging="0"/>
              <w:jc w:val="left"/>
              <w:rPr/>
            </w:pPr>
            <w:r>
              <w:rPr/>
              <w:t> </w:t>
            </w:r>
          </w:p>
        </w:tc>
        <w:tc>
          <w:tcPr>
            <w:tcW w:w="709" w:type="dxa"/>
            <w:tcBorders/>
            <w:shd w:fill="CCEEFF" w:val="clear"/>
            <w:tcMar>
              <w:bottom w:w="0"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w:t>
            </w:r>
          </w:p>
        </w:tc>
        <w:tc>
          <w:tcPr>
            <w:tcW w:w="80" w:type="dxa"/>
            <w:tcBorders/>
            <w:shd w:fill="CCEEFF" w:val="clear"/>
            <w:tcMar>
              <w:bottom w:w="0" w:type="dxa"/>
            </w:tcMar>
            <w:vAlign w:val="center"/>
          </w:tcPr>
          <w:p>
            <w:pPr>
              <w:pStyle w:val="TableContents"/>
              <w:bidi w:val="0"/>
              <w:spacing w:before="0" w:after="0"/>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Proceeds from sales of businesses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10</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47</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665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Proceeds from minority investments</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14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665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used in investing activities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(96</w:t>
            </w:r>
          </w:p>
        </w:tc>
        <w:tc>
          <w:tcPr>
            <w:tcW w:w="143"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(113</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From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Dividends paid on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(75</w:t>
            </w:r>
          </w:p>
        </w:tc>
        <w:tc>
          <w:tcPr>
            <w:tcW w:w="143"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(76</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Purchase of treasury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Payment of obligations under finance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(3</w:t>
            </w:r>
          </w:p>
        </w:tc>
        <w:tc>
          <w:tcPr>
            <w:tcW w:w="143"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CCEEFF" w:val="clear"/>
            <w:tcMar>
              <w:bottom w:w="0" w:type="dxa"/>
            </w:tcMar>
            <w:vAlign w:val="center"/>
          </w:tcPr>
          <w:p>
            <w:pPr>
              <w:pStyle w:val="TableContents"/>
              <w:bidi w:val="0"/>
              <w:spacing w:before="0" w:after="0"/>
              <w:ind w:left="540" w:right="0" w:hanging="360"/>
              <w:jc w:val="left"/>
              <w:rPr>
                <w:rFonts w:ascii="Arial;Helvetica;sans-serif" w:hAnsi="Arial;Helvetica;sans-serif"/>
                <w:sz w:val="18"/>
              </w:rPr>
            </w:pPr>
            <w:r>
              <w:rPr>
                <w:rFonts w:ascii="Arial;Helvetica;sans-serif" w:hAnsi="Arial;Helvetica;sans-serif"/>
                <w:sz w:val="18"/>
              </w:rPr>
              <w:t>Shares of common stock repurchased to satisfy tax withholding obligations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(10</w:t>
            </w:r>
          </w:p>
        </w:tc>
        <w:tc>
          <w:tcPr>
            <w:tcW w:w="143"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Treasury stock reissued under employee stock 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3</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66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Proceeds from exercise of stock options</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shd w:fill="CCEEFF" w:val="clear"/>
            <w:tcMar>
              <w:bottom w:w="0" w:type="dxa"/>
            </w:tcMar>
            <w:vAlign w:val="center"/>
          </w:tcPr>
          <w:p>
            <w:pPr>
              <w:pStyle w:val="TableContents"/>
              <w:bidi w:val="0"/>
              <w:spacing w:before="0" w:after="0"/>
              <w:ind w:left="0" w:right="0" w:hanging="0"/>
              <w:jc w:val="left"/>
              <w:rPr/>
            </w:pPr>
            <w:r>
              <w:rPr/>
              <w:t> </w:t>
            </w:r>
          </w:p>
        </w:tc>
        <w:tc>
          <w:tcPr>
            <w:tcW w:w="709" w:type="dxa"/>
            <w:tcBorders/>
            <w:shd w:fill="CCEEFF" w:val="clear"/>
            <w:tcMar>
              <w:bottom w:w="0"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5</w:t>
            </w:r>
          </w:p>
        </w:tc>
        <w:tc>
          <w:tcPr>
            <w:tcW w:w="143" w:type="dxa"/>
            <w:tcBorders/>
            <w:shd w:fill="CCEEFF" w:val="clear"/>
            <w:tcMar>
              <w:bottom w:w="0" w:type="dxa"/>
            </w:tcMar>
            <w:vAlign w:val="center"/>
          </w:tcPr>
          <w:p>
            <w:pPr>
              <w:pStyle w:val="TableContents"/>
              <w:bidi w:val="0"/>
              <w:spacing w:before="0" w:after="0"/>
              <w:ind w:left="0" w:right="0" w:hanging="0"/>
              <w:jc w:val="left"/>
              <w:rPr/>
            </w:pPr>
            <w:r>
              <w:rPr/>
              <w:t> </w:t>
            </w:r>
          </w:p>
        </w:tc>
        <w:tc>
          <w:tcPr>
            <w:tcW w:w="107"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shd w:fill="CCEEFF" w:val="clear"/>
            <w:tcMar>
              <w:bottom w:w="0" w:type="dxa"/>
            </w:tcMar>
            <w:vAlign w:val="center"/>
          </w:tcPr>
          <w:p>
            <w:pPr>
              <w:pStyle w:val="TableContents"/>
              <w:bidi w:val="0"/>
              <w:spacing w:before="0" w:after="0"/>
              <w:ind w:left="0" w:right="0" w:hanging="0"/>
              <w:jc w:val="left"/>
              <w:rPr/>
            </w:pPr>
            <w:r>
              <w:rPr/>
              <w:t> </w:t>
            </w:r>
          </w:p>
        </w:tc>
        <w:tc>
          <w:tcPr>
            <w:tcW w:w="709" w:type="dxa"/>
            <w:tcBorders/>
            <w:shd w:fill="CCEEFF" w:val="clear"/>
            <w:tcMar>
              <w:bottom w:w="0"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665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Contribution from non-controlling interest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FFFFFF" w:val="clear"/>
            <w:vAlign w:val="center"/>
          </w:tcPr>
          <w:p>
            <w:pPr>
              <w:pStyle w:val="TableContents"/>
              <w:bidi w:val="0"/>
              <w:spacing w:before="0" w:after="0"/>
              <w:ind w:left="0" w:right="0" w:hanging="0"/>
              <w:jc w:val="right"/>
              <w:rPr/>
            </w:pPr>
            <w:r>
              <w:rPr/>
              <w:t>—</w:t>
            </w:r>
          </w:p>
        </w:tc>
        <w:tc>
          <w:tcPr>
            <w:tcW w:w="14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665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used in financing activities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(80</w:t>
            </w:r>
          </w:p>
        </w:tc>
        <w:tc>
          <w:tcPr>
            <w:tcW w:w="143"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bottom w:val="single" w:sz="2" w:space="0" w:color="000000"/>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(199</w:t>
            </w:r>
          </w:p>
        </w:tc>
        <w:tc>
          <w:tcPr>
            <w:tcW w:w="8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r>
      <w:tr>
        <w:trPr/>
        <w:tc>
          <w:tcPr>
            <w:tcW w:w="665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Effect of exchange rate fluctuations on cash, cash equivalents, and restricted cash</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3</w:t>
            </w:r>
          </w:p>
        </w:tc>
        <w:tc>
          <w:tcPr>
            <w:tcW w:w="14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w:t>
            </w:r>
          </w:p>
        </w:tc>
        <w:tc>
          <w:tcPr>
            <w:tcW w:w="80" w:type="dxa"/>
            <w:tcBorders>
              <w:bottom w:val="single" w:sz="2" w:space="0" w:color="000000"/>
            </w:tcBorders>
            <w:shd w:fill="FFFFFF" w:val="clear"/>
            <w:vAlign w:val="center"/>
          </w:tcPr>
          <w:p>
            <w:pPr>
              <w:pStyle w:val="TableContents"/>
              <w:bidi w:val="0"/>
              <w:spacing w:before="0" w:after="0"/>
              <w:jc w:val="left"/>
              <w:rPr>
                <w:rFonts w:ascii="Arial;Helvetica;sans-serif" w:hAnsi="Arial;Helvetica;sans-serif"/>
                <w:sz w:val="18"/>
              </w:rPr>
            </w:pPr>
            <w:r>
              <w:rPr>
                <w:rFonts w:ascii="Arial;Helvetica;sans-serif" w:hAnsi="Arial;Helvetica;sans-serif"/>
                <w:sz w:val="18"/>
              </w:rPr>
              <w:t>)</w:t>
            </w:r>
          </w:p>
        </w:tc>
      </w:tr>
      <w:tr>
        <w:trPr/>
        <w:tc>
          <w:tcPr>
            <w:tcW w:w="66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change in cash, cash equivalents, and restricted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ind w:left="0" w:right="0" w:hanging="0"/>
              <w:jc w:val="left"/>
              <w:rPr/>
            </w:pPr>
            <w:r>
              <w:rPr/>
              <w:t> </w:t>
            </w:r>
          </w:p>
        </w:tc>
        <w:tc>
          <w:tcPr>
            <w:tcW w:w="70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(357</w:t>
            </w:r>
          </w:p>
        </w:tc>
        <w:tc>
          <w:tcPr>
            <w:tcW w:w="143"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ind w:left="0" w:right="0" w:hanging="0"/>
              <w:jc w:val="left"/>
              <w:rPr/>
            </w:pPr>
            <w:r>
              <w:rPr/>
              <w:t> </w:t>
            </w:r>
          </w:p>
        </w:tc>
        <w:tc>
          <w:tcPr>
            <w:tcW w:w="70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65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cash equivalents, and restricted cash at beginning of year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582</w:t>
            </w:r>
          </w:p>
        </w:tc>
        <w:tc>
          <w:tcPr>
            <w:tcW w:w="143"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850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65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Cash, cash equivalents, and restricted cash at end of period</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9"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225</w:t>
            </w:r>
          </w:p>
        </w:tc>
        <w:tc>
          <w:tcPr>
            <w:tcW w:w="143" w:type="dxa"/>
            <w:tcBorders>
              <w:bottom w:val="double" w:sz="6" w:space="0" w:color="000000"/>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9"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431</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3"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933"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Supplemental information: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Interest paid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9</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Income taxes paid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75</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6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Cash paid for amounts included in measurement of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344</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354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650" w:type="dxa"/>
            <w:tcBorders/>
            <w:shd w:fill="CCEEFF" w:val="clear"/>
            <w:tcMar>
              <w:bottom w:w="0" w:type="dxa"/>
            </w:tcMar>
            <w:vAlign w:val="center"/>
          </w:tcPr>
          <w:p>
            <w:pPr>
              <w:pStyle w:val="TableContents"/>
              <w:bidi w:val="0"/>
              <w:spacing w:before="0" w:after="0"/>
              <w:ind w:left="360" w:right="0" w:hanging="180"/>
              <w:jc w:val="left"/>
              <w:rPr>
                <w:rFonts w:ascii="Arial;Helvetica;sans-serif" w:hAnsi="Arial;Helvetica;sans-serif"/>
                <w:sz w:val="18"/>
              </w:rPr>
            </w:pPr>
            <w:r>
              <w:rPr>
                <w:rFonts w:ascii="Arial;Helvetica;sans-serif" w:hAnsi="Arial;Helvetica;sans-serif"/>
                <w:sz w:val="18"/>
              </w:rPr>
              <w:t>Cash paid for amounts included in measurement of finance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4</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9"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665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Right-of-use assets obtained in exchange for operating lease obligations</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24" w:type="dxa"/>
            <w:tcBorders/>
            <w:shd w:fill="FFFFFF" w:val="clear"/>
            <w:tcMar>
              <w:bottom w:w="0" w:type="dxa"/>
            </w:tcMar>
            <w:vAlign w:val="center"/>
          </w:tcPr>
          <w:p>
            <w:pPr>
              <w:pStyle w:val="TableContents"/>
              <w:bidi w:val="0"/>
              <w:spacing w:before="0" w:after="0"/>
              <w:ind w:left="0" w:right="0" w:hanging="0"/>
              <w:jc w:val="left"/>
              <w:rPr/>
            </w:pPr>
            <w:r>
              <w:rPr/>
              <w:t> </w:t>
            </w:r>
          </w:p>
        </w:tc>
        <w:tc>
          <w:tcPr>
            <w:tcW w:w="709" w:type="dxa"/>
            <w:tcBorders/>
            <w:shd w:fill="FFFFFF" w:val="clear"/>
            <w:tcMar>
              <w:bottom w:w="0"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89</w:t>
            </w:r>
          </w:p>
        </w:tc>
        <w:tc>
          <w:tcPr>
            <w:tcW w:w="143"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224" w:type="dxa"/>
            <w:tcBorders/>
            <w:shd w:fill="FFFFFF" w:val="clear"/>
            <w:tcMar>
              <w:bottom w:w="0" w:type="dxa"/>
            </w:tcMar>
            <w:vAlign w:val="center"/>
          </w:tcPr>
          <w:p>
            <w:pPr>
              <w:pStyle w:val="TableContents"/>
              <w:bidi w:val="0"/>
              <w:spacing w:before="0" w:after="0"/>
              <w:ind w:left="0" w:right="0" w:hanging="0"/>
              <w:jc w:val="left"/>
              <w:rPr/>
            </w:pPr>
            <w:r>
              <w:rPr/>
              <w:t> </w:t>
            </w:r>
          </w:p>
        </w:tc>
        <w:tc>
          <w:tcPr>
            <w:tcW w:w="709" w:type="dxa"/>
            <w:tcBorders/>
            <w:shd w:fill="FFFFFF" w:val="clear"/>
            <w:tcMar>
              <w:bottom w:w="0"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665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Assets obtained in exchange for finance lease obligations</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14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caps w:val="false"/>
          <w:smallCaps w:val="false"/>
          <w:sz w:val="18"/>
        </w:rPr>
      </w:pPr>
      <w:r>
        <w:rPr>
          <w:rFonts w:ascii="arial" w:hAnsi="arial"/>
          <w:caps w:val="false"/>
          <w:smallCaps w:val="false"/>
          <w:sz w:val="18"/>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Second Quarter 2023 Form 10-Q Page 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bookmarkStart w:id="9" w:name="notes"/>
      <w:bookmarkEnd w:id="9"/>
      <w:r>
        <w:rPr>
          <w:caps w:val="false"/>
          <w:smallCaps w:val="false"/>
        </w:rPr>
        <w:drawing>
          <wp:inline distT="0" distB="0" distL="0" distR="0">
            <wp:extent cx="2695575" cy="314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69557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 w:hAnsi="arial"/>
          <w:caps w:val="false"/>
          <w:smallCaps w:val="false"/>
          <w:sz w:val="20"/>
        </w:rPr>
      </w:pPr>
      <w:r>
        <w:rPr>
          <w:rFonts w:ascii="arial" w:hAnsi="arial"/>
          <w:b/>
          <w:caps w:val="false"/>
          <w:smallCaps w:val="false"/>
          <w:sz w:val="20"/>
        </w:rPr>
        <w:t>NOTES TO THE UNAUDITED CONDENSED</w:t>
      </w:r>
      <w:r>
        <w:rPr>
          <w:rFonts w:ascii="arial" w:hAnsi="arial"/>
          <w:caps w:val="false"/>
          <w:smallCaps w:val="false"/>
          <w:sz w:val="20"/>
        </w:rPr>
        <w:t xml:space="preserve"> </w:t>
      </w:r>
      <w:r>
        <w:rPr>
          <w:rFonts w:ascii="arial" w:hAnsi="arial"/>
          <w:b/>
          <w:caps w:val="false"/>
          <w:smallCaps w:val="false"/>
          <w:sz w:val="20"/>
        </w:rPr>
        <w:t>CONSOLIDATED FINANCIAL STATEMENTS</w:t>
      </w:r>
      <w:r>
        <w:rPr>
          <w:rFonts w:ascii="arial" w:hAnsi="arial"/>
          <w:caps w:val="false"/>
          <w:smallCaps w:val="false"/>
          <w:sz w:val="20"/>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Foot Locker, Inc., together with its consolidated subsidiaries (“Foot Locker,” “Company,” “we,” “our,” and “us”), is a leading footwear and apparel retailer. We have integrated all available shopping channels including stores, websites, apps, and social channels. Store sales are primarily fulfilled from the store’s inventory, but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also be shipped from any of our distribution centers or from a different store location if an item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available at the original store. Direct-to-customer orders are generally shipped to our customers through our distribution centers but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also be shipped from any store or a combination of our distribution centers and stores depending on availability of particular items. We operate in North America, Europe, and Asia Pacific, representing our operating segments. We aggregate these operating segments into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reportable segment based upon their shared customer base and similar economic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accompanying interim Unaudited Condensed Consolidated Financial Statements have been prepared in accordance with accounting principles generally accepted in the United States of America (“U.S. GAAP”) and the rules and regulations of the Securities and Exchange Commission. Accordingly, they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include all of the information and notes required by U.S. GAAP for complete financial statements.  In the opinion of management, all adjustments (consisting of normal recurring accruals) considered necessary for a fair presentation have been included. The results of operations for any interim period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necessarily indicative of the results expected for the year. Additionally, the results of operations for the period ended </w:t>
      </w:r>
      <w:r>
        <w:rPr>
          <w:rStyle w:val="Emphasis"/>
          <w:rFonts w:ascii="Arial;Helvetica;sans-serif" w:hAnsi="Arial;Helvetica;sans-serif"/>
          <w:caps w:val="false"/>
          <w:smallCaps w:val="false"/>
          <w:sz w:val="20"/>
        </w:rPr>
        <w:t xml:space="preserve"> July 29, 2023</w:t>
      </w:r>
      <w:r>
        <w:rPr>
          <w:rFonts w:ascii="Arial;Helvetica;sans-serif" w:hAnsi="Arial;Helvetica;sans-serif"/>
          <w:caps w:val="false"/>
          <w:smallCaps w:val="false"/>
          <w:sz w:val="20"/>
        </w:rPr>
        <w:t xml:space="preserve">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necessarily indicative of the results to be expected for the full fiscal year due to the continued uncertainty of general economic conditions that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affect us for the remainder of the year. Fiscal year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will include the </w:t>
      </w:r>
      <w:r>
        <w:rPr>
          <w:rStyle w:val="Emphasis"/>
          <w:rFonts w:ascii="Arial;Helvetica;sans-serif" w:hAnsi="Arial;Helvetica;sans-serif"/>
          <w:caps w:val="false"/>
          <w:smallCaps w:val="false"/>
          <w:sz w:val="20"/>
        </w:rPr>
        <w:t>53</w:t>
      </w:r>
      <w:r>
        <w:rPr>
          <w:rFonts w:ascii="Arial;Helvetica;sans-serif" w:hAnsi="Arial;Helvetica;sans-serif"/>
          <w:caps w:val="false"/>
          <w:smallCaps w:val="false"/>
          <w:sz w:val="20"/>
        </w:rPr>
        <w:t xml:space="preserve">-week period that ends on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accompanying unaudited condensed consolidated financial statements should be read in conjunction with the Notes to Consolidated Financial Statements contained in our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Form </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 xml:space="preserve">-K. Certain reclassifications have been made to prior period financial statements to conform to the current period presentation. In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we separately present licensing revenue as a component of total revenue in the Condensed Consolidated Statements of Operations, as previously licensing revenue was presented within other income /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There were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significant changes to the policies disclosed in Note </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w:t>
      </w:r>
      <w:r>
        <w:rPr>
          <w:rFonts w:ascii="Arial;Helvetica;sans-serif" w:hAnsi="Arial;Helvetica;sans-serif"/>
          <w:i/>
          <w:caps w:val="false"/>
          <w:smallCaps w:val="false"/>
          <w:sz w:val="20"/>
        </w:rPr>
        <w:t>Summary of Significant Accounting Policies </w:t>
      </w:r>
      <w:r>
        <w:rPr>
          <w:rFonts w:ascii="Arial;Helvetica;sans-serif" w:hAnsi="Arial;Helvetica;sans-serif"/>
          <w:caps w:val="false"/>
          <w:smallCaps w:val="false"/>
          <w:sz w:val="20"/>
        </w:rPr>
        <w:t>of our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Form </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-K.</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 xml:space="preserve">Recent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Recently issued accounting pronouncements did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or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believed by management to, have a material effect on our present or future consolidated financial statements.</w:t>
      </w:r>
    </w:p>
    <w:p>
      <w:pPr>
        <w:pStyle w:val="TextBody"/>
        <w:bidi w:val="0"/>
        <w:ind w:left="0" w:right="0" w:hanging="0"/>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w:t>
      </w:r>
      <w:r>
        <w:rPr>
          <w:rFonts w:ascii="Arial;Helvetica;sans-serif" w:hAnsi="Arial;Helvetica;sans-serif"/>
          <w:b/>
          <w:caps w:val="false"/>
          <w:smallCaps w:val="false"/>
          <w:sz w:val="20"/>
        </w:rPr>
        <w:t xml:space="preserv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table below presents sales disaggregated by sales channel, as well as licensing revenue earned from our various franchised arrangements. Sales are attributable to the channel in which the sales transaction is initiated.</w:t>
      </w:r>
    </w:p>
    <w:p>
      <w:pPr>
        <w:pStyle w:val="TextBody"/>
        <w:bidi w:val="0"/>
        <w:spacing w:before="0" w:after="0"/>
        <w:ind w:left="0" w:right="0" w:hanging="0"/>
        <w:jc w:val="both"/>
        <w:rPr>
          <w:caps w:val="false"/>
          <w:smallCaps w:val="false"/>
        </w:rPr>
      </w:pPr>
      <w:r>
        <w:rPr>
          <w:caps w:val="false"/>
          <w:smallCaps w:val="false"/>
        </w:rPr>
        <w:t> </w:t>
      </w:r>
    </w:p>
    <w:tbl>
      <w:tblPr>
        <w:tblW w:w="5856" w:type="dxa"/>
        <w:jc w:val="left"/>
        <w:tblInd w:w="0" w:type="dxa"/>
        <w:tblLayout w:type="fixed"/>
        <w:tblCellMar>
          <w:top w:w="0" w:type="dxa"/>
          <w:left w:w="0" w:type="dxa"/>
          <w:bottom w:w="28" w:type="dxa"/>
          <w:right w:w="0" w:type="dxa"/>
        </w:tblCellMar>
      </w:tblPr>
      <w:tblGrid>
        <w:gridCol w:w="1610"/>
        <w:gridCol w:w="60"/>
        <w:gridCol w:w="176"/>
        <w:gridCol w:w="685"/>
        <w:gridCol w:w="84"/>
        <w:gridCol w:w="84"/>
        <w:gridCol w:w="176"/>
        <w:gridCol w:w="685"/>
        <w:gridCol w:w="60"/>
        <w:gridCol w:w="60"/>
        <w:gridCol w:w="197"/>
        <w:gridCol w:w="767"/>
        <w:gridCol w:w="94"/>
        <w:gridCol w:w="94"/>
        <w:gridCol w:w="197"/>
        <w:gridCol w:w="767"/>
        <w:gridCol w:w="60"/>
      </w:tblGrid>
      <w:tr>
        <w:trPr/>
        <w:tc>
          <w:tcPr>
            <w:tcW w:w="161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0"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Twenty-six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1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86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6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94"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96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1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Sales by Channel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67"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6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Stores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1,572</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7"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3,185</w:t>
            </w:r>
          </w:p>
        </w:tc>
        <w:tc>
          <w:tcPr>
            <w:tcW w:w="94"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197"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3,492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1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Direct-to-customers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289</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603</w:t>
            </w:r>
          </w:p>
        </w:tc>
        <w:tc>
          <w:tcPr>
            <w:tcW w:w="94" w:type="dxa"/>
            <w:tcBorders>
              <w:bottom w:val="single" w:sz="2" w:space="0" w:color="000000"/>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61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685"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1,861</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685"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67"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3,788</w:t>
            </w:r>
          </w:p>
        </w:tc>
        <w:tc>
          <w:tcPr>
            <w:tcW w:w="94"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67"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4,240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61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Licensing revenue</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3</w:t>
            </w:r>
          </w:p>
        </w:tc>
        <w:tc>
          <w:tcPr>
            <w:tcW w:w="8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7</w:t>
            </w:r>
          </w:p>
        </w:tc>
        <w:tc>
          <w:tcPr>
            <w:tcW w:w="9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w:t>
            </w:r>
          </w:p>
        </w:tc>
        <w:tc>
          <w:tcPr>
            <w:tcW w:w="6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161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revenue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1,864</w:t>
            </w:r>
          </w:p>
        </w:tc>
        <w:tc>
          <w:tcPr>
            <w:tcW w:w="84" w:type="dxa"/>
            <w:tcBorders>
              <w:bottom w:val="double" w:sz="6" w:space="0" w:color="000000"/>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2,068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3,795</w:t>
            </w:r>
          </w:p>
        </w:tc>
        <w:tc>
          <w:tcPr>
            <w:tcW w:w="94" w:type="dxa"/>
            <w:tcBorders>
              <w:bottom w:val="double" w:sz="6" w:space="0" w:color="000000"/>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4,246</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Second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6</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jc w:val="center"/>
        <w:rPr/>
      </w:pPr>
      <w:r>
        <w:rPr/>
        <w:drawing>
          <wp:inline distT="0" distB="0" distL="0" distR="0">
            <wp:extent cx="2695575" cy="3143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2.</w:t>
      </w:r>
      <w:r>
        <w:rPr>
          <w:rFonts w:ascii="Arial;Helvetica;sans-serif" w:hAnsi="Arial;Helvetica;sans-serif"/>
          <w:b/>
          <w:caps w:val="false"/>
          <w:smallCaps w:val="false"/>
          <w:sz w:val="20"/>
        </w:rPr>
        <w:t xml:space="preserve"> Revenue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Revenue is attributed to the country in which the transaction is fulfilled, and revenue by geographic area is presented in the following table.</w:t>
      </w:r>
    </w:p>
    <w:p>
      <w:pPr>
        <w:pStyle w:val="TextBody"/>
        <w:bidi w:val="0"/>
        <w:spacing w:before="0" w:after="0"/>
        <w:ind w:left="0" w:right="0" w:hanging="0"/>
        <w:jc w:val="both"/>
        <w:rPr/>
      </w:pPr>
      <w:r>
        <w:rPr/>
        <w:t> </w:t>
      </w:r>
    </w:p>
    <w:tbl>
      <w:tblPr>
        <w:tblW w:w="6276" w:type="dxa"/>
        <w:jc w:val="left"/>
        <w:tblInd w:w="0" w:type="dxa"/>
        <w:tblLayout w:type="fixed"/>
        <w:tblCellMar>
          <w:top w:w="0" w:type="dxa"/>
          <w:left w:w="0" w:type="dxa"/>
          <w:bottom w:w="28" w:type="dxa"/>
          <w:right w:w="0" w:type="dxa"/>
        </w:tblCellMar>
      </w:tblPr>
      <w:tblGrid>
        <w:gridCol w:w="2030"/>
        <w:gridCol w:w="60"/>
        <w:gridCol w:w="176"/>
        <w:gridCol w:w="685"/>
        <w:gridCol w:w="84"/>
        <w:gridCol w:w="84"/>
        <w:gridCol w:w="176"/>
        <w:gridCol w:w="685"/>
        <w:gridCol w:w="60"/>
        <w:gridCol w:w="60"/>
        <w:gridCol w:w="197"/>
        <w:gridCol w:w="767"/>
        <w:gridCol w:w="94"/>
        <w:gridCol w:w="94"/>
        <w:gridCol w:w="197"/>
        <w:gridCol w:w="767"/>
        <w:gridCol w:w="60"/>
      </w:tblGrid>
      <w:tr>
        <w:trPr/>
        <w:tc>
          <w:tcPr>
            <w:tcW w:w="203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0"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Twenty-six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86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6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94"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96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03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Revenue by Geography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67"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6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03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United States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1,177</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7"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2,464</w:t>
            </w:r>
          </w:p>
        </w:tc>
        <w:tc>
          <w:tcPr>
            <w:tcW w:w="94"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197"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03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International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687</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682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1,331</w:t>
            </w:r>
          </w:p>
        </w:tc>
        <w:tc>
          <w:tcPr>
            <w:tcW w:w="94" w:type="dxa"/>
            <w:tcBorders>
              <w:bottom w:val="single" w:sz="2" w:space="0" w:color="000000"/>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1,316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03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revenue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1,864</w:t>
            </w:r>
          </w:p>
        </w:tc>
        <w:tc>
          <w:tcPr>
            <w:tcW w:w="84" w:type="dxa"/>
            <w:tcBorders>
              <w:bottom w:val="double" w:sz="6" w:space="0" w:color="000000"/>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2,068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3,795</w:t>
            </w:r>
          </w:p>
        </w:tc>
        <w:tc>
          <w:tcPr>
            <w:tcW w:w="94" w:type="dxa"/>
            <w:tcBorders>
              <w:bottom w:val="double" w:sz="6" w:space="0" w:color="000000"/>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4,246</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Sales by banner and operating segment are presented in the following table.</w:t>
      </w:r>
    </w:p>
    <w:p>
      <w:pPr>
        <w:pStyle w:val="TextBody"/>
        <w:bidi w:val="0"/>
        <w:spacing w:before="0" w:after="0"/>
        <w:ind w:left="0" w:right="0" w:hanging="0"/>
        <w:jc w:val="left"/>
        <w:rPr>
          <w:caps w:val="false"/>
          <w:smallCaps w:val="false"/>
        </w:rPr>
      </w:pPr>
      <w:r>
        <w:rPr>
          <w:caps w:val="false"/>
          <w:smallCaps w:val="false"/>
        </w:rPr>
        <w:t> </w:t>
      </w:r>
    </w:p>
    <w:tbl>
      <w:tblPr>
        <w:tblW w:w="5661" w:type="dxa"/>
        <w:jc w:val="left"/>
        <w:tblInd w:w="0" w:type="dxa"/>
        <w:tblLayout w:type="fixed"/>
        <w:tblCellMar>
          <w:top w:w="0" w:type="dxa"/>
          <w:left w:w="0" w:type="dxa"/>
          <w:bottom w:w="28" w:type="dxa"/>
          <w:right w:w="0" w:type="dxa"/>
        </w:tblCellMar>
      </w:tblPr>
      <w:tblGrid>
        <w:gridCol w:w="1400"/>
        <w:gridCol w:w="60"/>
        <w:gridCol w:w="176"/>
        <w:gridCol w:w="685"/>
        <w:gridCol w:w="84"/>
        <w:gridCol w:w="84"/>
        <w:gridCol w:w="176"/>
        <w:gridCol w:w="685"/>
        <w:gridCol w:w="60"/>
        <w:gridCol w:w="60"/>
        <w:gridCol w:w="197"/>
        <w:gridCol w:w="767"/>
        <w:gridCol w:w="94"/>
        <w:gridCol w:w="94"/>
        <w:gridCol w:w="197"/>
        <w:gridCol w:w="767"/>
        <w:gridCol w:w="75"/>
      </w:tblGrid>
      <w:tr>
        <w:trPr/>
        <w:tc>
          <w:tcPr>
            <w:tcW w:w="140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0"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Twenty-six weeks ended</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40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86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6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94"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96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4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Foot Locker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704</w:t>
            </w:r>
          </w:p>
        </w:tc>
        <w:tc>
          <w:tcPr>
            <w:tcW w:w="84"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7"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1,448</w:t>
            </w:r>
          </w:p>
        </w:tc>
        <w:tc>
          <w:tcPr>
            <w:tcW w:w="94"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197"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1,559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Champs Sports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293</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ind w:left="0" w:right="0" w:hanging="0"/>
              <w:jc w:val="left"/>
              <w:rPr/>
            </w:pPr>
            <w:r>
              <w:rPr/>
              <w:t> </w:t>
            </w:r>
          </w:p>
        </w:tc>
        <w:tc>
          <w:tcPr>
            <w:tcW w:w="76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621</w:t>
            </w:r>
          </w:p>
        </w:tc>
        <w:tc>
          <w:tcPr>
            <w:tcW w:w="94"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ind w:left="0" w:right="0" w:hanging="0"/>
              <w:jc w:val="left"/>
              <w:rPr/>
            </w:pPr>
            <w:r>
              <w:rPr/>
              <w:t> </w:t>
            </w:r>
          </w:p>
        </w:tc>
        <w:tc>
          <w:tcPr>
            <w:tcW w:w="76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860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Kids 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pPr>
            <w:r>
              <w:rPr/>
              <w:t> </w:t>
            </w:r>
          </w:p>
        </w:tc>
        <w:tc>
          <w:tcPr>
            <w:tcW w:w="6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146</w:t>
            </w:r>
          </w:p>
        </w:tc>
        <w:tc>
          <w:tcPr>
            <w:tcW w:w="84"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pPr>
            <w:r>
              <w:rPr/>
              <w:t> </w:t>
            </w:r>
          </w:p>
        </w:tc>
        <w:tc>
          <w:tcPr>
            <w:tcW w:w="6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ind w:left="0" w:right="0" w:hanging="0"/>
              <w:jc w:val="left"/>
              <w:rPr/>
            </w:pPr>
            <w:r>
              <w:rPr/>
              <w:t> </w:t>
            </w:r>
          </w:p>
        </w:tc>
        <w:tc>
          <w:tcPr>
            <w:tcW w:w="76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313</w:t>
            </w:r>
          </w:p>
        </w:tc>
        <w:tc>
          <w:tcPr>
            <w:tcW w:w="94"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ind w:left="0" w:right="0" w:hanging="0"/>
              <w:jc w:val="left"/>
              <w:rPr/>
            </w:pPr>
            <w:r>
              <w:rPr/>
              <w:t> </w:t>
            </w:r>
          </w:p>
        </w:tc>
        <w:tc>
          <w:tcPr>
            <w:tcW w:w="76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145</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ind w:left="0" w:right="0" w:hanging="0"/>
              <w:jc w:val="left"/>
              <w:rPr/>
            </w:pPr>
            <w:r>
              <w:rPr/>
              <w:t> </w:t>
            </w:r>
          </w:p>
        </w:tc>
        <w:tc>
          <w:tcPr>
            <w:tcW w:w="76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295</w:t>
            </w:r>
          </w:p>
        </w:tc>
        <w:tc>
          <w:tcPr>
            <w:tcW w:w="94"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ind w:left="0" w:right="0" w:hanging="0"/>
              <w:jc w:val="left"/>
              <w:rPr/>
            </w:pPr>
            <w:r>
              <w:rPr/>
              <w:t> </w:t>
            </w:r>
          </w:p>
        </w:tc>
        <w:tc>
          <w:tcPr>
            <w:tcW w:w="76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0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94" w:type="dxa"/>
            <w:tcBorders>
              <w:bottom w:val="single" w:sz="2" w:space="0" w:color="000000"/>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90</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4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North America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1,288</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1,488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2,677</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3,120</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40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Foot Locker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pPr>
            <w:r>
              <w:rPr/>
              <w:t> </w:t>
            </w:r>
          </w:p>
        </w:tc>
        <w:tc>
          <w:tcPr>
            <w:tcW w:w="6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416</w:t>
            </w:r>
          </w:p>
        </w:tc>
        <w:tc>
          <w:tcPr>
            <w:tcW w:w="84"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pPr>
            <w:r>
              <w:rPr/>
              <w:t> </w:t>
            </w:r>
          </w:p>
        </w:tc>
        <w:tc>
          <w:tcPr>
            <w:tcW w:w="6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ind w:left="0" w:right="0" w:hanging="0"/>
              <w:jc w:val="left"/>
              <w:rPr/>
            </w:pPr>
            <w:r>
              <w:rPr/>
              <w:t> </w:t>
            </w:r>
          </w:p>
        </w:tc>
        <w:tc>
          <w:tcPr>
            <w:tcW w:w="76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795</w:t>
            </w:r>
          </w:p>
        </w:tc>
        <w:tc>
          <w:tcPr>
            <w:tcW w:w="94"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ind w:left="0" w:right="0" w:hanging="0"/>
              <w:jc w:val="left"/>
              <w:rPr/>
            </w:pPr>
            <w:r>
              <w:rPr/>
              <w:t> </w:t>
            </w:r>
          </w:p>
        </w:tc>
        <w:tc>
          <w:tcPr>
            <w:tcW w:w="76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Sidestep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12</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26</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49</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40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EMEA</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428</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821</w:t>
            </w:r>
          </w:p>
        </w:tc>
        <w:tc>
          <w:tcPr>
            <w:tcW w:w="94" w:type="dxa"/>
            <w:tcBorders>
              <w:bottom w:val="single" w:sz="2" w:space="0" w:color="000000"/>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830</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4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Foot Locker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102</w:t>
            </w:r>
          </w:p>
        </w:tc>
        <w:tc>
          <w:tcPr>
            <w:tcW w:w="84"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6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ind w:left="0" w:right="0" w:hanging="0"/>
              <w:jc w:val="left"/>
              <w:rPr/>
            </w:pPr>
            <w:r>
              <w:rPr/>
              <w:t> </w:t>
            </w:r>
          </w:p>
        </w:tc>
        <w:tc>
          <w:tcPr>
            <w:tcW w:w="76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200</w:t>
            </w:r>
          </w:p>
        </w:tc>
        <w:tc>
          <w:tcPr>
            <w:tcW w:w="94"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ind w:left="0" w:right="0" w:hanging="0"/>
              <w:jc w:val="left"/>
              <w:rPr/>
            </w:pPr>
            <w:r>
              <w:rPr/>
              <w:t> </w:t>
            </w:r>
          </w:p>
        </w:tc>
        <w:tc>
          <w:tcPr>
            <w:tcW w:w="76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0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atmos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43</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90</w:t>
            </w:r>
          </w:p>
        </w:tc>
        <w:tc>
          <w:tcPr>
            <w:tcW w:w="94" w:type="dxa"/>
            <w:tcBorders>
              <w:bottom w:val="single" w:sz="2" w:space="0" w:color="000000"/>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97</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4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Asia Pacific</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145</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290</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290</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40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sales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1,861</w:t>
            </w:r>
          </w:p>
        </w:tc>
        <w:tc>
          <w:tcPr>
            <w:tcW w:w="84" w:type="dxa"/>
            <w:tcBorders>
              <w:bottom w:val="double" w:sz="6" w:space="0" w:color="000000"/>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2,065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3,788</w:t>
            </w:r>
          </w:p>
        </w:tc>
        <w:tc>
          <w:tcPr>
            <w:tcW w:w="94" w:type="dxa"/>
            <w:tcBorders>
              <w:bottom w:val="double" w:sz="6" w:space="0" w:color="000000"/>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4,240</w:t>
            </w:r>
          </w:p>
        </w:tc>
        <w:tc>
          <w:tcPr>
            <w:tcW w:w="75"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30"/>
        <w:gridCol w:w="9080"/>
      </w:tblGrid>
      <w:tr>
        <w:trPr/>
        <w:tc>
          <w:tcPr>
            <w:tcW w:w="230"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9080"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Other includes sales from banners that we </w:t>
            </w:r>
            <w:r>
              <w:rPr>
                <w:rStyle w:val="Emphasis"/>
                <w:rFonts w:ascii="Arial;Helvetica;sans-serif" w:hAnsi="Arial;Helvetica;sans-serif"/>
                <w:caps w:val="false"/>
                <w:smallCaps w:val="false"/>
                <w:sz w:val="16"/>
              </w:rPr>
              <w:t>no</w:t>
            </w:r>
            <w:r>
              <w:rPr>
                <w:rFonts w:ascii="Arial;Helvetica;sans-serif" w:hAnsi="Arial;Helvetica;sans-serif"/>
                <w:caps w:val="false"/>
                <w:smallCaps w:val="false"/>
                <w:sz w:val="16"/>
              </w:rPr>
              <w:t xml:space="preserve"> longer operate and primarily represented Eastbay in the prior-year period.</w:t>
            </w:r>
          </w:p>
        </w:tc>
      </w:tr>
      <w:tr>
        <w:trPr/>
        <w:tc>
          <w:tcPr>
            <w:tcW w:w="230" w:type="dxa"/>
            <w:tcBorders/>
            <w:vAlign w:val="center"/>
          </w:tcPr>
          <w:p>
            <w:pPr>
              <w:pStyle w:val="TableContents"/>
              <w:bidi w:val="0"/>
              <w:spacing w:lineRule="auto" w:line="288" w:before="0" w:after="283"/>
              <w:jc w:val="left"/>
              <w:rPr/>
            </w:pPr>
            <w:r>
              <w:rPr>
                <w:rFonts w:ascii="Arial;Helvetica;sans-serif" w:hAnsi="Arial;Helvetica;sans-serif"/>
                <w:sz w:val="16"/>
              </w:rPr>
              <w:t>(</w:t>
            </w:r>
            <w:r>
              <w:rPr>
                <w:rStyle w:val="Emphasis"/>
                <w:rFonts w:ascii="Arial;Helvetica;sans-serif" w:hAnsi="Arial;Helvetica;sans-serif"/>
                <w:sz w:val="16"/>
              </w:rPr>
              <w:t>2</w:t>
            </w:r>
            <w:r>
              <w:rPr>
                <w:rFonts w:ascii="Arial;Helvetica;sans-serif" w:hAnsi="Arial;Helvetica;sans-serif"/>
                <w:sz w:val="16"/>
              </w:rPr>
              <w:t>)</w:t>
            </w:r>
          </w:p>
        </w:tc>
        <w:tc>
          <w:tcPr>
            <w:tcW w:w="9080" w:type="dxa"/>
            <w:tcBorders/>
            <w:vAlign w:val="center"/>
          </w:tcPr>
          <w:p>
            <w:pPr>
              <w:pStyle w:val="TableContents"/>
              <w:bidi w:val="0"/>
              <w:spacing w:before="0" w:after="283"/>
              <w:jc w:val="left"/>
              <w:rPr/>
            </w:pPr>
            <w:r>
              <w:rPr>
                <w:rFonts w:ascii="Arial;Helvetica;sans-serif" w:hAnsi="Arial;Helvetica;sans-serif"/>
                <w:sz w:val="16"/>
              </w:rPr>
              <w:t xml:space="preserve">Includes sales from </w:t>
            </w:r>
            <w:r>
              <w:rPr>
                <w:rStyle w:val="Emphasis"/>
                <w:rFonts w:ascii="Arial;Helvetica;sans-serif" w:hAnsi="Arial;Helvetica;sans-serif"/>
                <w:sz w:val="16"/>
              </w:rPr>
              <w:t>14</w:t>
            </w:r>
            <w:r>
              <w:rPr>
                <w:rFonts w:ascii="Arial;Helvetica;sans-serif" w:hAnsi="Arial;Helvetica;sans-serif"/>
                <w:sz w:val="16"/>
              </w:rPr>
              <w:t xml:space="preserve"> and </w:t>
            </w:r>
            <w:r>
              <w:rPr>
                <w:rStyle w:val="Emphasis"/>
                <w:rFonts w:ascii="Arial;Helvetica;sans-serif" w:hAnsi="Arial;Helvetica;sans-serif"/>
                <w:sz w:val="16"/>
              </w:rPr>
              <w:t>15</w:t>
            </w:r>
            <w:r>
              <w:rPr>
                <w:rFonts w:ascii="Arial;Helvetica;sans-serif" w:hAnsi="Arial;Helvetica;sans-serif"/>
                <w:sz w:val="16"/>
              </w:rPr>
              <w:t xml:space="preserve"> Kids Foot Locker stores operating in Europe for </w:t>
            </w:r>
            <w:r>
              <w:rPr>
                <w:rStyle w:val="Emphasis"/>
                <w:rFonts w:ascii="Arial;Helvetica;sans-serif" w:hAnsi="Arial;Helvetica;sans-serif"/>
                <w:sz w:val="16"/>
              </w:rPr>
              <w:t xml:space="preserve">July 29, 2023 </w:t>
            </w:r>
            <w:r>
              <w:rPr>
                <w:rFonts w:ascii="Arial;Helvetica;sans-serif" w:hAnsi="Arial;Helvetica;sans-serif"/>
                <w:sz w:val="16"/>
              </w:rPr>
              <w:t xml:space="preserve">and </w:t>
            </w:r>
            <w:r>
              <w:rPr>
                <w:rStyle w:val="Emphasis"/>
                <w:rFonts w:ascii="Arial;Helvetica;sans-serif" w:hAnsi="Arial;Helvetica;sans-serif"/>
                <w:sz w:val="16"/>
              </w:rPr>
              <w:t xml:space="preserve">July 30, 2022, </w:t>
            </w:r>
            <w:r>
              <w:rPr>
                <w:rFonts w:ascii="Arial;Helvetica;sans-serif" w:hAnsi="Arial;Helvetica;sans-serif"/>
                <w:sz w:val="16"/>
              </w:rPr>
              <w:t>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sell gift cards, which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have expiration dates. Revenue from gift card sales is recorded when the gift cards are redeemed by customers. Breakage income is recognized as revenue in proportion to the pattern of rights exercised by the customer. The table below presents the activity of our gift card liability balance.</w:t>
      </w:r>
    </w:p>
    <w:p>
      <w:pPr>
        <w:pStyle w:val="TextBody"/>
        <w:bidi w:val="0"/>
        <w:spacing w:before="0" w:after="0"/>
        <w:ind w:left="0" w:right="0" w:hanging="0"/>
        <w:jc w:val="left"/>
        <w:rPr>
          <w:caps w:val="false"/>
          <w:smallCaps w:val="false"/>
        </w:rPr>
      </w:pPr>
      <w:r>
        <w:rPr>
          <w:caps w:val="false"/>
          <w:smallCaps w:val="false"/>
        </w:rPr>
        <w:t> </w:t>
      </w:r>
    </w:p>
    <w:tbl>
      <w:tblPr>
        <w:tblW w:w="4613" w:type="dxa"/>
        <w:jc w:val="left"/>
        <w:tblInd w:w="0" w:type="dxa"/>
        <w:tblLayout w:type="fixed"/>
        <w:tblCellMar>
          <w:top w:w="0" w:type="dxa"/>
          <w:left w:w="0" w:type="dxa"/>
          <w:bottom w:w="0" w:type="dxa"/>
          <w:right w:w="0" w:type="dxa"/>
        </w:tblCellMar>
      </w:tblPr>
      <w:tblGrid>
        <w:gridCol w:w="2975"/>
        <w:gridCol w:w="60"/>
        <w:gridCol w:w="163"/>
        <w:gridCol w:w="516"/>
        <w:gridCol w:w="80"/>
        <w:gridCol w:w="60"/>
        <w:gridCol w:w="163"/>
        <w:gridCol w:w="516"/>
        <w:gridCol w:w="80"/>
      </w:tblGrid>
      <w:tr>
        <w:trPr/>
        <w:tc>
          <w:tcPr>
            <w:tcW w:w="29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7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Gift card liability at beginning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6"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Redemptions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6"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(138</w:t>
            </w:r>
          </w:p>
        </w:tc>
        <w:tc>
          <w:tcPr>
            <w:tcW w:w="80" w:type="dxa"/>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(120</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7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Breakage recognized in sales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516"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w:t>
            </w:r>
          </w:p>
        </w:tc>
        <w:tc>
          <w:tcPr>
            <w:tcW w:w="80" w:type="dxa"/>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51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7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Activations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6"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9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currency fluctuations</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rFonts w:ascii="Arial;Helvetica;sans-serif" w:hAnsi="Arial;Helvetica;sans-serif"/>
                <w:sz w:val="18"/>
              </w:rPr>
            </w:pPr>
            <w:r>
              <w:rPr>
                <w:rFonts w:ascii="Arial;Helvetica;sans-serif" w:hAnsi="Arial;Helvetica;sans-serif"/>
                <w:sz w:val="18"/>
              </w:rPr>
              <w:t>)</w:t>
            </w:r>
          </w:p>
        </w:tc>
      </w:tr>
      <w:tr>
        <w:trPr/>
        <w:tc>
          <w:tcPr>
            <w:tcW w:w="29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Gift card liability</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elected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to disclose the information about remaining performance obligations since the amount of gift cards redeemed after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xml:space="preserve"> months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Second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7</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jc w:val="center"/>
        <w:rPr/>
      </w:pPr>
      <w:r>
        <w:rPr/>
        <w:drawing>
          <wp:inline distT="0" distB="0" distL="0" distR="0">
            <wp:extent cx="2695575" cy="3143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ind w:left="0" w:right="0" w:hanging="0"/>
        <w:jc w:val="left"/>
        <w:rPr/>
      </w:pPr>
      <w:r>
        <w:rPr/>
        <w:t xml:space="preserve">  </w:t>
      </w:r>
    </w:p>
    <w:p>
      <w:pPr>
        <w:pStyle w:val="TextBody"/>
        <w:bidi w:val="0"/>
        <w:spacing w:before="0" w:after="0"/>
        <w:ind w:left="0" w:right="0" w:hanging="0"/>
        <w:jc w:val="left"/>
        <w:rPr/>
      </w:pPr>
      <w:r>
        <w:rPr>
          <w:rStyle w:val="Emphasis"/>
          <w:rFonts w:ascii="arial" w:hAnsi="arial"/>
          <w:b/>
          <w:caps w:val="false"/>
          <w:smallCaps w:val="false"/>
          <w:sz w:val="20"/>
        </w:rPr>
        <w:t>3.</w:t>
      </w:r>
      <w:r>
        <w:rPr>
          <w:rFonts w:ascii="arial" w:hAnsi="arial"/>
          <w:b/>
          <w:caps w:val="false"/>
          <w:smallCaps w:val="false"/>
          <w:sz w:val="20"/>
        </w:rPr>
        <w:t xml:space="preserve">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Foot Locker, Inc. operates one reportable segment. Division profit reflects income before income taxes, impairment and other, corporate expense, other income / (expense), net, and net interest expense.</w:t>
      </w:r>
    </w:p>
    <w:p>
      <w:pPr>
        <w:pStyle w:val="TextBody"/>
        <w:bidi w:val="0"/>
        <w:spacing w:before="0" w:after="0"/>
        <w:ind w:left="0" w:right="0" w:hanging="0"/>
        <w:jc w:val="both"/>
        <w:rPr>
          <w:caps w:val="false"/>
          <w:smallCaps w:val="false"/>
        </w:rPr>
      </w:pPr>
      <w:r>
        <w:rPr>
          <w:caps w:val="false"/>
          <w:smallCaps w:val="false"/>
        </w:rPr>
        <w:t> </w:t>
      </w:r>
    </w:p>
    <w:tbl>
      <w:tblPr>
        <w:tblW w:w="7192" w:type="dxa"/>
        <w:jc w:val="left"/>
        <w:tblInd w:w="0" w:type="dxa"/>
        <w:tblLayout w:type="fixed"/>
        <w:tblCellMar>
          <w:top w:w="0" w:type="dxa"/>
          <w:left w:w="0" w:type="dxa"/>
          <w:bottom w:w="28" w:type="dxa"/>
          <w:right w:w="0" w:type="dxa"/>
        </w:tblCellMar>
      </w:tblPr>
      <w:tblGrid>
        <w:gridCol w:w="2900"/>
        <w:gridCol w:w="60"/>
        <w:gridCol w:w="240"/>
        <w:gridCol w:w="500"/>
        <w:gridCol w:w="153"/>
        <w:gridCol w:w="115"/>
        <w:gridCol w:w="240"/>
        <w:gridCol w:w="644"/>
        <w:gridCol w:w="80"/>
        <w:gridCol w:w="60"/>
        <w:gridCol w:w="250"/>
        <w:gridCol w:w="670"/>
        <w:gridCol w:w="160"/>
        <w:gridCol w:w="120"/>
        <w:gridCol w:w="250"/>
        <w:gridCol w:w="670"/>
        <w:gridCol w:w="80"/>
      </w:tblGrid>
      <w:tr>
        <w:trPr/>
        <w:tc>
          <w:tcPr>
            <w:tcW w:w="290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20"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Twenty-six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ind w:left="0" w:right="0" w:hanging="0"/>
              <w:jc w:val="left"/>
              <w:rPr/>
            </w:pPr>
            <w:r>
              <w:rPr/>
              <w:t> </w:t>
            </w:r>
          </w:p>
        </w:tc>
        <w:tc>
          <w:tcPr>
            <w:tcW w:w="88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9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53" w:type="dxa"/>
            <w:tcBorders>
              <w:bottom w:val="single" w:sz="2" w:space="0" w:color="000000"/>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8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60" w:type="dxa"/>
            <w:tcBorders>
              <w:bottom w:val="single" w:sz="2" w:space="0" w:color="000000"/>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Division profit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21</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ind w:left="0" w:right="0" w:hanging="0"/>
              <w:jc w:val="left"/>
              <w:rPr/>
            </w:pPr>
            <w:r>
              <w:rPr/>
              <w:t> </w:t>
            </w:r>
          </w:p>
        </w:tc>
        <w:tc>
          <w:tcPr>
            <w:tcW w:w="24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4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125</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25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Less: Impairment and other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ind w:left="0" w:right="0" w:hanging="0"/>
              <w:jc w:val="left"/>
              <w:rPr/>
            </w:pPr>
            <w:r>
              <w:rPr/>
              <w:t> </w:t>
            </w:r>
          </w:p>
        </w:tc>
        <w:tc>
          <w:tcPr>
            <w:tcW w:w="67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53</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ind w:left="0" w:right="0" w:hanging="0"/>
              <w:jc w:val="left"/>
              <w:rPr/>
            </w:pPr>
            <w:r>
              <w:rPr/>
              <w:t> </w:t>
            </w:r>
          </w:p>
        </w:tc>
        <w:tc>
          <w:tcPr>
            <w:tcW w:w="67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0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Less: Corporate expense (2)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153" w:type="dxa"/>
            <w:tcBorders>
              <w:bottom w:val="single" w:sz="2" w:space="0" w:color="000000"/>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w:t>
            </w:r>
          </w:p>
        </w:tc>
        <w:tc>
          <w:tcPr>
            <w:tcW w:w="160" w:type="dxa"/>
            <w:tcBorders>
              <w:bottom w:val="single" w:sz="2" w:space="0" w:color="000000"/>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ind w:left="0" w:right="0" w:hanging="0"/>
              <w:jc w:val="left"/>
              <w:rPr/>
            </w:pPr>
            <w:r>
              <w:rPr/>
              <w:t> </w:t>
            </w:r>
          </w:p>
        </w:tc>
        <w:tc>
          <w:tcPr>
            <w:tcW w:w="67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62</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ind w:left="0" w:right="0" w:hanging="0"/>
              <w:jc w:val="left"/>
              <w:rPr/>
            </w:pPr>
            <w:r>
              <w:rPr/>
              <w:t> </w:t>
            </w:r>
          </w:p>
        </w:tc>
        <w:tc>
          <w:tcPr>
            <w:tcW w:w="67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153"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15"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ind w:left="0" w:right="0" w:hanging="0"/>
              <w:jc w:val="left"/>
              <w:rPr/>
            </w:pPr>
            <w:r>
              <w:rPr/>
              <w:t> </w:t>
            </w:r>
          </w:p>
        </w:tc>
        <w:tc>
          <w:tcPr>
            <w:tcW w:w="64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ind w:left="0" w:right="0" w:hanging="0"/>
              <w:jc w:val="left"/>
              <w:rPr/>
            </w:pPr>
            <w:r>
              <w:rPr/>
              <w:t> </w:t>
            </w:r>
          </w:p>
        </w:tc>
        <w:tc>
          <w:tcPr>
            <w:tcW w:w="67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w:t>
            </w:r>
          </w:p>
        </w:tc>
        <w:tc>
          <w:tcPr>
            <w:tcW w:w="16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2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ind w:left="0" w:right="0" w:hanging="0"/>
              <w:jc w:val="left"/>
              <w:rPr/>
            </w:pPr>
            <w:r>
              <w:rPr/>
              <w:t> </w:t>
            </w:r>
          </w:p>
        </w:tc>
        <w:tc>
          <w:tcPr>
            <w:tcW w:w="67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0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 (expense), net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153" w:type="dxa"/>
            <w:tcBorders>
              <w:bottom w:val="single" w:sz="2" w:space="0" w:color="000000"/>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20" w:type="dxa"/>
            <w:tcBorders>
              <w:bottom w:val="single" w:sz="2" w:space="0" w:color="000000"/>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0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 (loss) before income taxes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53"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1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44"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143</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54</w:t>
            </w:r>
          </w:p>
        </w:tc>
        <w:tc>
          <w:tcPr>
            <w:tcW w:w="160" w:type="dxa"/>
            <w:tcBorders>
              <w:bottom w:val="double" w:sz="6" w:space="0" w:color="000000"/>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333</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10047"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See Note </w:t>
            </w:r>
            <w:r>
              <w:rPr>
                <w:rStyle w:val="Emphasis"/>
                <w:rFonts w:ascii="Arial;Helvetica;sans-serif" w:hAnsi="Arial;Helvetica;sans-serif"/>
                <w:caps w:val="false"/>
                <w:smallCaps w:val="false"/>
                <w:sz w:val="16"/>
              </w:rPr>
              <w:t>4,</w:t>
            </w:r>
            <w:r>
              <w:rPr>
                <w:rFonts w:ascii="Arial;Helvetica;sans-serif" w:hAnsi="Arial;Helvetica;sans-serif"/>
                <w:caps w:val="false"/>
                <w:smallCaps w:val="false"/>
                <w:sz w:val="16"/>
              </w:rPr>
              <w:t xml:space="preserve"> </w:t>
            </w:r>
            <w:r>
              <w:rPr>
                <w:rFonts w:ascii="Arial;Helvetica;sans-serif" w:hAnsi="Arial;Helvetica;sans-serif"/>
                <w:i/>
                <w:caps w:val="false"/>
                <w:smallCaps w:val="false"/>
                <w:sz w:val="16"/>
              </w:rPr>
              <w:t>Impairment and Other Charges</w:t>
            </w:r>
            <w:r>
              <w:rPr>
                <w:rFonts w:ascii="Arial;Helvetica;sans-serif" w:hAnsi="Arial;Helvetica;sans-serif"/>
                <w:caps w:val="false"/>
                <w:smallCaps w:val="false"/>
                <w:sz w:val="16"/>
              </w:rPr>
              <w:t> for further detail.</w:t>
            </w:r>
          </w:p>
        </w:tc>
      </w:tr>
      <w:tr>
        <w:trPr/>
        <w:tc>
          <w:tcPr>
            <w:tcW w:w="158"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2</w:t>
            </w:r>
            <w:r>
              <w:rPr>
                <w:rFonts w:ascii="Arial;Helvetica;sans-serif" w:hAnsi="Arial;Helvetica;sans-serif"/>
                <w:caps w:val="false"/>
                <w:smallCaps w:val="false"/>
                <w:sz w:val="16"/>
              </w:rPr>
              <w:t>)</w:t>
            </w:r>
          </w:p>
        </w:tc>
        <w:tc>
          <w:tcPr>
            <w:tcW w:w="1004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Corporate expense consists of unallocated selling, general and administrative expenses, as well as depreciation and amortization related to our corporate headquarters, centrally managed departments, unallocated insurance and benefit programs, certain foreign exchange transaction gains and losses, and other items.  </w:t>
            </w:r>
          </w:p>
        </w:tc>
      </w:tr>
      <w:tr>
        <w:trPr/>
        <w:tc>
          <w:tcPr>
            <w:tcW w:w="158"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3</w:t>
            </w:r>
            <w:r>
              <w:rPr>
                <w:rFonts w:ascii="Arial;Helvetica;sans-serif" w:hAnsi="Arial;Helvetica;sans-serif"/>
                <w:caps w:val="false"/>
                <w:smallCaps w:val="false"/>
                <w:sz w:val="16"/>
              </w:rPr>
              <w:t>)</w:t>
            </w:r>
          </w:p>
        </w:tc>
        <w:tc>
          <w:tcPr>
            <w:tcW w:w="10047"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See Note </w:t>
            </w:r>
            <w:r>
              <w:rPr>
                <w:rStyle w:val="Emphasis"/>
                <w:rFonts w:ascii="Arial;Helvetica;sans-serif" w:hAnsi="Arial;Helvetica;sans-serif"/>
                <w:caps w:val="false"/>
                <w:smallCaps w:val="false"/>
                <w:sz w:val="16"/>
              </w:rPr>
              <w:t>5,</w:t>
            </w:r>
            <w:r>
              <w:rPr>
                <w:rFonts w:ascii="Arial;Helvetica;sans-serif" w:hAnsi="Arial;Helvetica;sans-serif"/>
                <w:caps w:val="false"/>
                <w:smallCaps w:val="false"/>
                <w:sz w:val="16"/>
              </w:rPr>
              <w:t xml:space="preserve"> </w:t>
            </w:r>
            <w:r>
              <w:rPr>
                <w:rFonts w:ascii="Arial;Helvetica;sans-serif" w:hAnsi="Arial;Helvetica;sans-serif"/>
                <w:i/>
                <w:caps w:val="false"/>
                <w:smallCaps w:val="false"/>
                <w:sz w:val="16"/>
              </w:rPr>
              <w:t>Other Income / (Expense), net</w:t>
            </w:r>
            <w:r>
              <w:rPr>
                <w:rFonts w:ascii="Arial;Helvetica;sans-serif" w:hAnsi="Arial;Helvetica;sans-serif"/>
                <w:caps w:val="false"/>
                <w:smallCaps w:val="false"/>
                <w:sz w:val="16"/>
              </w:rPr>
              <w:t>.</w:t>
            </w:r>
          </w:p>
        </w:tc>
      </w:tr>
    </w:tbl>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 w:hAnsi="arial"/>
          <w:b/>
          <w:caps w:val="false"/>
          <w:smallCaps w:val="false"/>
          <w:sz w:val="20"/>
        </w:rPr>
        <w:t>4.</w:t>
      </w:r>
      <w:r>
        <w:rPr>
          <w:rFonts w:ascii="arial" w:hAnsi="arial"/>
          <w:b/>
          <w:caps w:val="false"/>
          <w:smallCaps w:val="false"/>
          <w:sz w:val="20"/>
        </w:rPr>
        <w:t xml:space="preserve"> Impairment and Other </w:t>
      </w:r>
    </w:p>
    <w:p>
      <w:pPr>
        <w:pStyle w:val="TextBody"/>
        <w:bidi w:val="0"/>
        <w:spacing w:before="0" w:after="0"/>
        <w:ind w:left="0" w:right="0" w:hanging="0"/>
        <w:jc w:val="left"/>
        <w:rPr>
          <w:caps w:val="false"/>
          <w:smallCaps w:val="false"/>
        </w:rPr>
      </w:pPr>
      <w:r>
        <w:rPr>
          <w:caps w:val="false"/>
          <w:smallCaps w:val="false"/>
        </w:rPr>
        <w:t> </w:t>
      </w:r>
    </w:p>
    <w:tbl>
      <w:tblPr>
        <w:tblW w:w="8708" w:type="dxa"/>
        <w:jc w:val="left"/>
        <w:tblInd w:w="0" w:type="dxa"/>
        <w:tblLayout w:type="fixed"/>
        <w:tblCellMar>
          <w:top w:w="0" w:type="dxa"/>
          <w:left w:w="0" w:type="dxa"/>
          <w:bottom w:w="28" w:type="dxa"/>
          <w:right w:w="0" w:type="dxa"/>
        </w:tblCellMar>
      </w:tblPr>
      <w:tblGrid>
        <w:gridCol w:w="4460"/>
        <w:gridCol w:w="60"/>
        <w:gridCol w:w="266"/>
        <w:gridCol w:w="553"/>
        <w:gridCol w:w="127"/>
        <w:gridCol w:w="127"/>
        <w:gridCol w:w="266"/>
        <w:gridCol w:w="553"/>
        <w:gridCol w:w="60"/>
        <w:gridCol w:w="60"/>
        <w:gridCol w:w="296"/>
        <w:gridCol w:w="618"/>
        <w:gridCol w:w="142"/>
        <w:gridCol w:w="142"/>
        <w:gridCol w:w="296"/>
        <w:gridCol w:w="622"/>
        <w:gridCol w:w="60"/>
      </w:tblGrid>
      <w:tr>
        <w:trPr/>
        <w:tc>
          <w:tcPr>
            <w:tcW w:w="446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Twenty-six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1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27"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p>
        </w:tc>
        <w:tc>
          <w:tcPr>
            <w:tcW w:w="81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1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918"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27" w:type="dxa"/>
            <w:tcBorders>
              <w:bottom w:val="single" w:sz="2" w:space="0" w:color="000000"/>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42"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8"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Transformation consulting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p>
        </w:tc>
        <w:tc>
          <w:tcPr>
            <w:tcW w:w="26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1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26</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2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Impairment of long-lived assets and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ind w:left="0" w:right="0" w:hanging="0"/>
              <w:jc w:val="left"/>
              <w:rPr/>
            </w:pPr>
            <w:r>
              <w:rPr/>
              <w:t> </w:t>
            </w:r>
          </w:p>
        </w:tc>
        <w:tc>
          <w:tcPr>
            <w:tcW w:w="553"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27"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ind w:left="0" w:right="0" w:hanging="0"/>
              <w:jc w:val="left"/>
              <w:rPr/>
            </w:pPr>
            <w:r>
              <w:rPr/>
              <w:t> </w:t>
            </w:r>
          </w:p>
        </w:tc>
        <w:tc>
          <w:tcPr>
            <w:tcW w:w="553"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6" w:type="dxa"/>
            <w:tcBorders/>
            <w:shd w:fill="FFFFFF" w:val="clear"/>
            <w:tcMar>
              <w:bottom w:w="0" w:type="dxa"/>
            </w:tcMar>
            <w:vAlign w:val="center"/>
          </w:tcPr>
          <w:p>
            <w:pPr>
              <w:pStyle w:val="TableContents"/>
              <w:bidi w:val="0"/>
              <w:spacing w:before="0" w:after="283"/>
              <w:ind w:left="0" w:right="0" w:hanging="0"/>
              <w:jc w:val="left"/>
              <w:rPr/>
            </w:pPr>
            <w:r>
              <w:rPr/>
              <w:t> </w:t>
            </w:r>
          </w:p>
        </w:tc>
        <w:tc>
          <w:tcPr>
            <w:tcW w:w="61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21</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296" w:type="dxa"/>
            <w:tcBorders/>
            <w:shd w:fill="FFFFFF" w:val="clear"/>
            <w:tcMar>
              <w:bottom w:w="0" w:type="dxa"/>
            </w:tcMar>
            <w:vAlign w:val="center"/>
          </w:tcPr>
          <w:p>
            <w:pPr>
              <w:pStyle w:val="TableContents"/>
              <w:bidi w:val="0"/>
              <w:spacing w:before="0" w:after="283"/>
              <w:ind w:left="0" w:right="0" w:hanging="0"/>
              <w:jc w:val="left"/>
              <w:rPr/>
            </w:pPr>
            <w:r>
              <w:rPr/>
              <w:t> </w:t>
            </w:r>
          </w:p>
        </w:tc>
        <w:tc>
          <w:tcPr>
            <w:tcW w:w="62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Reorganization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ind w:left="0" w:right="0" w:hanging="0"/>
              <w:jc w:val="left"/>
              <w:rPr/>
            </w:pPr>
            <w:r>
              <w:rPr/>
              <w:t> </w:t>
            </w:r>
          </w:p>
        </w:tc>
        <w:tc>
          <w:tcPr>
            <w:tcW w:w="55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ind w:left="0" w:right="0" w:hanging="0"/>
              <w:jc w:val="left"/>
              <w:rPr/>
            </w:pPr>
            <w:r>
              <w:rPr/>
              <w:t> </w:t>
            </w:r>
          </w:p>
        </w:tc>
        <w:tc>
          <w:tcPr>
            <w:tcW w:w="553"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6" w:type="dxa"/>
            <w:tcBorders/>
            <w:shd w:fill="CCEEFF" w:val="clear"/>
            <w:tcMar>
              <w:bottom w:w="0" w:type="dxa"/>
            </w:tcMar>
            <w:vAlign w:val="center"/>
          </w:tcPr>
          <w:p>
            <w:pPr>
              <w:pStyle w:val="TableContents"/>
              <w:bidi w:val="0"/>
              <w:spacing w:before="0" w:after="283"/>
              <w:ind w:left="0" w:right="0" w:hanging="0"/>
              <w:jc w:val="left"/>
              <w:rPr/>
            </w:pPr>
            <w:r>
              <w:rPr/>
              <w:t> </w:t>
            </w:r>
          </w:p>
        </w:tc>
        <w:tc>
          <w:tcPr>
            <w:tcW w:w="61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296" w:type="dxa"/>
            <w:tcBorders/>
            <w:shd w:fill="CCEEFF" w:val="clear"/>
            <w:tcMar>
              <w:bottom w:w="0" w:type="dxa"/>
            </w:tcMar>
            <w:vAlign w:val="center"/>
          </w:tcPr>
          <w:p>
            <w:pPr>
              <w:pStyle w:val="TableContents"/>
              <w:bidi w:val="0"/>
              <w:spacing w:before="0" w:after="283"/>
              <w:ind w:left="0" w:right="0" w:hanging="0"/>
              <w:jc w:val="left"/>
              <w:rPr/>
            </w:pPr>
            <w:r>
              <w:rPr/>
              <w:t> </w:t>
            </w:r>
          </w:p>
        </w:tc>
        <w:tc>
          <w:tcPr>
            <w:tcW w:w="62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Acquisition and integration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ind w:left="0" w:right="0" w:hanging="0"/>
              <w:jc w:val="left"/>
              <w:rPr/>
            </w:pPr>
            <w:r>
              <w:rPr/>
              <w:t> </w:t>
            </w:r>
          </w:p>
        </w:tc>
        <w:tc>
          <w:tcPr>
            <w:tcW w:w="553" w:type="dxa"/>
            <w:tcBorders/>
            <w:shd w:fill="FFFFFF" w:val="clear"/>
            <w:tcMar>
              <w:bottom w:w="0" w:type="dxa"/>
            </w:tcMar>
            <w:vAlign w:val="center"/>
          </w:tcPr>
          <w:p>
            <w:pPr>
              <w:pStyle w:val="TableContents"/>
              <w:bidi w:val="0"/>
              <w:spacing w:before="0" w:after="283"/>
              <w:ind w:left="0" w:right="0" w:hanging="0"/>
              <w:jc w:val="right"/>
              <w:rPr/>
            </w:pPr>
            <w:r>
              <w:rPr/>
              <w:t>—</w:t>
            </w:r>
          </w:p>
        </w:tc>
        <w:tc>
          <w:tcPr>
            <w:tcW w:w="127"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ind w:left="0" w:right="0" w:hanging="0"/>
              <w:jc w:val="left"/>
              <w:rPr/>
            </w:pPr>
            <w:r>
              <w:rPr/>
              <w:t> </w:t>
            </w:r>
          </w:p>
        </w:tc>
        <w:tc>
          <w:tcPr>
            <w:tcW w:w="553"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6" w:type="dxa"/>
            <w:tcBorders/>
            <w:shd w:fill="FFFFFF" w:val="clear"/>
            <w:tcMar>
              <w:bottom w:w="0" w:type="dxa"/>
            </w:tcMar>
            <w:vAlign w:val="center"/>
          </w:tcPr>
          <w:p>
            <w:pPr>
              <w:pStyle w:val="TableContents"/>
              <w:bidi w:val="0"/>
              <w:spacing w:before="0" w:after="283"/>
              <w:ind w:left="0" w:right="0" w:hanging="0"/>
              <w:jc w:val="left"/>
              <w:rPr/>
            </w:pPr>
            <w:r>
              <w:rPr/>
              <w:t> </w:t>
            </w:r>
          </w:p>
        </w:tc>
        <w:tc>
          <w:tcPr>
            <w:tcW w:w="618" w:type="dxa"/>
            <w:tcBorders/>
            <w:shd w:fill="FFFFFF" w:val="clear"/>
            <w:tcMar>
              <w:bottom w:w="0" w:type="dxa"/>
            </w:tcMar>
            <w:vAlign w:val="center"/>
          </w:tcPr>
          <w:p>
            <w:pPr>
              <w:pStyle w:val="TableContents"/>
              <w:bidi w:val="0"/>
              <w:spacing w:before="0" w:after="283"/>
              <w:ind w:left="0" w:right="0" w:hanging="0"/>
              <w:jc w:val="right"/>
              <w:rPr/>
            </w:pPr>
            <w:r>
              <w:rPr/>
              <w:t>—</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296" w:type="dxa"/>
            <w:tcBorders/>
            <w:shd w:fill="FFFFFF" w:val="clear"/>
            <w:tcMar>
              <w:bottom w:w="0" w:type="dxa"/>
            </w:tcMar>
            <w:vAlign w:val="center"/>
          </w:tcPr>
          <w:p>
            <w:pPr>
              <w:pStyle w:val="TableContents"/>
              <w:bidi w:val="0"/>
              <w:spacing w:before="0" w:after="283"/>
              <w:ind w:left="0" w:right="0" w:hanging="0"/>
              <w:jc w:val="left"/>
              <w:rPr/>
            </w:pPr>
            <w:r>
              <w:rPr/>
              <w:t> </w:t>
            </w:r>
          </w:p>
        </w:tc>
        <w:tc>
          <w:tcPr>
            <w:tcW w:w="62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27" w:type="dxa"/>
            <w:tcBorders>
              <w:bottom w:val="single" w:sz="2" w:space="0" w:color="000000"/>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42" w:type="dxa"/>
            <w:tcBorders>
              <w:bottom w:val="single" w:sz="2" w:space="0" w:color="000000"/>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jc w:val="left"/>
              <w:rPr/>
            </w:pPr>
            <w:r>
              <w:rPr/>
              <w:t> </w:t>
            </w:r>
          </w:p>
        </w:tc>
        <w:tc>
          <w:tcPr>
            <w:tcW w:w="2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2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46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impairment and other</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w:t>
            </w:r>
          </w:p>
        </w:tc>
        <w:tc>
          <w:tcPr>
            <w:tcW w:w="127" w:type="dxa"/>
            <w:tcBorders>
              <w:bottom w:val="double" w:sz="6" w:space="0" w:color="000000"/>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96"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1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53</w:t>
            </w:r>
          </w:p>
        </w:tc>
        <w:tc>
          <w:tcPr>
            <w:tcW w:w="142" w:type="dxa"/>
            <w:tcBorders>
              <w:bottom w:val="double" w:sz="6" w:space="0" w:color="000000"/>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96"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22"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For the </w:t>
      </w:r>
      <w:r>
        <w:rPr>
          <w:rStyle w:val="Emphasis"/>
          <w:rFonts w:ascii="arial" w:hAnsi="arial"/>
          <w:caps w:val="false"/>
          <w:smallCaps w:val="false"/>
          <w:sz w:val="20"/>
        </w:rPr>
        <w:t>thirteen</w:t>
      </w:r>
      <w:r>
        <w:rPr>
          <w:rFonts w:ascii="arial" w:hAnsi="arial"/>
          <w:caps w:val="false"/>
          <w:smallCaps w:val="false"/>
          <w:sz w:val="20"/>
        </w:rPr>
        <w:t xml:space="preserve"> and </w:t>
      </w:r>
      <w:r>
        <w:rPr>
          <w:rStyle w:val="Emphasis"/>
          <w:rFonts w:ascii="arial" w:hAnsi="arial"/>
          <w:caps w:val="false"/>
          <w:smallCaps w:val="false"/>
          <w:sz w:val="20"/>
        </w:rPr>
        <w:t>twenty-six</w:t>
      </w:r>
      <w:r>
        <w:rPr>
          <w:rFonts w:ascii="arial" w:hAnsi="arial"/>
          <w:caps w:val="false"/>
          <w:smallCaps w:val="false"/>
          <w:sz w:val="20"/>
        </w:rPr>
        <w:t xml:space="preserve"> weeks ended </w:t>
      </w:r>
      <w:r>
        <w:rPr>
          <w:rStyle w:val="Emphasis"/>
          <w:rFonts w:ascii="arial" w:hAnsi="arial"/>
          <w:caps w:val="false"/>
          <w:smallCaps w:val="false"/>
          <w:sz w:val="20"/>
        </w:rPr>
        <w:t>July 29, 2023</w:t>
      </w:r>
      <w:r>
        <w:rPr>
          <w:rFonts w:ascii="arial" w:hAnsi="arial"/>
          <w:caps w:val="false"/>
          <w:smallCaps w:val="false"/>
          <w:sz w:val="20"/>
        </w:rPr>
        <w:t>, we incurred $7 million and $26 million of transformation consulting expense, respectively. We recorded impairment charges of $3 million and $21 million, respectively, of primarily accelerated tenancy charges on right-of-use assets for the closures of the Sidestep banner and certain Foot Locker Asia stores. Additionally, we recorded reorganization costs of $3 million and $5 million, respectively, related to the announced closure of the Sidestep banner, certain Foot Locker Asia stores, and a North American distribution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Second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8</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center"/>
        <w:rPr/>
      </w:pPr>
      <w:r>
        <w:rPr/>
        <w:t xml:space="preserve">  </w:t>
      </w:r>
    </w:p>
    <w:p>
      <w:pPr>
        <w:pStyle w:val="TextBody"/>
        <w:bidi w:val="0"/>
        <w:jc w:val="center"/>
        <w:rPr/>
      </w:pPr>
      <w:r>
        <w:rPr/>
        <w:drawing>
          <wp:inline distT="0" distB="0" distL="0" distR="0">
            <wp:extent cx="2695575" cy="3143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spacing w:lineRule="auto" w:line="240" w:before="0" w:after="0"/>
        <w:ind w:left="0" w:right="0" w:hanging="0"/>
        <w:jc w:val="left"/>
        <w:rPr/>
      </w:pPr>
      <w:r>
        <w:rPr/>
        <w:t>​</w:t>
      </w:r>
    </w:p>
    <w:p>
      <w:pPr>
        <w:pStyle w:val="TextBody"/>
        <w:bidi w:val="0"/>
        <w:ind w:left="0" w:right="0" w:hanging="0"/>
        <w:jc w:val="left"/>
        <w:rPr/>
      </w:pPr>
      <w:r>
        <w:rPr/>
        <w:t xml:space="preserve">  </w:t>
      </w:r>
    </w:p>
    <w:p>
      <w:pPr>
        <w:pStyle w:val="TextBody"/>
        <w:bidi w:val="0"/>
        <w:spacing w:lineRule="auto" w:line="240" w:before="0" w:after="0"/>
        <w:ind w:left="0" w:right="0" w:hanging="0"/>
        <w:jc w:val="left"/>
        <w:rPr/>
      </w:pPr>
      <w:r>
        <w:rPr>
          <w:rStyle w:val="Emphasis"/>
          <w:rFonts w:ascii="arial" w:hAnsi="arial"/>
          <w:b/>
          <w:caps w:val="false"/>
          <w:smallCaps w:val="false"/>
          <w:sz w:val="20"/>
        </w:rPr>
        <w:t>5.</w:t>
      </w:r>
      <w:r>
        <w:rPr>
          <w:rFonts w:ascii="arial" w:hAnsi="arial"/>
          <w:b/>
          <w:caps w:val="false"/>
          <w:smallCaps w:val="false"/>
          <w:sz w:val="20"/>
        </w:rPr>
        <w:t xml:space="preserve"> Other Income / (Expense), net</w:t>
      </w:r>
    </w:p>
    <w:p>
      <w:pPr>
        <w:pStyle w:val="TextBody"/>
        <w:bidi w:val="0"/>
        <w:spacing w:lineRule="auto" w:line="240" w:before="0" w:after="0"/>
        <w:ind w:left="0" w:right="0" w:hanging="0"/>
        <w:jc w:val="left"/>
        <w:rPr>
          <w:caps w:val="false"/>
          <w:smallCaps w:val="false"/>
        </w:rPr>
      </w:pPr>
      <w:r>
        <w:rPr>
          <w:caps w:val="false"/>
          <w:smallCaps w:val="false"/>
        </w:rPr>
        <w:t> </w:t>
      </w:r>
    </w:p>
    <w:tbl>
      <w:tblPr>
        <w:tblW w:w="10098" w:type="dxa"/>
        <w:jc w:val="left"/>
        <w:tblInd w:w="0" w:type="dxa"/>
        <w:tblLayout w:type="fixed"/>
        <w:tblCellMar>
          <w:top w:w="0" w:type="dxa"/>
          <w:left w:w="0" w:type="dxa"/>
          <w:bottom w:w="28" w:type="dxa"/>
          <w:right w:w="0" w:type="dxa"/>
        </w:tblCellMar>
      </w:tblPr>
      <w:tblGrid>
        <w:gridCol w:w="5810"/>
        <w:gridCol w:w="60"/>
        <w:gridCol w:w="251"/>
        <w:gridCol w:w="524"/>
        <w:gridCol w:w="161"/>
        <w:gridCol w:w="120"/>
        <w:gridCol w:w="251"/>
        <w:gridCol w:w="584"/>
        <w:gridCol w:w="80"/>
        <w:gridCol w:w="60"/>
        <w:gridCol w:w="281"/>
        <w:gridCol w:w="584"/>
        <w:gridCol w:w="178"/>
        <w:gridCol w:w="133"/>
        <w:gridCol w:w="281"/>
        <w:gridCol w:w="660"/>
        <w:gridCol w:w="80"/>
      </w:tblGrid>
      <w:tr>
        <w:trPr/>
        <w:tc>
          <w:tcPr>
            <w:tcW w:w="5810" w:type="dxa"/>
            <w:tcBorders>
              <w:bottom w:val="single" w:sz="2" w:space="0" w:color="000000"/>
            </w:tcBorders>
            <w:shd w:fill="FFFFFF" w:val="clear"/>
            <w:vAlign w:val="center"/>
          </w:tcPr>
          <w:p>
            <w:pPr>
              <w:pStyle w:val="TableContents"/>
              <w:bidi w:val="0"/>
              <w:spacing w:before="0" w:after="0"/>
              <w:ind w:left="180" w:right="0" w:hanging="18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1"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7"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Twenty-six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83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33" w:type="dxa"/>
            <w:tcBorders/>
            <w:shd w:fill="FFFFFF" w:val="clear"/>
            <w:tcMar>
              <w:bottom w:w="0" w:type="dxa"/>
            </w:tcMar>
            <w:vAlign w:val="center"/>
          </w:tcPr>
          <w:p>
            <w:pPr>
              <w:pStyle w:val="TableContents"/>
              <w:bidi w:val="0"/>
              <w:spacing w:before="0" w:after="283"/>
              <w:ind w:left="0" w:right="0" w:hanging="0"/>
              <w:jc w:val="left"/>
              <w:rPr/>
            </w:pPr>
            <w:r>
              <w:rPr/>
              <w:t> </w:t>
            </w:r>
          </w:p>
        </w:tc>
        <w:tc>
          <w:tcPr>
            <w:tcW w:w="94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bottom w:val="single" w:sz="2" w:space="0" w:color="000000"/>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61" w:type="dxa"/>
            <w:tcBorders>
              <w:bottom w:val="single" w:sz="2" w:space="0" w:color="000000"/>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78" w:type="dxa"/>
            <w:tcBorders>
              <w:bottom w:val="single" w:sz="2" w:space="0" w:color="000000"/>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Pension and postretirement net benefit expense, excluding service cost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2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6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25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4"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8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178"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33" w:type="dxa"/>
            <w:tcBorders/>
            <w:shd w:fill="CCEEFF" w:val="clear"/>
            <w:tcMar>
              <w:bottom w:w="0" w:type="dxa"/>
            </w:tcMar>
            <w:vAlign w:val="center"/>
          </w:tcPr>
          <w:p>
            <w:pPr>
              <w:pStyle w:val="TableContents"/>
              <w:bidi w:val="0"/>
              <w:spacing w:before="0" w:after="283"/>
              <w:ind w:left="0" w:right="0" w:hanging="0"/>
              <w:jc w:val="left"/>
              <w:rPr/>
            </w:pPr>
            <w:r>
              <w:rPr/>
              <w:t> </w:t>
            </w:r>
          </w:p>
        </w:tc>
        <w:tc>
          <w:tcPr>
            <w:tcW w:w="28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6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sz w:val="18"/>
              </w:rPr>
            </w:pPr>
            <w:r>
              <w:rPr>
                <w:rFonts w:ascii="Arial;Helvetica;sans-serif" w:hAnsi="Arial;Helvetica;sans-serif"/>
                <w:sz w:val="18"/>
              </w:rPr>
              <w:t>Foot Locker Singapore and Malaysia divestiture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ind w:left="0" w:right="0" w:hanging="0"/>
              <w:jc w:val="left"/>
              <w:rPr/>
            </w:pPr>
            <w:r>
              <w:rPr/>
              <w:t> </w:t>
            </w:r>
          </w:p>
        </w:tc>
        <w:tc>
          <w:tcPr>
            <w:tcW w:w="52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ind w:left="0" w:right="0" w:hanging="0"/>
              <w:jc w:val="left"/>
              <w:rPr/>
            </w:pPr>
            <w:r>
              <w:rPr/>
              <w:t> </w:t>
            </w:r>
          </w:p>
        </w:tc>
        <w:tc>
          <w:tcPr>
            <w:tcW w:w="584"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 w:type="dxa"/>
            <w:tcBorders/>
            <w:shd w:fill="FFFFFF" w:val="clear"/>
            <w:tcMar>
              <w:bottom w:w="0" w:type="dxa"/>
            </w:tcMar>
            <w:vAlign w:val="center"/>
          </w:tcPr>
          <w:p>
            <w:pPr>
              <w:pStyle w:val="TableContents"/>
              <w:bidi w:val="0"/>
              <w:spacing w:before="0" w:after="283"/>
              <w:ind w:left="0" w:right="0" w:hanging="0"/>
              <w:jc w:val="left"/>
              <w:rPr/>
            </w:pPr>
            <w:r>
              <w:rPr/>
              <w:t> </w:t>
            </w:r>
          </w:p>
        </w:tc>
        <w:tc>
          <w:tcPr>
            <w:tcW w:w="58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c>
          <w:tcPr>
            <w:tcW w:w="281" w:type="dxa"/>
            <w:tcBorders/>
            <w:shd w:fill="FFFFFF" w:val="clear"/>
            <w:tcMar>
              <w:bottom w:w="0" w:type="dxa"/>
            </w:tcMar>
            <w:vAlign w:val="center"/>
          </w:tcPr>
          <w:p>
            <w:pPr>
              <w:pStyle w:val="TableContents"/>
              <w:bidi w:val="0"/>
              <w:spacing w:before="0" w:after="283"/>
              <w:ind w:left="0" w:right="0" w:hanging="0"/>
              <w:jc w:val="left"/>
              <w:rPr/>
            </w:pPr>
            <w:r>
              <w:rPr/>
              <w:t> </w:t>
            </w:r>
          </w:p>
        </w:tc>
        <w:tc>
          <w:tcPr>
            <w:tcW w:w="66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 of earnings / (losses) related to minority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ind w:left="0" w:right="0" w:hanging="0"/>
              <w:jc w:val="left"/>
              <w:rPr/>
            </w:pPr>
            <w:r>
              <w:rPr/>
              <w:t> </w:t>
            </w:r>
          </w:p>
        </w:tc>
        <w:tc>
          <w:tcPr>
            <w:tcW w:w="524" w:type="dxa"/>
            <w:tcBorders/>
            <w:shd w:fill="CCEEFF" w:val="clear"/>
            <w:tcMar>
              <w:bottom w:w="0" w:type="dxa"/>
            </w:tcMar>
            <w:vAlign w:val="center"/>
          </w:tcPr>
          <w:p>
            <w:pPr>
              <w:pStyle w:val="TableContents"/>
              <w:bidi w:val="0"/>
              <w:spacing w:before="0" w:after="283"/>
              <w:ind w:left="0" w:right="0" w:hanging="0"/>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ind w:left="0" w:right="0" w:hanging="0"/>
              <w:jc w:val="left"/>
              <w:rPr/>
            </w:pPr>
            <w:r>
              <w:rPr/>
              <w:t> </w:t>
            </w:r>
          </w:p>
        </w:tc>
        <w:tc>
          <w:tcPr>
            <w:tcW w:w="58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1" w:type="dxa"/>
            <w:tcBorders/>
            <w:shd w:fill="CCEEFF" w:val="clear"/>
            <w:tcMar>
              <w:bottom w:w="0" w:type="dxa"/>
            </w:tcMar>
            <w:vAlign w:val="center"/>
          </w:tcPr>
          <w:p>
            <w:pPr>
              <w:pStyle w:val="TableContents"/>
              <w:bidi w:val="0"/>
              <w:spacing w:before="0" w:after="283"/>
              <w:ind w:left="0" w:right="0" w:hanging="0"/>
              <w:jc w:val="left"/>
              <w:rPr/>
            </w:pPr>
            <w:r>
              <w:rPr/>
              <w:t> </w:t>
            </w:r>
          </w:p>
        </w:tc>
        <w:tc>
          <w:tcPr>
            <w:tcW w:w="58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78"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33" w:type="dxa"/>
            <w:tcBorders/>
            <w:shd w:fill="CCEEFF" w:val="clear"/>
            <w:tcMar>
              <w:bottom w:w="0" w:type="dxa"/>
            </w:tcMar>
            <w:vAlign w:val="center"/>
          </w:tcPr>
          <w:p>
            <w:pPr>
              <w:pStyle w:val="TableContents"/>
              <w:bidi w:val="0"/>
              <w:spacing w:before="0" w:after="283"/>
              <w:jc w:val="left"/>
              <w:rPr/>
            </w:pPr>
            <w:r>
              <w:rPr/>
              <w:t> </w:t>
            </w:r>
          </w:p>
        </w:tc>
        <w:tc>
          <w:tcPr>
            <w:tcW w:w="281" w:type="dxa"/>
            <w:tcBorders/>
            <w:shd w:fill="CCEEFF" w:val="clear"/>
            <w:tcMar>
              <w:bottom w:w="0" w:type="dxa"/>
            </w:tcMar>
            <w:vAlign w:val="center"/>
          </w:tcPr>
          <w:p>
            <w:pPr>
              <w:pStyle w:val="TableContents"/>
              <w:bidi w:val="0"/>
              <w:spacing w:before="0" w:after="283"/>
              <w:ind w:left="0" w:right="0" w:hanging="0"/>
              <w:jc w:val="left"/>
              <w:rPr/>
            </w:pPr>
            <w:r>
              <w:rPr/>
              <w:t> </w:t>
            </w:r>
          </w:p>
        </w:tc>
        <w:tc>
          <w:tcPr>
            <w:tcW w:w="6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sz w:val="18"/>
              </w:rPr>
            </w:pPr>
            <w:r>
              <w:rPr>
                <w:rFonts w:ascii="Arial;Helvetica;sans-serif" w:hAnsi="Arial;Helvetica;sans-serif"/>
                <w:sz w:val="18"/>
              </w:rPr>
              <w:t>Team Sales divestiture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ind w:left="0" w:right="0" w:hanging="0"/>
              <w:jc w:val="left"/>
              <w:rPr/>
            </w:pPr>
            <w:r>
              <w:rPr/>
              <w:t> </w:t>
            </w:r>
          </w:p>
        </w:tc>
        <w:tc>
          <w:tcPr>
            <w:tcW w:w="524" w:type="dxa"/>
            <w:tcBorders/>
            <w:shd w:fill="FFFFFF" w:val="clear"/>
            <w:tcMar>
              <w:bottom w:w="0" w:type="dxa"/>
            </w:tcMar>
            <w:vAlign w:val="center"/>
          </w:tcPr>
          <w:p>
            <w:pPr>
              <w:pStyle w:val="TableContents"/>
              <w:bidi w:val="0"/>
              <w:spacing w:before="0" w:after="283"/>
              <w:ind w:left="0" w:right="0" w:hanging="0"/>
              <w:jc w:val="right"/>
              <w:rPr/>
            </w:pPr>
            <w:r>
              <w:rPr/>
              <w:t>—</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ind w:left="0" w:right="0" w:hanging="0"/>
              <w:jc w:val="left"/>
              <w:rPr/>
            </w:pPr>
            <w:r>
              <w:rPr/>
              <w:t> </w:t>
            </w:r>
          </w:p>
        </w:tc>
        <w:tc>
          <w:tcPr>
            <w:tcW w:w="58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1" w:type="dxa"/>
            <w:tcBorders/>
            <w:shd w:fill="FFFFFF" w:val="clear"/>
            <w:tcMar>
              <w:bottom w:w="0" w:type="dxa"/>
            </w:tcMar>
            <w:vAlign w:val="center"/>
          </w:tcPr>
          <w:p>
            <w:pPr>
              <w:pStyle w:val="TableContents"/>
              <w:bidi w:val="0"/>
              <w:spacing w:before="0" w:after="283"/>
              <w:ind w:left="0" w:right="0" w:hanging="0"/>
              <w:jc w:val="left"/>
              <w:rPr/>
            </w:pPr>
            <w:r>
              <w:rPr/>
              <w:t> </w:t>
            </w:r>
          </w:p>
        </w:tc>
        <w:tc>
          <w:tcPr>
            <w:tcW w:w="584" w:type="dxa"/>
            <w:tcBorders/>
            <w:shd w:fill="FFFFFF" w:val="clear"/>
            <w:tcMar>
              <w:bottom w:w="0" w:type="dxa"/>
            </w:tcMar>
            <w:vAlign w:val="center"/>
          </w:tcPr>
          <w:p>
            <w:pPr>
              <w:pStyle w:val="TableContents"/>
              <w:bidi w:val="0"/>
              <w:spacing w:before="0" w:after="283"/>
              <w:ind w:left="0" w:right="0" w:hanging="0"/>
              <w:jc w:val="right"/>
              <w:rPr/>
            </w:pPr>
            <w:r>
              <w:rPr/>
              <w:t>—</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c>
          <w:tcPr>
            <w:tcW w:w="281" w:type="dxa"/>
            <w:tcBorders/>
            <w:shd w:fill="FFFFFF" w:val="clear"/>
            <w:tcMar>
              <w:bottom w:w="0" w:type="dxa"/>
            </w:tcMar>
            <w:vAlign w:val="center"/>
          </w:tcPr>
          <w:p>
            <w:pPr>
              <w:pStyle w:val="TableContents"/>
              <w:bidi w:val="0"/>
              <w:spacing w:before="0" w:after="283"/>
              <w:ind w:left="0" w:right="0" w:hanging="0"/>
              <w:jc w:val="left"/>
              <w:rPr/>
            </w:pPr>
            <w:r>
              <w:rPr/>
              <w:t> </w:t>
            </w:r>
          </w:p>
        </w:tc>
        <w:tc>
          <w:tcPr>
            <w:tcW w:w="6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Minority investment in Retailors,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ind w:left="0" w:right="0" w:hanging="0"/>
              <w:jc w:val="left"/>
              <w:rPr/>
            </w:pPr>
            <w:r>
              <w:rPr/>
              <w:t> </w:t>
            </w:r>
          </w:p>
        </w:tc>
        <w:tc>
          <w:tcPr>
            <w:tcW w:w="524" w:type="dxa"/>
            <w:tcBorders/>
            <w:shd w:fill="CCEEFF" w:val="clear"/>
            <w:tcMar>
              <w:bottom w:w="0" w:type="dxa"/>
            </w:tcMar>
            <w:vAlign w:val="center"/>
          </w:tcPr>
          <w:p>
            <w:pPr>
              <w:pStyle w:val="TableContents"/>
              <w:bidi w:val="0"/>
              <w:spacing w:before="0" w:after="283"/>
              <w:ind w:left="0" w:right="0" w:hanging="0"/>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ind w:left="0" w:right="0" w:hanging="0"/>
              <w:jc w:val="left"/>
              <w:rPr/>
            </w:pPr>
            <w:r>
              <w:rPr/>
              <w:t> </w:t>
            </w:r>
          </w:p>
        </w:tc>
        <w:tc>
          <w:tcPr>
            <w:tcW w:w="58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1" w:type="dxa"/>
            <w:tcBorders/>
            <w:shd w:fill="CCEEFF" w:val="clear"/>
            <w:tcMar>
              <w:bottom w:w="0" w:type="dxa"/>
            </w:tcMar>
            <w:vAlign w:val="center"/>
          </w:tcPr>
          <w:p>
            <w:pPr>
              <w:pStyle w:val="TableContents"/>
              <w:bidi w:val="0"/>
              <w:spacing w:before="0" w:after="283"/>
              <w:ind w:left="0" w:right="0" w:hanging="0"/>
              <w:jc w:val="left"/>
              <w:rPr/>
            </w:pPr>
            <w:r>
              <w:rPr/>
              <w:t> </w:t>
            </w:r>
          </w:p>
        </w:tc>
        <w:tc>
          <w:tcPr>
            <w:tcW w:w="584" w:type="dxa"/>
            <w:tcBorders/>
            <w:shd w:fill="CCEEFF" w:val="clear"/>
            <w:tcMar>
              <w:bottom w:w="0" w:type="dxa"/>
            </w:tcMar>
            <w:vAlign w:val="center"/>
          </w:tcPr>
          <w:p>
            <w:pPr>
              <w:pStyle w:val="TableContents"/>
              <w:bidi w:val="0"/>
              <w:spacing w:before="0" w:after="283"/>
              <w:ind w:left="0" w:right="0" w:hanging="0"/>
              <w:jc w:val="right"/>
              <w:rPr/>
            </w:pPr>
            <w:r>
              <w:rPr/>
              <w:t>—</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281" w:type="dxa"/>
            <w:tcBorders/>
            <w:shd w:fill="CCEEFF" w:val="clear"/>
            <w:tcMar>
              <w:bottom w:w="0" w:type="dxa"/>
            </w:tcMar>
            <w:vAlign w:val="center"/>
          </w:tcPr>
          <w:p>
            <w:pPr>
              <w:pStyle w:val="TableContents"/>
              <w:bidi w:val="0"/>
              <w:spacing w:before="0" w:after="283"/>
              <w:ind w:left="0" w:right="0" w:hanging="0"/>
              <w:jc w:val="left"/>
              <w:rPr/>
            </w:pPr>
            <w:r>
              <w:rPr/>
              <w:t> </w:t>
            </w:r>
          </w:p>
        </w:tc>
        <w:tc>
          <w:tcPr>
            <w:tcW w:w="6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5810" w:type="dxa"/>
            <w:tcBorders>
              <w:bottom w:val="single" w:sz="2" w:space="0" w:color="000000"/>
            </w:tcBorders>
            <w:shd w:fill="FFFFFF" w:val="clear"/>
            <w:vAlign w:val="center"/>
          </w:tcPr>
          <w:p>
            <w:pPr>
              <w:pStyle w:val="TableContents"/>
              <w:bidi w:val="0"/>
              <w:spacing w:before="0" w:after="0"/>
              <w:ind w:left="180" w:right="0" w:hanging="180"/>
              <w:jc w:val="left"/>
              <w:rPr>
                <w:rFonts w:ascii="Arial;Helvetica;sans-serif" w:hAnsi="Arial;Helvetica;sans-serif"/>
                <w:sz w:val="18"/>
              </w:rPr>
            </w:pPr>
            <w:r>
              <w:rPr>
                <w:rFonts w:ascii="Arial;Helvetica;sans-serif" w:hAnsi="Arial;Helvetica;sans-serif"/>
                <w:sz w:val="18"/>
              </w:rPr>
              <w:t>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4"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161" w:type="dxa"/>
            <w:tcBorders>
              <w:bottom w:val="single" w:sz="2" w:space="0" w:color="000000"/>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84"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84"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178" w:type="dxa"/>
            <w:tcBorders>
              <w:bottom w:val="single" w:sz="2" w:space="0" w:color="000000"/>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vAlign w:val="center"/>
          </w:tcPr>
          <w:p>
            <w:pPr>
              <w:pStyle w:val="TableContents"/>
              <w:bidi w:val="0"/>
              <w:spacing w:before="0" w:after="283"/>
              <w:jc w:val="left"/>
              <w:rPr/>
            </w:pPr>
            <w:r>
              <w:rPr/>
              <w:t> </w:t>
            </w:r>
          </w:p>
        </w:tc>
        <w:tc>
          <w:tcPr>
            <w:tcW w:w="28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5810" w:type="dxa"/>
            <w:tcBorders>
              <w:bottom w:val="double" w:sz="6" w:space="0" w:color="000000"/>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other income / (expense), net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24"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161" w:type="dxa"/>
            <w:tcBorders>
              <w:bottom w:val="double" w:sz="6" w:space="0" w:color="000000"/>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4"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4"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78"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33"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6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Arial;Helvetica;sans-serif" w:hAnsi="Arial;Helvetica;sans-serif"/>
          <w:sz w:val="20"/>
          <w:shd w:fill="FFFFFF" w:val="clear"/>
        </w:rPr>
        <w:t xml:space="preserve">Effective </w:t>
      </w:r>
      <w:r>
        <w:rPr>
          <w:rStyle w:val="Emphasis"/>
          <w:rFonts w:ascii="Arial;Helvetica;sans-serif" w:hAnsi="Arial;Helvetica;sans-serif"/>
          <w:sz w:val="20"/>
          <w:shd w:fill="FFFFFF" w:val="clear"/>
        </w:rPr>
        <w:t xml:space="preserve">July 1, 2023, </w:t>
      </w:r>
      <w:r>
        <w:rPr>
          <w:rFonts w:ascii="Arial;Helvetica;sans-serif" w:hAnsi="Arial;Helvetica;sans-serif"/>
          <w:sz w:val="20"/>
          <w:shd w:fill="FFFFFF" w:val="clear"/>
        </w:rPr>
        <w:t xml:space="preserve">the </w:t>
      </w:r>
      <w:r>
        <w:rPr>
          <w:rFonts w:ascii="Arial;Helvetica;sans-serif" w:hAnsi="Arial;Helvetica;sans-serif"/>
          <w:sz w:val="20"/>
        </w:rPr>
        <w:t>Company sold its Foot Locker Singapore and Malaysia businesses, consisting primarily of inventory and fixed assets. We received proceeds of $10 million (net of cash of $8 million), resulting in a gain of $2 million, subject to the finalization of net working capital.</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6.</w:t>
      </w:r>
      <w:r>
        <w:rPr>
          <w:rFonts w:ascii="Arial;Helvetica;sans-serif" w:hAnsi="Arial;Helvetica;sans-serif"/>
          <w:b/>
          <w:caps w:val="false"/>
          <w:smallCaps w:val="false"/>
          <w:sz w:val="20"/>
        </w:rPr>
        <w:t xml:space="preserve"> 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table below provides a reconciliation of cash and cash equivalents, as reported on our Condensed Consolidated Balance Sheets, to cash, cash equivalents, and restricted cash, as reported on our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5848" w:type="dxa"/>
        <w:jc w:val="left"/>
        <w:tblInd w:w="0" w:type="dxa"/>
        <w:tblLayout w:type="fixed"/>
        <w:tblCellMar>
          <w:top w:w="0" w:type="dxa"/>
          <w:left w:w="0" w:type="dxa"/>
          <w:bottom w:w="0" w:type="dxa"/>
          <w:right w:w="0" w:type="dxa"/>
        </w:tblCellMar>
      </w:tblPr>
      <w:tblGrid>
        <w:gridCol w:w="4250"/>
        <w:gridCol w:w="60"/>
        <w:gridCol w:w="184"/>
        <w:gridCol w:w="495"/>
        <w:gridCol w:w="60"/>
        <w:gridCol w:w="60"/>
        <w:gridCol w:w="184"/>
        <w:gridCol w:w="495"/>
        <w:gridCol w:w="60"/>
      </w:tblGrid>
      <w:tr>
        <w:trPr/>
        <w:tc>
          <w:tcPr>
            <w:tcW w:w="42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7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95"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386</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Restricted cash included in other current assets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5"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Restricted cash included in other non-current assets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5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cash equivalents, and restricted cash</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225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Amounts included in restricted cash primarily relate to amounts held in escrow in connection with various leasing arrangements in Europe and deposits held in insurance trusts to satisfy the requirement to collateralize part of the self-insured workers’ compensation and liability claims.</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7.</w:t>
      </w:r>
      <w:r>
        <w:rPr>
          <w:rFonts w:ascii="Arial;Helvetica;sans-serif" w:hAnsi="Arial;Helvetica;sans-serif"/>
          <w:b/>
          <w:caps w:val="false"/>
          <w:smallCaps w:val="false"/>
          <w:sz w:val="20"/>
        </w:rPr>
        <w:t xml:space="preserve"> Accumulated Other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Accumulated other comprehensive loss (“AOCL”), net of tax, is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4430"/>
        <w:gridCol w:w="60"/>
        <w:gridCol w:w="163"/>
        <w:gridCol w:w="516"/>
        <w:gridCol w:w="80"/>
        <w:gridCol w:w="60"/>
        <w:gridCol w:w="163"/>
        <w:gridCol w:w="516"/>
        <w:gridCol w:w="80"/>
        <w:gridCol w:w="60"/>
        <w:gridCol w:w="246"/>
        <w:gridCol w:w="779"/>
        <w:gridCol w:w="80"/>
      </w:tblGrid>
      <w:tr>
        <w:trPr/>
        <w:tc>
          <w:tcPr>
            <w:tcW w:w="443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7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January 28,</w:t>
            </w:r>
          </w:p>
        </w:tc>
        <w:tc>
          <w:tcPr>
            <w:tcW w:w="80" w:type="dxa"/>
            <w:tcBorders/>
            <w:shd w:fill="FFFFFF" w:val="clear"/>
            <w:vAlign w:val="center"/>
          </w:tcPr>
          <w:p>
            <w:pPr>
              <w:pStyle w:val="TableContents"/>
              <w:bidi w:val="0"/>
              <w:spacing w:before="0" w:after="283"/>
              <w:jc w:val="left"/>
              <w:rPr/>
            </w:pPr>
            <w:r>
              <w:rPr/>
              <w:t> </w:t>
            </w:r>
          </w:p>
        </w:tc>
      </w:tr>
      <w:tr>
        <w:trPr/>
        <w:tc>
          <w:tcPr>
            <w:tcW w:w="44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Foreign currency translation adjustments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6"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(155</w:t>
            </w:r>
          </w:p>
        </w:tc>
        <w:tc>
          <w:tcPr>
            <w:tcW w:w="80" w:type="dxa"/>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(182</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7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(148</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44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Hedge contracts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6" w:type="dxa"/>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w:t>
            </w:r>
          </w:p>
        </w:tc>
        <w:tc>
          <w:tcPr>
            <w:tcW w:w="80" w:type="dxa"/>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44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Unrecognized pension cost and postretirement benefit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44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(397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Second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9</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center"/>
        <w:rPr/>
      </w:pPr>
      <w:r>
        <w:rPr/>
        <w:t xml:space="preserve">  </w:t>
      </w:r>
    </w:p>
    <w:p>
      <w:pPr>
        <w:pStyle w:val="TextBody"/>
        <w:bidi w:val="0"/>
        <w:jc w:val="center"/>
        <w:rPr/>
      </w:pPr>
      <w:r>
        <w:rPr/>
        <w:drawing>
          <wp:inline distT="0" distB="0" distL="0" distR="0">
            <wp:extent cx="2695575" cy="3143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sz w:val="20"/>
        </w:rPr>
        <w:t>7.</w:t>
      </w:r>
      <w:r>
        <w:rPr>
          <w:rFonts w:ascii="Arial;Helvetica;sans-serif" w:hAnsi="Arial;Helvetica;sans-serif"/>
          <w:b/>
          <w:sz w:val="20"/>
        </w:rPr>
        <w:t xml:space="preserve"> Accumulated Other Comprehensive Loss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The changes in AOCL for the </w:t>
      </w:r>
      <w:r>
        <w:rPr>
          <w:rStyle w:val="Emphasis"/>
          <w:rFonts w:ascii="Arial;Helvetica;sans-serif" w:hAnsi="Arial;Helvetica;sans-serif"/>
          <w:caps w:val="false"/>
          <w:smallCaps w:val="false"/>
          <w:sz w:val="20"/>
        </w:rPr>
        <w:t>twenty-six</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July 29, 2023</w:t>
      </w:r>
      <w:r>
        <w:rPr>
          <w:rFonts w:ascii="Arial;Helvetica;sans-serif" w:hAnsi="Arial;Helvetica;sans-serif"/>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8289" w:type="dxa"/>
        <w:jc w:val="left"/>
        <w:tblInd w:w="0" w:type="dxa"/>
        <w:tblLayout w:type="fixed"/>
        <w:tblCellMar>
          <w:top w:w="0" w:type="dxa"/>
          <w:left w:w="0" w:type="dxa"/>
          <w:bottom w:w="0" w:type="dxa"/>
          <w:right w:w="0" w:type="dxa"/>
        </w:tblCellMar>
      </w:tblPr>
      <w:tblGrid>
        <w:gridCol w:w="3890"/>
        <w:gridCol w:w="60"/>
        <w:gridCol w:w="265"/>
        <w:gridCol w:w="850"/>
        <w:gridCol w:w="80"/>
        <w:gridCol w:w="60"/>
        <w:gridCol w:w="283"/>
        <w:gridCol w:w="592"/>
        <w:gridCol w:w="80"/>
        <w:gridCol w:w="60"/>
        <w:gridCol w:w="356"/>
        <w:gridCol w:w="973"/>
        <w:gridCol w:w="80"/>
        <w:gridCol w:w="60"/>
        <w:gridCol w:w="125"/>
        <w:gridCol w:w="395"/>
        <w:gridCol w:w="80"/>
      </w:tblGrid>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Foreign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Items Related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Currency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to Pension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Translation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Hedge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Postretirement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Adjustments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Contracts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Benefits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 as of January 28, 2023</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5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(148</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5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(241</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(392</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OCI before reclassification</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Reclassification of hedges, net of tax</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pension actuarial loss, net of tax</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8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comprehensive income / (loss)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Balance as of July 29, 2023</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(155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(237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(397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Reclassifications from AOCL for the </w:t>
      </w:r>
      <w:r>
        <w:rPr>
          <w:rStyle w:val="Emphasis"/>
          <w:rFonts w:ascii="Arial;Helvetica;sans-serif" w:hAnsi="Arial;Helvetica;sans-serif"/>
          <w:caps w:val="false"/>
          <w:smallCaps w:val="false"/>
          <w:sz w:val="20"/>
        </w:rPr>
        <w:t>twenty-six</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July 29, 2023</w:t>
      </w:r>
      <w:r>
        <w:rPr>
          <w:rFonts w:ascii="Arial;Helvetica;sans-serif" w:hAnsi="Arial;Helvetica;sans-serif"/>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3710" w:type="dxa"/>
        <w:jc w:val="left"/>
        <w:tblInd w:w="0" w:type="dxa"/>
        <w:tblLayout w:type="fixed"/>
        <w:tblCellMar>
          <w:top w:w="0" w:type="dxa"/>
          <w:left w:w="0" w:type="dxa"/>
          <w:bottom w:w="28" w:type="dxa"/>
          <w:right w:w="0" w:type="dxa"/>
        </w:tblCellMar>
      </w:tblPr>
      <w:tblGrid>
        <w:gridCol w:w="3185"/>
        <w:gridCol w:w="60"/>
        <w:gridCol w:w="125"/>
        <w:gridCol w:w="260"/>
        <w:gridCol w:w="80"/>
      </w:tblGrid>
      <w:tr>
        <w:trPr/>
        <w:tc>
          <w:tcPr>
            <w:tcW w:w="31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85"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Reclassification of hedge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Cross-currency swap</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r>
      <w:tr>
        <w:trPr/>
        <w:tc>
          <w:tcPr>
            <w:tcW w:w="318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tax</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Reclassification of hedges, net of tax</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r>
      <w:tr>
        <w:trPr/>
        <w:tc>
          <w:tcPr>
            <w:tcW w:w="318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actuarial loss: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Pension benefits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tax benefit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r>
      <w:tr>
        <w:trPr/>
        <w:tc>
          <w:tcPr>
            <w:tcW w:w="318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actuarial loss, net of tax</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18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net of tax</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6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80" w:type="dxa"/>
            <w:tcBorders>
              <w:bottom w:val="double" w:sz="6" w:space="0" w:color="000000"/>
            </w:tcBorders>
            <w:shd w:fill="FFFFFF" w:val="clear"/>
            <w:tcMar>
              <w:bottom w:w="45"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 w:hAnsi="arial"/>
          <w:b/>
          <w:caps w:val="false"/>
          <w:smallCaps w:val="false"/>
          <w:sz w:val="20"/>
        </w:rPr>
        <w:t>8.</w:t>
      </w:r>
      <w:r>
        <w:rPr>
          <w:rFonts w:ascii="arial" w:hAnsi="arial"/>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Our financial assets and liabilities are recorded at fair value, using a </w:t>
      </w:r>
      <w:r>
        <w:rPr>
          <w:rStyle w:val="Emphasis"/>
          <w:rFonts w:ascii="arial" w:hAnsi="arial"/>
          <w:caps w:val="false"/>
          <w:smallCaps w:val="false"/>
          <w:sz w:val="20"/>
        </w:rPr>
        <w:t>three</w:t>
      </w:r>
      <w:r>
        <w:rPr>
          <w:rFonts w:ascii="arial" w:hAnsi="arial"/>
          <w:caps w:val="false"/>
          <w:smallCaps w:val="false"/>
          <w:sz w:val="20"/>
        </w:rPr>
        <w:t>-level fair value hierarchy that prioritizes the inputs used to measure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i/>
          <w:caps w:val="false"/>
          <w:smallCaps w:val="false"/>
          <w:sz w:val="20"/>
        </w:rPr>
      </w:pPr>
      <w:r>
        <w:rPr>
          <w:rFonts w:ascii="arial" w:hAnsi="arial"/>
          <w:i/>
          <w:caps w:val="false"/>
          <w:smallCaps w:val="false"/>
          <w:sz w:val="20"/>
        </w:rPr>
        <w:t>Assets and Liabilities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7623" w:type="dxa"/>
        <w:jc w:val="left"/>
        <w:tblInd w:w="0" w:type="dxa"/>
        <w:tblLayout w:type="fixed"/>
        <w:tblCellMar>
          <w:top w:w="0" w:type="dxa"/>
          <w:left w:w="0" w:type="dxa"/>
          <w:bottom w:w="28" w:type="dxa"/>
          <w:right w:w="0" w:type="dxa"/>
        </w:tblCellMar>
      </w:tblPr>
      <w:tblGrid>
        <w:gridCol w:w="3020"/>
        <w:gridCol w:w="60"/>
        <w:gridCol w:w="205"/>
        <w:gridCol w:w="429"/>
        <w:gridCol w:w="70"/>
        <w:gridCol w:w="70"/>
        <w:gridCol w:w="205"/>
        <w:gridCol w:w="429"/>
        <w:gridCol w:w="70"/>
        <w:gridCol w:w="70"/>
        <w:gridCol w:w="205"/>
        <w:gridCol w:w="429"/>
        <w:gridCol w:w="60"/>
        <w:gridCol w:w="60"/>
        <w:gridCol w:w="172"/>
        <w:gridCol w:w="462"/>
        <w:gridCol w:w="66"/>
        <w:gridCol w:w="66"/>
        <w:gridCol w:w="205"/>
        <w:gridCol w:w="429"/>
        <w:gridCol w:w="66"/>
        <w:gridCol w:w="66"/>
        <w:gridCol w:w="205"/>
        <w:gridCol w:w="429"/>
        <w:gridCol w:w="75"/>
      </w:tblGrid>
      <w:tr>
        <w:trPr/>
        <w:tc>
          <w:tcPr>
            <w:tcW w:w="302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82"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As of July 29, 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66"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As of July 30, 2022</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02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Level 1</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Level 2</w:t>
            </w:r>
          </w:p>
        </w:tc>
        <w:tc>
          <w:tcPr>
            <w:tcW w:w="70" w:type="dxa"/>
            <w:tcBorders>
              <w:bottom w:val="single" w:sz="2" w:space="0" w:color="000000"/>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Level 1</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Level 2</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Level 3</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02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2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Minority investment in common stock</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FFFFFF" w:val="clear"/>
            <w:tcMar>
              <w:bottom w:w="0" w:type="dxa"/>
            </w:tcMar>
            <w:vAlign w:val="center"/>
          </w:tcPr>
          <w:p>
            <w:pPr>
              <w:pStyle w:val="TableContents"/>
              <w:bidi w:val="0"/>
              <w:spacing w:before="0" w:after="283"/>
              <w:ind w:left="0" w:right="0" w:hanging="0"/>
              <w:jc w:val="right"/>
              <w:rPr/>
            </w:pPr>
            <w:r>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ind w:left="0" w:right="0" w:hanging="0"/>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FFFFFF" w:val="clear"/>
            <w:tcMar>
              <w:bottom w:w="0" w:type="dxa"/>
            </w:tcMar>
            <w:vAlign w:val="center"/>
          </w:tcPr>
          <w:p>
            <w:pPr>
              <w:pStyle w:val="TableContents"/>
              <w:bidi w:val="0"/>
              <w:spacing w:before="0" w:after="283"/>
              <w:ind w:left="0" w:right="0" w:hanging="0"/>
              <w:jc w:val="right"/>
              <w:rPr/>
            </w:pPr>
            <w:r>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ind w:left="0" w:right="0" w:hanging="0"/>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107</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FFFFFF" w:val="clear"/>
            <w:tcMar>
              <w:bottom w:w="0" w:type="dxa"/>
            </w:tcMar>
            <w:vAlign w:val="center"/>
          </w:tcPr>
          <w:p>
            <w:pPr>
              <w:pStyle w:val="TableContents"/>
              <w:bidi w:val="0"/>
              <w:spacing w:before="0" w:after="283"/>
              <w:ind w:left="0" w:right="0" w:hanging="0"/>
              <w:jc w:val="right"/>
              <w:rPr/>
            </w:pPr>
            <w:r>
              <w:rPr/>
              <w:t>—</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2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Available-for-sale security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pPr>
            <w:r>
              <w:rPr/>
              <w:t> </w:t>
            </w:r>
          </w:p>
        </w:tc>
        <w:tc>
          <w:tcPr>
            <w:tcW w:w="429" w:type="dxa"/>
            <w:tcBorders/>
            <w:shd w:fill="CCEEFF" w:val="clear"/>
            <w:tcMar>
              <w:bottom w:w="0" w:type="dxa"/>
            </w:tcMar>
            <w:vAlign w:val="center"/>
          </w:tcPr>
          <w:p>
            <w:pPr>
              <w:pStyle w:val="TableContents"/>
              <w:bidi w:val="0"/>
              <w:spacing w:before="0" w:after="283"/>
              <w:ind w:left="0" w:right="0" w:hanging="0"/>
              <w:jc w:val="right"/>
              <w:rPr/>
            </w:pPr>
            <w:r>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pPr>
            <w:r>
              <w:rPr/>
              <w:t> </w:t>
            </w:r>
          </w:p>
        </w:tc>
        <w:tc>
          <w:tcPr>
            <w:tcW w:w="42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pPr>
            <w:r>
              <w:rPr/>
              <w:t> </w:t>
            </w:r>
          </w:p>
        </w:tc>
        <w:tc>
          <w:tcPr>
            <w:tcW w:w="42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pPr>
            <w:r>
              <w:rPr/>
              <w:t> </w:t>
            </w:r>
          </w:p>
        </w:tc>
        <w:tc>
          <w:tcPr>
            <w:tcW w:w="462" w:type="dxa"/>
            <w:tcBorders/>
            <w:shd w:fill="CCEEFF" w:val="clear"/>
            <w:tcMar>
              <w:bottom w:w="0" w:type="dxa"/>
            </w:tcMar>
            <w:vAlign w:val="center"/>
          </w:tcPr>
          <w:p>
            <w:pPr>
              <w:pStyle w:val="TableContents"/>
              <w:bidi w:val="0"/>
              <w:spacing w:before="0" w:after="283"/>
              <w:ind w:left="0" w:right="0" w:hanging="0"/>
              <w:jc w:val="right"/>
              <w:rPr/>
            </w:pPr>
            <w:r>
              <w:rPr/>
              <w:t>—</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pPr>
            <w:r>
              <w:rPr/>
              <w:t> </w:t>
            </w:r>
          </w:p>
        </w:tc>
        <w:tc>
          <w:tcPr>
            <w:tcW w:w="42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ind w:left="0" w:right="0" w:hanging="0"/>
              <w:jc w:val="left"/>
              <w:rPr/>
            </w:pPr>
            <w:r>
              <w:rPr/>
              <w:t> </w:t>
            </w:r>
          </w:p>
        </w:tc>
        <w:tc>
          <w:tcPr>
            <w:tcW w:w="429"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02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exchange forward contracts</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05" w:type="dxa"/>
            <w:tcBorders/>
            <w:shd w:fill="FFFFFF" w:val="clear"/>
            <w:tcMar>
              <w:bottom w:w="0" w:type="dxa"/>
            </w:tcMar>
            <w:vAlign w:val="center"/>
          </w:tcPr>
          <w:p>
            <w:pPr>
              <w:pStyle w:val="TableContents"/>
              <w:bidi w:val="0"/>
              <w:spacing w:before="0" w:after="0"/>
              <w:ind w:left="0" w:right="0" w:hanging="0"/>
              <w:jc w:val="left"/>
              <w:rPr/>
            </w:pPr>
            <w:r>
              <w:rPr/>
              <w:t> </w:t>
            </w:r>
          </w:p>
        </w:tc>
        <w:tc>
          <w:tcPr>
            <w:tcW w:w="429" w:type="dxa"/>
            <w:tcBorders/>
            <w:shd w:fill="FFFFFF" w:val="clear"/>
            <w:tcMar>
              <w:bottom w:w="0" w:type="dxa"/>
            </w:tcMar>
            <w:vAlign w:val="center"/>
          </w:tcPr>
          <w:p>
            <w:pPr>
              <w:pStyle w:val="TableContents"/>
              <w:bidi w:val="0"/>
              <w:spacing w:before="0" w:after="0"/>
              <w:ind w:left="0" w:right="0" w:hanging="0"/>
              <w:jc w:val="right"/>
              <w:rPr/>
            </w:pPr>
            <w:r>
              <w:rPr/>
              <w:t>—</w:t>
            </w:r>
          </w:p>
        </w:tc>
        <w:tc>
          <w:tcPr>
            <w:tcW w:w="70" w:type="dxa"/>
            <w:tcBorders/>
            <w:shd w:fill="FFFFFF" w:val="clear"/>
            <w:tcMar>
              <w:bottom w:w="0" w:type="dxa"/>
            </w:tcMar>
            <w:vAlign w:val="center"/>
          </w:tcPr>
          <w:p>
            <w:pPr>
              <w:pStyle w:val="TableContents"/>
              <w:bidi w:val="0"/>
              <w:spacing w:before="0" w:after="0"/>
              <w:ind w:left="0" w:right="0" w:hanging="0"/>
              <w:jc w:val="left"/>
              <w:rPr/>
            </w:pPr>
            <w:r>
              <w:rPr/>
              <w:t> </w:t>
            </w:r>
          </w:p>
        </w:tc>
        <w:tc>
          <w:tcPr>
            <w:tcW w:w="70" w:type="dxa"/>
            <w:tcBorders/>
            <w:shd w:fill="FFFFFF" w:val="clear"/>
            <w:tcMar>
              <w:bottom w:w="0" w:type="dxa"/>
            </w:tcMar>
            <w:vAlign w:val="center"/>
          </w:tcPr>
          <w:p>
            <w:pPr>
              <w:pStyle w:val="TableContents"/>
              <w:bidi w:val="0"/>
              <w:spacing w:before="0" w:after="0"/>
              <w:ind w:left="0" w:right="0" w:hanging="0"/>
              <w:jc w:val="left"/>
              <w:rPr/>
            </w:pPr>
            <w:r>
              <w:rPr/>
              <w:t> </w:t>
            </w:r>
          </w:p>
        </w:tc>
        <w:tc>
          <w:tcPr>
            <w:tcW w:w="205" w:type="dxa"/>
            <w:tcBorders/>
            <w:shd w:fill="FFFFFF" w:val="clear"/>
            <w:tcMar>
              <w:bottom w:w="0" w:type="dxa"/>
            </w:tcMar>
            <w:vAlign w:val="center"/>
          </w:tcPr>
          <w:p>
            <w:pPr>
              <w:pStyle w:val="TableContents"/>
              <w:bidi w:val="0"/>
              <w:spacing w:before="0" w:after="0"/>
              <w:ind w:left="0" w:right="0" w:hanging="0"/>
              <w:jc w:val="left"/>
              <w:rPr/>
            </w:pPr>
            <w:r>
              <w:rPr/>
              <w:t> </w:t>
            </w:r>
          </w:p>
        </w:tc>
        <w:tc>
          <w:tcPr>
            <w:tcW w:w="429" w:type="dxa"/>
            <w:tcBorders/>
            <w:shd w:fill="FFFFFF" w:val="clear"/>
            <w:tcMar>
              <w:bottom w:w="0" w:type="dxa"/>
            </w:tcMar>
            <w:vAlign w:val="center"/>
          </w:tcPr>
          <w:p>
            <w:pPr>
              <w:pStyle w:val="TableContents"/>
              <w:bidi w:val="0"/>
              <w:spacing w:before="0" w:after="0"/>
              <w:ind w:left="0" w:right="0" w:hanging="0"/>
              <w:jc w:val="right"/>
              <w:rPr/>
            </w:pPr>
            <w:r>
              <w:rPr/>
              <w:t>—</w:t>
            </w:r>
          </w:p>
        </w:tc>
        <w:tc>
          <w:tcPr>
            <w:tcW w:w="70" w:type="dxa"/>
            <w:tcBorders/>
            <w:shd w:fill="FFFFFF" w:val="clear"/>
            <w:tcMar>
              <w:bottom w:w="0" w:type="dxa"/>
            </w:tcMar>
            <w:vAlign w:val="center"/>
          </w:tcPr>
          <w:p>
            <w:pPr>
              <w:pStyle w:val="TableContents"/>
              <w:bidi w:val="0"/>
              <w:spacing w:before="0" w:after="0"/>
              <w:ind w:left="0" w:right="0" w:hanging="0"/>
              <w:jc w:val="left"/>
              <w:rPr/>
            </w:pPr>
            <w:r>
              <w:rPr/>
              <w:t> </w:t>
            </w:r>
          </w:p>
        </w:tc>
        <w:tc>
          <w:tcPr>
            <w:tcW w:w="70" w:type="dxa"/>
            <w:tcBorders/>
            <w:shd w:fill="FFFFFF" w:val="clear"/>
            <w:tcMar>
              <w:bottom w:w="0" w:type="dxa"/>
            </w:tcMar>
            <w:vAlign w:val="center"/>
          </w:tcPr>
          <w:p>
            <w:pPr>
              <w:pStyle w:val="TableContents"/>
              <w:bidi w:val="0"/>
              <w:spacing w:before="0" w:after="0"/>
              <w:ind w:left="0" w:right="0" w:hanging="0"/>
              <w:jc w:val="left"/>
              <w:rPr/>
            </w:pPr>
            <w:r>
              <w:rPr/>
              <w:t> </w:t>
            </w:r>
          </w:p>
        </w:tc>
        <w:tc>
          <w:tcPr>
            <w:tcW w:w="205" w:type="dxa"/>
            <w:tcBorders/>
            <w:shd w:fill="FFFFFF" w:val="clear"/>
            <w:tcMar>
              <w:bottom w:w="0" w:type="dxa"/>
            </w:tcMar>
            <w:vAlign w:val="center"/>
          </w:tcPr>
          <w:p>
            <w:pPr>
              <w:pStyle w:val="TableContents"/>
              <w:bidi w:val="0"/>
              <w:spacing w:before="0" w:after="0"/>
              <w:ind w:left="0" w:right="0" w:hanging="0"/>
              <w:jc w:val="left"/>
              <w:rPr/>
            </w:pPr>
            <w:r>
              <w:rPr/>
              <w:t> </w:t>
            </w:r>
          </w:p>
        </w:tc>
        <w:tc>
          <w:tcPr>
            <w:tcW w:w="429" w:type="dxa"/>
            <w:tcBorders/>
            <w:shd w:fill="FFFFFF" w:val="clear"/>
            <w:tcMar>
              <w:bottom w:w="0" w:type="dxa"/>
            </w:tcMar>
            <w:vAlign w:val="center"/>
          </w:tcPr>
          <w:p>
            <w:pPr>
              <w:pStyle w:val="TableContents"/>
              <w:bidi w:val="0"/>
              <w:spacing w:before="0" w:after="0"/>
              <w:ind w:left="0" w:right="0" w:hanging="0"/>
              <w:jc w:val="right"/>
              <w:rPr/>
            </w:pPr>
            <w:r>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72" w:type="dxa"/>
            <w:tcBorders/>
            <w:shd w:fill="FFFFFF" w:val="clear"/>
            <w:tcMar>
              <w:bottom w:w="0" w:type="dxa"/>
            </w:tcMar>
            <w:vAlign w:val="center"/>
          </w:tcPr>
          <w:p>
            <w:pPr>
              <w:pStyle w:val="TableContents"/>
              <w:bidi w:val="0"/>
              <w:spacing w:before="0" w:after="0"/>
              <w:ind w:left="0" w:right="0" w:hanging="0"/>
              <w:jc w:val="left"/>
              <w:rPr/>
            </w:pPr>
            <w:r>
              <w:rPr/>
              <w:t> </w:t>
            </w:r>
          </w:p>
        </w:tc>
        <w:tc>
          <w:tcPr>
            <w:tcW w:w="462" w:type="dxa"/>
            <w:tcBorders/>
            <w:shd w:fill="FFFFFF" w:val="clear"/>
            <w:tcMar>
              <w:bottom w:w="0" w:type="dxa"/>
            </w:tcMar>
            <w:vAlign w:val="center"/>
          </w:tcPr>
          <w:p>
            <w:pPr>
              <w:pStyle w:val="TableContents"/>
              <w:bidi w:val="0"/>
              <w:spacing w:before="0" w:after="0"/>
              <w:ind w:left="0" w:right="0" w:hanging="0"/>
              <w:jc w:val="right"/>
              <w:rPr/>
            </w:pPr>
            <w:r>
              <w:rPr/>
              <w:t>—</w:t>
            </w:r>
          </w:p>
        </w:tc>
        <w:tc>
          <w:tcPr>
            <w:tcW w:w="66" w:type="dxa"/>
            <w:tcBorders/>
            <w:shd w:fill="FFFFFF" w:val="clear"/>
            <w:tcMar>
              <w:bottom w:w="0" w:type="dxa"/>
            </w:tcMar>
            <w:vAlign w:val="center"/>
          </w:tcPr>
          <w:p>
            <w:pPr>
              <w:pStyle w:val="TableContents"/>
              <w:bidi w:val="0"/>
              <w:spacing w:before="0" w:after="0"/>
              <w:ind w:left="0" w:right="0" w:hanging="0"/>
              <w:jc w:val="left"/>
              <w:rPr/>
            </w:pPr>
            <w:r>
              <w:rPr/>
              <w:t> </w:t>
            </w:r>
          </w:p>
        </w:tc>
        <w:tc>
          <w:tcPr>
            <w:tcW w:w="66" w:type="dxa"/>
            <w:tcBorders/>
            <w:shd w:fill="FFFFFF" w:val="clear"/>
            <w:tcMar>
              <w:bottom w:w="0" w:type="dxa"/>
            </w:tcMar>
            <w:vAlign w:val="center"/>
          </w:tcPr>
          <w:p>
            <w:pPr>
              <w:pStyle w:val="TableContents"/>
              <w:bidi w:val="0"/>
              <w:spacing w:before="0" w:after="0"/>
              <w:ind w:left="0" w:right="0" w:hanging="0"/>
              <w:jc w:val="left"/>
              <w:rPr/>
            </w:pPr>
            <w:r>
              <w:rPr/>
              <w:t> </w:t>
            </w:r>
          </w:p>
        </w:tc>
        <w:tc>
          <w:tcPr>
            <w:tcW w:w="205" w:type="dxa"/>
            <w:tcBorders/>
            <w:shd w:fill="FFFFFF" w:val="clear"/>
            <w:tcMar>
              <w:bottom w:w="0" w:type="dxa"/>
            </w:tcMar>
            <w:vAlign w:val="center"/>
          </w:tcPr>
          <w:p>
            <w:pPr>
              <w:pStyle w:val="TableContents"/>
              <w:bidi w:val="0"/>
              <w:spacing w:before="0" w:after="0"/>
              <w:ind w:left="0" w:right="0" w:hanging="0"/>
              <w:jc w:val="left"/>
              <w:rPr/>
            </w:pPr>
            <w:r>
              <w:rPr/>
              <w:t> </w:t>
            </w:r>
          </w:p>
        </w:tc>
        <w:tc>
          <w:tcPr>
            <w:tcW w:w="429" w:type="dxa"/>
            <w:tcBorders/>
            <w:shd w:fill="FFFFFF" w:val="clear"/>
            <w:tcMar>
              <w:bottom w:w="0"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w:t>
            </w:r>
          </w:p>
        </w:tc>
        <w:tc>
          <w:tcPr>
            <w:tcW w:w="66" w:type="dxa"/>
            <w:tcBorders/>
            <w:shd w:fill="FFFFFF" w:val="clear"/>
            <w:tcMar>
              <w:bottom w:w="0" w:type="dxa"/>
            </w:tcMar>
            <w:vAlign w:val="center"/>
          </w:tcPr>
          <w:p>
            <w:pPr>
              <w:pStyle w:val="TableContents"/>
              <w:bidi w:val="0"/>
              <w:spacing w:before="0" w:after="0"/>
              <w:ind w:left="0" w:right="0" w:hanging="0"/>
              <w:jc w:val="left"/>
              <w:rPr/>
            </w:pPr>
            <w:r>
              <w:rPr/>
              <w:t> </w:t>
            </w:r>
          </w:p>
        </w:tc>
        <w:tc>
          <w:tcPr>
            <w:tcW w:w="66" w:type="dxa"/>
            <w:tcBorders/>
            <w:shd w:fill="FFFFFF" w:val="clear"/>
            <w:tcMar>
              <w:bottom w:w="0" w:type="dxa"/>
            </w:tcMar>
            <w:vAlign w:val="center"/>
          </w:tcPr>
          <w:p>
            <w:pPr>
              <w:pStyle w:val="TableContents"/>
              <w:bidi w:val="0"/>
              <w:spacing w:before="0" w:after="0"/>
              <w:ind w:left="0" w:right="0" w:hanging="0"/>
              <w:jc w:val="left"/>
              <w:rPr/>
            </w:pPr>
            <w:r>
              <w:rPr/>
              <w:t> </w:t>
            </w:r>
          </w:p>
        </w:tc>
        <w:tc>
          <w:tcPr>
            <w:tcW w:w="205" w:type="dxa"/>
            <w:tcBorders/>
            <w:shd w:fill="FFFFFF" w:val="clear"/>
            <w:tcMar>
              <w:bottom w:w="0" w:type="dxa"/>
            </w:tcMar>
            <w:vAlign w:val="center"/>
          </w:tcPr>
          <w:p>
            <w:pPr>
              <w:pStyle w:val="TableContents"/>
              <w:bidi w:val="0"/>
              <w:spacing w:before="0" w:after="0"/>
              <w:ind w:left="0" w:right="0" w:hanging="0"/>
              <w:jc w:val="left"/>
              <w:rPr/>
            </w:pPr>
            <w:r>
              <w:rPr/>
              <w:t> </w:t>
            </w:r>
          </w:p>
        </w:tc>
        <w:tc>
          <w:tcPr>
            <w:tcW w:w="429" w:type="dxa"/>
            <w:tcBorders/>
            <w:shd w:fill="FFFFFF" w:val="clear"/>
            <w:tcMar>
              <w:bottom w:w="0" w:type="dxa"/>
            </w:tcMar>
            <w:vAlign w:val="center"/>
          </w:tcPr>
          <w:p>
            <w:pPr>
              <w:pStyle w:val="TableContents"/>
              <w:bidi w:val="0"/>
              <w:spacing w:before="0" w:after="0"/>
              <w:ind w:left="0" w:right="0" w:hanging="0"/>
              <w:jc w:val="right"/>
              <w:rPr/>
            </w:pPr>
            <w:r>
              <w:rPr/>
              <w:t>—</w:t>
            </w:r>
          </w:p>
        </w:tc>
        <w:tc>
          <w:tcPr>
            <w:tcW w:w="7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302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Cross-currency swap contract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29"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29"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w:t>
            </w:r>
          </w:p>
        </w:tc>
        <w:tc>
          <w:tcPr>
            <w:tcW w:w="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29"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62"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6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29"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w:t>
            </w:r>
          </w:p>
        </w:tc>
        <w:tc>
          <w:tcPr>
            <w:tcW w:w="6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29"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75" w:type="dxa"/>
            <w:tcBorders>
              <w:bottom w:val="single" w:sz="2" w:space="0" w:color="000000"/>
            </w:tcBorders>
            <w:shd w:fill="CCEEFF" w:val="clear"/>
            <w:vAlign w:val="center"/>
          </w:tcPr>
          <w:p>
            <w:pPr>
              <w:pStyle w:val="TableContents"/>
              <w:bidi w:val="0"/>
              <w:spacing w:before="0" w:after="0"/>
              <w:jc w:val="left"/>
              <w:rPr/>
            </w:pPr>
            <w:r>
              <w:rPr/>
              <w:t> </w:t>
            </w:r>
          </w:p>
        </w:tc>
      </w:tr>
      <w:tr>
        <w:trPr/>
        <w:tc>
          <w:tcPr>
            <w:tcW w:w="302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assets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70" w:type="dxa"/>
            <w:tcBorders>
              <w:bottom w:val="double" w:sz="6" w:space="0" w:color="000000"/>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w:t>
            </w:r>
          </w:p>
        </w:tc>
        <w:tc>
          <w:tcPr>
            <w:tcW w:w="70" w:type="dxa"/>
            <w:tcBorders>
              <w:bottom w:val="double" w:sz="6" w:space="0" w:color="000000"/>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2"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107</w:t>
            </w:r>
          </w:p>
        </w:tc>
        <w:tc>
          <w:tcPr>
            <w:tcW w:w="66" w:type="dxa"/>
            <w:tcBorders>
              <w:bottom w:val="double" w:sz="6" w:space="0" w:color="000000"/>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w:t>
            </w:r>
          </w:p>
        </w:tc>
        <w:tc>
          <w:tcPr>
            <w:tcW w:w="66" w:type="dxa"/>
            <w:tcBorders>
              <w:bottom w:val="double" w:sz="6" w:space="0" w:color="000000"/>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75"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302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2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Contingent consideration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FFFFFF" w:val="clear"/>
            <w:tcMar>
              <w:bottom w:w="0" w:type="dxa"/>
            </w:tcMar>
            <w:vAlign w:val="center"/>
          </w:tcPr>
          <w:p>
            <w:pPr>
              <w:pStyle w:val="TableContents"/>
              <w:bidi w:val="0"/>
              <w:spacing w:before="0" w:after="283"/>
              <w:ind w:left="0" w:right="0" w:hanging="0"/>
              <w:jc w:val="right"/>
              <w:rPr/>
            </w:pPr>
            <w:r>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ind w:left="0" w:right="0" w:hanging="0"/>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FFFFFF" w:val="clear"/>
            <w:tcMar>
              <w:bottom w:w="0" w:type="dxa"/>
            </w:tcMar>
            <w:vAlign w:val="center"/>
          </w:tcPr>
          <w:p>
            <w:pPr>
              <w:pStyle w:val="TableContents"/>
              <w:bidi w:val="0"/>
              <w:spacing w:before="0" w:after="283"/>
              <w:ind w:left="0" w:right="0" w:hanging="0"/>
              <w:jc w:val="right"/>
              <w:rPr/>
            </w:pPr>
            <w:r>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ind w:left="0" w:right="0" w:hanging="0"/>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2" w:type="dxa"/>
            <w:tcBorders/>
            <w:shd w:fill="FFFFFF" w:val="clear"/>
            <w:tcMar>
              <w:bottom w:w="0" w:type="dxa"/>
            </w:tcMar>
            <w:vAlign w:val="center"/>
          </w:tcPr>
          <w:p>
            <w:pPr>
              <w:pStyle w:val="TableContents"/>
              <w:bidi w:val="0"/>
              <w:spacing w:before="0" w:after="283"/>
              <w:ind w:left="0" w:right="0" w:hanging="0"/>
              <w:jc w:val="right"/>
              <w:rPr/>
            </w:pPr>
            <w:r>
              <w:rPr/>
              <w:t>—</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FFFFFF" w:val="clear"/>
            <w:tcMar>
              <w:bottom w:w="0" w:type="dxa"/>
            </w:tcMar>
            <w:vAlign w:val="center"/>
          </w:tcPr>
          <w:p>
            <w:pPr>
              <w:pStyle w:val="TableContents"/>
              <w:bidi w:val="0"/>
              <w:spacing w:before="0" w:after="283"/>
              <w:ind w:left="0" w:right="0" w:hanging="0"/>
              <w:jc w:val="right"/>
              <w:rPr/>
            </w:pPr>
            <w:r>
              <w:rPr/>
              <w:t>—</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2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Foreign exchange forward contracts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70" w:type="dxa"/>
            <w:tcBorders>
              <w:bottom w:val="single" w:sz="2" w:space="0" w:color="000000"/>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70" w:type="dxa"/>
            <w:tcBorders>
              <w:bottom w:val="single" w:sz="2" w:space="0" w:color="000000"/>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6" w:type="dxa"/>
            <w:tcBorders>
              <w:bottom w:val="single" w:sz="2" w:space="0" w:color="000000"/>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6" w:type="dxa"/>
            <w:tcBorders>
              <w:bottom w:val="single" w:sz="2" w:space="0" w:color="000000"/>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02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liabilities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70" w:type="dxa"/>
            <w:tcBorders>
              <w:bottom w:val="double" w:sz="6" w:space="0" w:color="000000"/>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70" w:type="dxa"/>
            <w:tcBorders>
              <w:bottom w:val="double" w:sz="6" w:space="0" w:color="000000"/>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2"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6" w:type="dxa"/>
            <w:tcBorders>
              <w:bottom w:val="double" w:sz="6" w:space="0" w:color="000000"/>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6" w:type="dxa"/>
            <w:tcBorders>
              <w:bottom w:val="double" w:sz="6" w:space="0" w:color="000000"/>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2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w:t>
            </w:r>
          </w:p>
        </w:tc>
        <w:tc>
          <w:tcPr>
            <w:tcW w:w="75"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There were </w:t>
      </w:r>
      <w:r>
        <w:rPr>
          <w:rStyle w:val="Emphasis"/>
          <w:rFonts w:ascii="arial" w:hAnsi="arial"/>
          <w:caps w:val="false"/>
          <w:smallCaps w:val="false"/>
          <w:sz w:val="20"/>
        </w:rPr>
        <w:t>no</w:t>
      </w:r>
      <w:r>
        <w:rPr>
          <w:rFonts w:ascii="arial" w:hAnsi="arial"/>
          <w:caps w:val="false"/>
          <w:smallCaps w:val="false"/>
          <w:sz w:val="20"/>
        </w:rPr>
        <w:t xml:space="preserve"> transfers into or out of Level </w:t>
      </w:r>
      <w:r>
        <w:rPr>
          <w:rStyle w:val="Emphasis"/>
          <w:rFonts w:ascii="arial" w:hAnsi="arial"/>
          <w:caps w:val="false"/>
          <w:smallCaps w:val="false"/>
          <w:sz w:val="20"/>
        </w:rPr>
        <w:t>1,</w:t>
      </w:r>
      <w:r>
        <w:rPr>
          <w:rFonts w:ascii="arial" w:hAnsi="arial"/>
          <w:caps w:val="false"/>
          <w:smallCaps w:val="false"/>
          <w:sz w:val="20"/>
        </w:rPr>
        <w:t xml:space="preserve"> Level </w:t>
      </w:r>
      <w:r>
        <w:rPr>
          <w:rStyle w:val="Emphasis"/>
          <w:rFonts w:ascii="arial" w:hAnsi="arial"/>
          <w:caps w:val="false"/>
          <w:smallCaps w:val="false"/>
          <w:sz w:val="20"/>
        </w:rPr>
        <w:t>2,</w:t>
      </w:r>
      <w:r>
        <w:rPr>
          <w:rFonts w:ascii="arial" w:hAnsi="arial"/>
          <w:caps w:val="false"/>
          <w:smallCaps w:val="false"/>
          <w:sz w:val="20"/>
        </w:rPr>
        <w:t xml:space="preserve"> or Level </w:t>
      </w:r>
      <w:r>
        <w:rPr>
          <w:rStyle w:val="Emphasis"/>
          <w:rFonts w:ascii="arial" w:hAnsi="arial"/>
          <w:caps w:val="false"/>
          <w:smallCaps w:val="false"/>
          <w:sz w:val="20"/>
        </w:rPr>
        <w:t>3</w:t>
      </w:r>
      <w:r>
        <w:rPr>
          <w:rFonts w:ascii="arial" w:hAnsi="arial"/>
          <w:caps w:val="false"/>
          <w:smallCaps w:val="false"/>
          <w:sz w:val="20"/>
        </w:rPr>
        <w:t xml:space="preserve"> assets and liabilities for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Second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10</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r>
        <w:rPr/>
        <w:drawing>
          <wp:inline distT="0" distB="0" distL="0" distR="0">
            <wp:extent cx="2695575" cy="3143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spacing w:lineRule="auto" w:line="240" w:before="0" w:after="0"/>
        <w:ind w:left="0" w:right="0" w:hanging="0"/>
        <w:jc w:val="left"/>
        <w:rPr/>
      </w:pPr>
      <w:r>
        <w:rPr/>
        <w:t> </w:t>
      </w:r>
    </w:p>
    <w:p>
      <w:pPr>
        <w:pStyle w:val="TextBody"/>
        <w:bidi w:val="0"/>
        <w:spacing w:before="0" w:after="0"/>
        <w:ind w:left="0" w:right="0" w:hanging="0"/>
        <w:jc w:val="left"/>
        <w:rPr/>
      </w:pPr>
      <w:r>
        <w:rPr>
          <w:rStyle w:val="Emphasis"/>
          <w:rFonts w:ascii="arial" w:hAnsi="arial"/>
          <w:b/>
          <w:caps w:val="false"/>
          <w:smallCaps w:val="false"/>
          <w:sz w:val="20"/>
        </w:rPr>
        <w:t>8.</w:t>
      </w:r>
      <w:r>
        <w:rPr>
          <w:rFonts w:ascii="arial" w:hAnsi="arial"/>
          <w:b/>
          <w:caps w:val="false"/>
          <w:smallCaps w:val="false"/>
          <w:sz w:val="20"/>
        </w:rPr>
        <w:t xml:space="preserve"> Fair Value Measurements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The fair value of long-term debt is determined by using model-derived valuations in which all significant inputs or significant value drivers are observable in active markets and, therefore, are classified as Level </w:t>
      </w:r>
      <w:r>
        <w:rPr>
          <w:rStyle w:val="Emphasis"/>
          <w:rFonts w:ascii="arial" w:hAnsi="arial"/>
          <w:caps w:val="false"/>
          <w:smallCaps w:val="false"/>
          <w:sz w:val="20"/>
        </w:rPr>
        <w:t>2.</w:t>
      </w:r>
      <w:r>
        <w:rPr>
          <w:rFonts w:ascii="arial" w:hAnsi="arial"/>
          <w:caps w:val="false"/>
          <w:smallCaps w:val="false"/>
          <w:sz w:val="20"/>
        </w:rPr>
        <w:t xml:space="preserve"> The carrying value and estimated fair value of long-term debt were as follows:</w:t>
      </w:r>
    </w:p>
    <w:p>
      <w:pPr>
        <w:pStyle w:val="TextBody"/>
        <w:bidi w:val="0"/>
        <w:spacing w:before="0" w:after="0"/>
        <w:ind w:left="0" w:right="0" w:hanging="0"/>
        <w:jc w:val="left"/>
        <w:rPr>
          <w:caps w:val="false"/>
          <w:smallCaps w:val="false"/>
        </w:rPr>
      </w:pPr>
      <w:r>
        <w:rPr>
          <w:caps w:val="false"/>
          <w:smallCaps w:val="false"/>
        </w:rPr>
        <w:t> </w:t>
      </w:r>
    </w:p>
    <w:tbl>
      <w:tblPr>
        <w:tblW w:w="4018" w:type="dxa"/>
        <w:jc w:val="left"/>
        <w:tblInd w:w="0" w:type="dxa"/>
        <w:tblLayout w:type="fixed"/>
        <w:tblCellMar>
          <w:top w:w="0" w:type="dxa"/>
          <w:left w:w="0" w:type="dxa"/>
          <w:bottom w:w="28" w:type="dxa"/>
          <w:right w:w="0" w:type="dxa"/>
        </w:tblCellMar>
      </w:tblPr>
      <w:tblGrid>
        <w:gridCol w:w="1490"/>
        <w:gridCol w:w="60"/>
        <w:gridCol w:w="311"/>
        <w:gridCol w:w="833"/>
        <w:gridCol w:w="60"/>
        <w:gridCol w:w="60"/>
        <w:gridCol w:w="311"/>
        <w:gridCol w:w="833"/>
        <w:gridCol w:w="60"/>
      </w:tblGrid>
      <w:tr>
        <w:trPr/>
        <w:tc>
          <w:tcPr>
            <w:tcW w:w="14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 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 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49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Carrying value (1)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3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3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4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11"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3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312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11"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3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lineRule="auto" w:line="288" w:before="0" w:after="283"/>
              <w:jc w:val="left"/>
              <w:rPr/>
            </w:pPr>
            <w:r>
              <w:rPr>
                <w:sz w:val="16"/>
              </w:rPr>
              <w:t>(</w:t>
            </w:r>
            <w:r>
              <w:rPr>
                <w:rStyle w:val="Emphasis"/>
                <w:sz w:val="16"/>
              </w:rPr>
              <w:t>1</w:t>
            </w:r>
            <w:r>
              <w:rPr>
                <w:sz w:val="16"/>
              </w:rPr>
              <w:t>)</w:t>
            </w:r>
          </w:p>
        </w:tc>
        <w:tc>
          <w:tcPr>
            <w:tcW w:w="9980" w:type="dxa"/>
            <w:tcBorders/>
            <w:vAlign w:val="center"/>
          </w:tcPr>
          <w:p>
            <w:pPr>
              <w:pStyle w:val="TableContents"/>
              <w:bidi w:val="0"/>
              <w:spacing w:before="0" w:after="0"/>
              <w:ind w:left="0" w:right="0" w:hanging="0"/>
              <w:jc w:val="left"/>
              <w:rPr/>
            </w:pPr>
            <w:r>
              <w:rPr>
                <w:rFonts w:ascii="Arial;Helvetica;sans-serif" w:hAnsi="Arial;Helvetica;sans-serif"/>
                <w:sz w:val="16"/>
              </w:rPr>
              <w:t xml:space="preserve">The carrying value of debt as of </w:t>
            </w:r>
            <w:r>
              <w:rPr>
                <w:rStyle w:val="Emphasis"/>
                <w:rFonts w:ascii="Arial;Helvetica;sans-serif" w:hAnsi="Arial;Helvetica;sans-serif"/>
                <w:sz w:val="16"/>
              </w:rPr>
              <w:t>July 29, 2023</w:t>
            </w:r>
            <w:r>
              <w:rPr>
                <w:rFonts w:ascii="Arial;Helvetica;sans-serif" w:hAnsi="Arial;Helvetica;sans-serif"/>
                <w:sz w:val="16"/>
              </w:rPr>
              <w:t xml:space="preserve"> and </w:t>
            </w:r>
            <w:r>
              <w:rPr>
                <w:rStyle w:val="Emphasis"/>
                <w:rFonts w:ascii="Arial;Helvetica;sans-serif" w:hAnsi="Arial;Helvetica;sans-serif"/>
                <w:sz w:val="16"/>
              </w:rPr>
              <w:t>July 30, 2022</w:t>
            </w:r>
            <w:r>
              <w:rPr>
                <w:rFonts w:ascii="Arial;Helvetica;sans-serif" w:hAnsi="Arial;Helvetica;sans-serif"/>
                <w:sz w:val="16"/>
              </w:rPr>
              <w:t> included $5 million and $6 million of issuer’s discount and costs,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carrying values of cash and cash equivalents, and other current receivables and payables approximate their fair value.</w:t>
      </w:r>
    </w:p>
    <w:p>
      <w:pPr>
        <w:pStyle w:val="TextBody"/>
        <w:bidi w:val="0"/>
        <w:spacing w:lineRule="auto" w:line="240"/>
        <w:jc w:val="left"/>
        <w:rPr/>
      </w:pPr>
      <w:r>
        <w:rPr/>
        <w:t xml:space="preserve">  </w:t>
      </w:r>
    </w:p>
    <w:p>
      <w:pPr>
        <w:pStyle w:val="TextBody"/>
        <w:bidi w:val="0"/>
        <w:spacing w:lineRule="auto" w:line="240" w:before="0" w:after="0"/>
        <w:ind w:left="0" w:right="0" w:hanging="0"/>
        <w:jc w:val="left"/>
        <w:rPr/>
      </w:pPr>
      <w:r>
        <w:rPr>
          <w:rStyle w:val="Emphasis"/>
          <w:rFonts w:ascii="arial" w:hAnsi="arial"/>
          <w:b/>
          <w:caps w:val="false"/>
          <w:smallCaps w:val="false"/>
          <w:sz w:val="20"/>
        </w:rPr>
        <w:t>9.</w:t>
      </w:r>
      <w:r>
        <w:rPr>
          <w:rFonts w:ascii="arial" w:hAnsi="arial"/>
          <w:b/>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We account for earnings per share (“EPS”) using the treasury stock method. Basic EPS is computed by dividing net income for the period by the weighted-average number of common shares outstanding at the end of the period. Diluted earnings per share reflects the weighted-average number of common shares outstanding during the period used in the basic EPS computation plus dilutive common stock equivalents. The computation of diluted earnings per share does </w:t>
      </w:r>
      <w:r>
        <w:rPr>
          <w:rStyle w:val="Emphasis"/>
          <w:rFonts w:ascii="arial" w:hAnsi="arial"/>
          <w:caps w:val="false"/>
          <w:smallCaps w:val="false"/>
          <w:sz w:val="20"/>
        </w:rPr>
        <w:t>not</w:t>
      </w:r>
      <w:r>
        <w:rPr>
          <w:rFonts w:ascii="arial" w:hAnsi="arial"/>
          <w:caps w:val="false"/>
          <w:smallCaps w:val="false"/>
          <w:sz w:val="20"/>
        </w:rPr>
        <w:t xml:space="preserve"> assume conversion, exercise, or contingent issuance of securities that would have an anti-dilutive effect on EPS. The computation of basic and diluted EPS is as follows:</w:t>
      </w:r>
    </w:p>
    <w:p>
      <w:pPr>
        <w:pStyle w:val="TextBody"/>
        <w:bidi w:val="0"/>
        <w:spacing w:before="0" w:after="0"/>
        <w:ind w:left="0" w:right="0" w:hanging="0"/>
        <w:jc w:val="both"/>
        <w:rPr>
          <w:caps w:val="false"/>
          <w:smallCaps w:val="false"/>
        </w:rPr>
      </w:pPr>
      <w:r>
        <w:rPr>
          <w:caps w:val="false"/>
          <w:smallCaps w:val="false"/>
        </w:rPr>
        <w:t> </w:t>
      </w:r>
    </w:p>
    <w:tbl>
      <w:tblPr>
        <w:tblW w:w="9683" w:type="dxa"/>
        <w:jc w:val="left"/>
        <w:tblInd w:w="0" w:type="dxa"/>
        <w:tblLayout w:type="fixed"/>
        <w:tblCellMar>
          <w:top w:w="0" w:type="dxa"/>
          <w:left w:w="0" w:type="dxa"/>
          <w:bottom w:w="28" w:type="dxa"/>
          <w:right w:w="0" w:type="dxa"/>
        </w:tblCellMar>
      </w:tblPr>
      <w:tblGrid>
        <w:gridCol w:w="5435"/>
        <w:gridCol w:w="60"/>
        <w:gridCol w:w="195"/>
        <w:gridCol w:w="689"/>
        <w:gridCol w:w="125"/>
        <w:gridCol w:w="93"/>
        <w:gridCol w:w="195"/>
        <w:gridCol w:w="595"/>
        <w:gridCol w:w="60"/>
        <w:gridCol w:w="60"/>
        <w:gridCol w:w="234"/>
        <w:gridCol w:w="712"/>
        <w:gridCol w:w="112"/>
        <w:gridCol w:w="112"/>
        <w:gridCol w:w="234"/>
        <w:gridCol w:w="712"/>
        <w:gridCol w:w="60"/>
      </w:tblGrid>
      <w:tr>
        <w:trPr/>
        <w:tc>
          <w:tcPr>
            <w:tcW w:w="543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Twenty-six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43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8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79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6"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ind w:left="0" w:right="0" w:hanging="0"/>
              <w:jc w:val="left"/>
              <w:rPr/>
            </w:pPr>
            <w:r>
              <w:rPr/>
              <w:t> </w:t>
            </w:r>
          </w:p>
        </w:tc>
        <w:tc>
          <w:tcPr>
            <w:tcW w:w="946"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 millions, except per share data)</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8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6"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12" w:type="dxa"/>
            <w:tcBorders>
              <w:bottom w:val="single" w:sz="2" w:space="0" w:color="000000"/>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6"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4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 / (loss)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w:t>
            </w:r>
          </w:p>
        </w:tc>
        <w:tc>
          <w:tcPr>
            <w:tcW w:w="12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9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1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31</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ind w:left="0" w:right="0" w:hanging="0"/>
              <w:jc w:val="left"/>
              <w:rPr/>
            </w:pPr>
            <w:r>
              <w:rPr/>
              <w:t> </w:t>
            </w:r>
          </w:p>
        </w:tc>
        <w:tc>
          <w:tcPr>
            <w:tcW w:w="23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1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4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Weighted-average common shares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ind w:left="0" w:right="0" w:hanging="0"/>
              <w:jc w:val="left"/>
              <w:rPr/>
            </w:pPr>
            <w:r>
              <w:rPr/>
              <w:t> </w:t>
            </w:r>
          </w:p>
        </w:tc>
        <w:tc>
          <w:tcPr>
            <w:tcW w:w="68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94.2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ind w:left="0" w:right="0" w:hanging="0"/>
              <w:jc w:val="left"/>
              <w:rPr/>
            </w:pPr>
            <w:r>
              <w:rPr/>
              <w:t> </w:t>
            </w:r>
          </w:p>
        </w:tc>
        <w:tc>
          <w:tcPr>
            <w:tcW w:w="5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94.0</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95.1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Dilutive effect of potential common shares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125" w:type="dxa"/>
            <w:tcBorders>
              <w:bottom w:val="single" w:sz="2" w:space="0" w:color="000000"/>
            </w:tcBorders>
            <w:shd w:fill="CCEEFF" w:val="clear"/>
            <w:vAlign w:val="center"/>
          </w:tcPr>
          <w:p>
            <w:pPr>
              <w:pStyle w:val="TableContents"/>
              <w:bidi w:val="0"/>
              <w:spacing w:before="0" w:after="283"/>
              <w:jc w:val="left"/>
              <w:rPr/>
            </w:pPr>
            <w:r>
              <w:rPr/>
              <w:t> </w:t>
            </w:r>
          </w:p>
        </w:tc>
        <w:tc>
          <w:tcPr>
            <w:tcW w:w="93" w:type="dxa"/>
            <w:tcBorders>
              <w:bottom w:val="single" w:sz="2" w:space="0" w:color="000000"/>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w:t>
            </w:r>
          </w:p>
        </w:tc>
        <w:tc>
          <w:tcPr>
            <w:tcW w:w="112" w:type="dxa"/>
            <w:tcBorders>
              <w:bottom w:val="single" w:sz="2" w:space="0" w:color="000000"/>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543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Weighted-average common shares outstanding assuming dilution</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68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94.2</w:t>
            </w:r>
          </w:p>
        </w:tc>
        <w:tc>
          <w:tcPr>
            <w:tcW w:w="125" w:type="dxa"/>
            <w:tcBorders>
              <w:bottom w:val="double" w:sz="6" w:space="0" w:color="000000"/>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5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95.1</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712"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95.0</w:t>
            </w:r>
          </w:p>
        </w:tc>
        <w:tc>
          <w:tcPr>
            <w:tcW w:w="112" w:type="dxa"/>
            <w:tcBorders>
              <w:bottom w:val="double" w:sz="6" w:space="0" w:color="000000"/>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712"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96.1</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543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8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79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46"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ind w:left="0" w:right="0" w:hanging="0"/>
              <w:jc w:val="left"/>
              <w:rPr/>
            </w:pPr>
            <w:r>
              <w:rPr/>
              <w:t> </w:t>
            </w:r>
          </w:p>
        </w:tc>
        <w:tc>
          <w:tcPr>
            <w:tcW w:w="946"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4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Earnings / (loss) per share - basic</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(0.05</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9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1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0.33</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ind w:left="0" w:right="0" w:hanging="0"/>
              <w:jc w:val="left"/>
              <w:rPr/>
            </w:pPr>
            <w:r>
              <w:rPr/>
              <w:t> </w:t>
            </w:r>
          </w:p>
        </w:tc>
        <w:tc>
          <w:tcPr>
            <w:tcW w:w="23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1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Earnings / (loss) per share - diluted</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(0.05</w:t>
            </w:r>
          </w:p>
        </w:tc>
        <w:tc>
          <w:tcPr>
            <w:tcW w:w="12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9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1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0.33</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ind w:left="0" w:right="0" w:hanging="0"/>
              <w:jc w:val="left"/>
              <w:rPr/>
            </w:pPr>
            <w:r>
              <w:rPr/>
              <w:t> </w:t>
            </w:r>
          </w:p>
        </w:tc>
        <w:tc>
          <w:tcPr>
            <w:tcW w:w="23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1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43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8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79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6"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ind w:left="0" w:right="0" w:hanging="0"/>
              <w:jc w:val="left"/>
              <w:rPr/>
            </w:pPr>
            <w:r>
              <w:rPr/>
              <w:t> </w:t>
            </w:r>
          </w:p>
        </w:tc>
        <w:tc>
          <w:tcPr>
            <w:tcW w:w="946"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Anti-dilutive share-based awards excluded from diluted calculation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2.7</w:t>
            </w:r>
          </w:p>
        </w:tc>
        <w:tc>
          <w:tcPr>
            <w:tcW w:w="125" w:type="dxa"/>
            <w:tcBorders>
              <w:bottom w:val="single" w:sz="2" w:space="0" w:color="000000"/>
            </w:tcBorders>
            <w:shd w:fill="CCEEFF" w:val="clear"/>
            <w:vAlign w:val="center"/>
          </w:tcPr>
          <w:p>
            <w:pPr>
              <w:pStyle w:val="TableContents"/>
              <w:bidi w:val="0"/>
              <w:spacing w:before="0" w:after="283"/>
              <w:jc w:val="left"/>
              <w:rPr/>
            </w:pPr>
            <w:r>
              <w:rPr/>
              <w:t> </w:t>
            </w:r>
          </w:p>
        </w:tc>
        <w:tc>
          <w:tcPr>
            <w:tcW w:w="93" w:type="dxa"/>
            <w:tcBorders>
              <w:bottom w:val="single" w:sz="2" w:space="0" w:color="000000"/>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2.4</w:t>
            </w:r>
          </w:p>
        </w:tc>
        <w:tc>
          <w:tcPr>
            <w:tcW w:w="112" w:type="dxa"/>
            <w:tcBorders>
              <w:bottom w:val="single" w:sz="2" w:space="0" w:color="000000"/>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Performance stock units related to our long-term incentive programs of 0.8 million been excluded from diluted weighted-average shares for each of the periods ended </w:t>
      </w:r>
      <w:r>
        <w:rPr>
          <w:rStyle w:val="Emphasis"/>
          <w:rFonts w:ascii="arial" w:hAnsi="arial"/>
          <w:caps w:val="false"/>
          <w:smallCaps w:val="false"/>
          <w:sz w:val="20"/>
        </w:rPr>
        <w:t xml:space="preserve">July 29, 2023 </w:t>
      </w:r>
      <w:r>
        <w:rPr>
          <w:rFonts w:ascii="arial" w:hAnsi="arial"/>
          <w:caps w:val="false"/>
          <w:smallCaps w:val="false"/>
          <w:sz w:val="20"/>
        </w:rPr>
        <w:t xml:space="preserve">and </w:t>
      </w:r>
      <w:r>
        <w:rPr>
          <w:rStyle w:val="Emphasis"/>
          <w:rFonts w:ascii="arial" w:hAnsi="arial"/>
          <w:caps w:val="false"/>
          <w:smallCaps w:val="false"/>
          <w:sz w:val="20"/>
        </w:rPr>
        <w:t>July 30, 2022</w:t>
      </w:r>
      <w:r>
        <w:rPr>
          <w:rFonts w:ascii="arial" w:hAnsi="arial"/>
          <w:caps w:val="false"/>
          <w:smallCaps w:val="false"/>
          <w:sz w:val="20"/>
        </w:rPr>
        <w:t xml:space="preserve">. The issuance of these shares is contingent on our performance metrics as compared to the pre-established performance goals, which have </w:t>
      </w:r>
      <w:r>
        <w:rPr>
          <w:rStyle w:val="Emphasis"/>
          <w:rFonts w:ascii="arial" w:hAnsi="arial"/>
          <w:caps w:val="false"/>
          <w:smallCaps w:val="false"/>
          <w:sz w:val="20"/>
        </w:rPr>
        <w:t>not</w:t>
      </w:r>
      <w:r>
        <w:rPr>
          <w:rFonts w:ascii="arial" w:hAnsi="arial"/>
          <w:caps w:val="false"/>
          <w:smallCaps w:val="false"/>
          <w:sz w:val="20"/>
        </w:rPr>
        <w:t xml:space="preserve"> been achieved.</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 w:hAnsi="arial"/>
          <w:b/>
          <w:caps w:val="false"/>
          <w:smallCaps w:val="false"/>
          <w:sz w:val="20"/>
        </w:rPr>
        <w:t>10.</w:t>
      </w:r>
      <w:r>
        <w:rPr>
          <w:rFonts w:ascii="arial" w:hAnsi="arial"/>
          <w:b/>
          <w:caps w:val="false"/>
          <w:smallCaps w:val="false"/>
          <w:sz w:val="20"/>
        </w:rPr>
        <w:t xml:space="preserve"> Pension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components of net periodic pension benefit expense are presented in the table below. Service cost is recognized as part of SG&amp;A expense, while the other components are recognized as part of Other income / (expense), net.</w:t>
      </w:r>
    </w:p>
    <w:p>
      <w:pPr>
        <w:pStyle w:val="TextBody"/>
        <w:bidi w:val="0"/>
        <w:spacing w:before="0" w:after="0"/>
        <w:ind w:left="0" w:right="0" w:hanging="0"/>
        <w:jc w:val="both"/>
        <w:rPr>
          <w:caps w:val="false"/>
          <w:smallCaps w:val="false"/>
        </w:rPr>
      </w:pPr>
      <w:r>
        <w:rPr>
          <w:caps w:val="false"/>
          <w:smallCaps w:val="false"/>
        </w:rPr>
        <w:t> </w:t>
      </w:r>
    </w:p>
    <w:tbl>
      <w:tblPr>
        <w:tblW w:w="6829" w:type="dxa"/>
        <w:jc w:val="left"/>
        <w:tblInd w:w="0" w:type="dxa"/>
        <w:tblLayout w:type="fixed"/>
        <w:tblCellMar>
          <w:top w:w="0" w:type="dxa"/>
          <w:left w:w="0" w:type="dxa"/>
          <w:bottom w:w="28" w:type="dxa"/>
          <w:right w:w="0" w:type="dxa"/>
        </w:tblCellMar>
      </w:tblPr>
      <w:tblGrid>
        <w:gridCol w:w="2540"/>
        <w:gridCol w:w="60"/>
        <w:gridCol w:w="311"/>
        <w:gridCol w:w="461"/>
        <w:gridCol w:w="199"/>
        <w:gridCol w:w="149"/>
        <w:gridCol w:w="311"/>
        <w:gridCol w:w="461"/>
        <w:gridCol w:w="80"/>
        <w:gridCol w:w="60"/>
        <w:gridCol w:w="273"/>
        <w:gridCol w:w="633"/>
        <w:gridCol w:w="174"/>
        <w:gridCol w:w="131"/>
        <w:gridCol w:w="273"/>
        <w:gridCol w:w="633"/>
        <w:gridCol w:w="80"/>
      </w:tblGrid>
      <w:tr>
        <w:trPr/>
        <w:tc>
          <w:tcPr>
            <w:tcW w:w="254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7"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Twenty-six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2"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ind w:left="0" w:right="0" w:hanging="0"/>
              <w:jc w:val="left"/>
              <w:rPr/>
            </w:pPr>
            <w:r>
              <w:rPr/>
              <w:t> </w:t>
            </w:r>
          </w:p>
        </w:tc>
        <w:tc>
          <w:tcPr>
            <w:tcW w:w="772"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6"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ind w:left="0" w:right="0" w:hanging="0"/>
              <w:jc w:val="left"/>
              <w:rPr/>
            </w:pPr>
            <w:r>
              <w:rPr/>
              <w:t> </w:t>
            </w:r>
          </w:p>
        </w:tc>
        <w:tc>
          <w:tcPr>
            <w:tcW w:w="906"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99" w:type="dxa"/>
            <w:tcBorders>
              <w:bottom w:val="single" w:sz="2" w:space="0" w:color="000000"/>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6"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74"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6"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Service cost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ind w:left="0" w:right="0" w:hanging="0"/>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ind w:left="0" w:right="0" w:hanging="0"/>
              <w:jc w:val="left"/>
              <w:rPr/>
            </w:pPr>
            <w:r>
              <w:rPr/>
              <w:t> </w:t>
            </w:r>
          </w:p>
        </w:tc>
        <w:tc>
          <w:tcPr>
            <w:tcW w:w="27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ind w:left="0" w:right="0" w:hanging="0"/>
              <w:jc w:val="left"/>
              <w:rPr/>
            </w:pPr>
            <w:r>
              <w:rPr/>
              <w:t> </w:t>
            </w:r>
          </w:p>
        </w:tc>
        <w:tc>
          <w:tcPr>
            <w:tcW w:w="46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ind w:left="0" w:right="0" w:hanging="0"/>
              <w:jc w:val="left"/>
              <w:rPr/>
            </w:pPr>
            <w:r>
              <w:rPr/>
              <w:t> </w:t>
            </w:r>
          </w:p>
        </w:tc>
        <w:tc>
          <w:tcPr>
            <w:tcW w:w="46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shd w:fill="FFFFFF" w:val="clear"/>
            <w:tcMar>
              <w:bottom w:w="0" w:type="dxa"/>
            </w:tcMar>
            <w:vAlign w:val="center"/>
          </w:tcPr>
          <w:p>
            <w:pPr>
              <w:pStyle w:val="TableContents"/>
              <w:bidi w:val="0"/>
              <w:spacing w:before="0" w:after="283"/>
              <w:ind w:left="0" w:right="0" w:hanging="0"/>
              <w:jc w:val="left"/>
              <w:rPr/>
            </w:pPr>
            <w:r>
              <w:rPr/>
              <w:t> </w:t>
            </w:r>
          </w:p>
        </w:tc>
        <w:tc>
          <w:tcPr>
            <w:tcW w:w="633"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13</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273" w:type="dxa"/>
            <w:tcBorders/>
            <w:shd w:fill="FFFFFF" w:val="clear"/>
            <w:tcMar>
              <w:bottom w:w="0" w:type="dxa"/>
            </w:tcMar>
            <w:vAlign w:val="center"/>
          </w:tcPr>
          <w:p>
            <w:pPr>
              <w:pStyle w:val="TableContents"/>
              <w:bidi w:val="0"/>
              <w:spacing w:before="0" w:after="283"/>
              <w:ind w:left="0" w:right="0" w:hanging="0"/>
              <w:jc w:val="left"/>
              <w:rPr/>
            </w:pPr>
            <w:r>
              <w:rPr/>
              <w:t> </w:t>
            </w:r>
          </w:p>
        </w:tc>
        <w:tc>
          <w:tcPr>
            <w:tcW w:w="633"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Expected return on plan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w:t>
            </w:r>
          </w:p>
        </w:tc>
        <w:tc>
          <w:tcPr>
            <w:tcW w:w="199"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49"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ind w:left="0" w:right="0" w:hanging="0"/>
              <w:jc w:val="left"/>
              <w:rPr/>
            </w:pPr>
            <w:r>
              <w:rPr/>
              <w:t> </w:t>
            </w:r>
          </w:p>
        </w:tc>
        <w:tc>
          <w:tcPr>
            <w:tcW w:w="63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(15</w:t>
            </w:r>
          </w:p>
        </w:tc>
        <w:tc>
          <w:tcPr>
            <w:tcW w:w="174"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31"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ind w:left="0" w:right="0" w:hanging="0"/>
              <w:jc w:val="left"/>
              <w:rPr/>
            </w:pPr>
            <w:r>
              <w:rPr/>
              <w:t> </w:t>
            </w:r>
          </w:p>
        </w:tc>
        <w:tc>
          <w:tcPr>
            <w:tcW w:w="63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5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net loss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99" w:type="dxa"/>
            <w:tcBorders>
              <w:bottom w:val="single" w:sz="2" w:space="0" w:color="000000"/>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vAlign w:val="center"/>
          </w:tcPr>
          <w:p>
            <w:pPr>
              <w:pStyle w:val="TableContents"/>
              <w:bidi w:val="0"/>
              <w:spacing w:before="0" w:after="283"/>
              <w:jc w:val="left"/>
              <w:rPr/>
            </w:pPr>
            <w:r>
              <w:rPr/>
              <w:t> </w:t>
            </w:r>
          </w:p>
        </w:tc>
        <w:tc>
          <w:tcPr>
            <w:tcW w:w="3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174"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4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benefit expense</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1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199" w:type="dxa"/>
            <w:tcBorders>
              <w:bottom w:val="double" w:sz="6" w:space="0" w:color="000000"/>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1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3"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w:t>
            </w:r>
          </w:p>
        </w:tc>
        <w:tc>
          <w:tcPr>
            <w:tcW w:w="174" w:type="dxa"/>
            <w:tcBorders>
              <w:bottom w:val="double" w:sz="6" w:space="0" w:color="000000"/>
            </w:tcBorders>
            <w:shd w:fill="CCEEFF" w:val="clear"/>
            <w:vAlign w:val="center"/>
          </w:tcPr>
          <w:p>
            <w:pPr>
              <w:pStyle w:val="TableContents"/>
              <w:bidi w:val="0"/>
              <w:spacing w:before="0" w:after="283"/>
              <w:jc w:val="left"/>
              <w:rPr/>
            </w:pPr>
            <w:r>
              <w:rPr/>
              <w:t> </w:t>
            </w:r>
          </w:p>
        </w:tc>
        <w:tc>
          <w:tcPr>
            <w:tcW w:w="131"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3"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Second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11</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2695575" cy="3143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ind w:left="0" w:right="0" w:hanging="0"/>
        <w:jc w:val="left"/>
        <w:rPr/>
      </w:pPr>
      <w:r>
        <w:rPr/>
        <w:t xml:space="preserve">  </w:t>
      </w:r>
    </w:p>
    <w:p>
      <w:pPr>
        <w:pStyle w:val="TextBody"/>
        <w:bidi w:val="0"/>
        <w:spacing w:lineRule="auto" w:line="240" w:before="0" w:after="0"/>
        <w:ind w:left="0" w:right="0" w:hanging="0"/>
        <w:jc w:val="left"/>
        <w:rPr/>
      </w:pPr>
      <w:r>
        <w:rPr>
          <w:rStyle w:val="Emphasis"/>
          <w:rFonts w:ascii="Arial;Helvetica;sans-serif" w:hAnsi="Arial;Helvetica;sans-serif"/>
          <w:b/>
          <w:caps w:val="false"/>
          <w:smallCaps w:val="false"/>
          <w:sz w:val="20"/>
        </w:rPr>
        <w:t>11.</w:t>
      </w:r>
      <w:r>
        <w:rPr>
          <w:rFonts w:ascii="Arial;Helvetica;sans-serif" w:hAnsi="Arial;Helvetica;sans-serif"/>
          <w:b/>
          <w:caps w:val="false"/>
          <w:smallCaps w:val="false"/>
          <w:sz w:val="20"/>
        </w:rPr>
        <w:t xml:space="preserve">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Total compensation expense, included in SG&amp;A, and the associated tax benefits recognized related to our share-based compensation plans, was as follows:</w:t>
      </w:r>
    </w:p>
    <w:p>
      <w:pPr>
        <w:pStyle w:val="TextBody"/>
        <w:bidi w:val="0"/>
        <w:spacing w:before="0" w:after="0"/>
        <w:ind w:left="0" w:right="0" w:hanging="0"/>
        <w:jc w:val="both"/>
        <w:rPr>
          <w:caps w:val="false"/>
          <w:smallCaps w:val="false"/>
        </w:rPr>
      </w:pPr>
      <w:r>
        <w:rPr>
          <w:caps w:val="false"/>
          <w:smallCaps w:val="false"/>
        </w:rPr>
        <w:t> </w:t>
      </w:r>
    </w:p>
    <w:tbl>
      <w:tblPr>
        <w:tblW w:w="8333" w:type="dxa"/>
        <w:jc w:val="left"/>
        <w:tblInd w:w="0" w:type="dxa"/>
        <w:tblLayout w:type="fixed"/>
        <w:tblCellMar>
          <w:top w:w="0" w:type="dxa"/>
          <w:left w:w="0" w:type="dxa"/>
          <w:bottom w:w="28" w:type="dxa"/>
          <w:right w:w="0" w:type="dxa"/>
        </w:tblCellMar>
      </w:tblPr>
      <w:tblGrid>
        <w:gridCol w:w="4085"/>
        <w:gridCol w:w="60"/>
        <w:gridCol w:w="381"/>
        <w:gridCol w:w="381"/>
        <w:gridCol w:w="182"/>
        <w:gridCol w:w="182"/>
        <w:gridCol w:w="381"/>
        <w:gridCol w:w="384"/>
        <w:gridCol w:w="60"/>
        <w:gridCol w:w="60"/>
        <w:gridCol w:w="363"/>
        <w:gridCol w:w="363"/>
        <w:gridCol w:w="174"/>
        <w:gridCol w:w="174"/>
        <w:gridCol w:w="363"/>
        <w:gridCol w:w="680"/>
        <w:gridCol w:w="60"/>
      </w:tblGrid>
      <w:tr>
        <w:trPr/>
        <w:tc>
          <w:tcPr>
            <w:tcW w:w="408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1"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7"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Twenty-six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62"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ind w:left="0" w:right="0" w:hanging="0"/>
              <w:jc w:val="left"/>
              <w:rPr/>
            </w:pPr>
            <w:r>
              <w:rPr/>
              <w:t> </w:t>
            </w:r>
          </w:p>
        </w:tc>
        <w:tc>
          <w:tcPr>
            <w:tcW w:w="76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6"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043"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82" w:type="dxa"/>
            <w:tcBorders>
              <w:bottom w:val="single" w:sz="2" w:space="0" w:color="000000"/>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6"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74"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Options and employee stock purchase plan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8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ind w:left="0" w:right="0" w:hanging="0"/>
              <w:jc w:val="left"/>
              <w:rPr/>
            </w:pPr>
            <w:r>
              <w:rPr/>
              <w:t> </w:t>
            </w:r>
          </w:p>
        </w:tc>
        <w:tc>
          <w:tcPr>
            <w:tcW w:w="38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8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6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6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36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Restricted stock units and performance stock units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8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82" w:type="dxa"/>
            <w:tcBorders>
              <w:bottom w:val="single" w:sz="2" w:space="0" w:color="000000"/>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vAlign w:val="center"/>
          </w:tcPr>
          <w:p>
            <w:pPr>
              <w:pStyle w:val="TableContents"/>
              <w:bidi w:val="0"/>
              <w:spacing w:before="0" w:after="283"/>
              <w:jc w:val="left"/>
              <w:rPr/>
            </w:pPr>
            <w:r>
              <w:rPr/>
              <w:t> </w:t>
            </w:r>
          </w:p>
        </w:tc>
        <w:tc>
          <w:tcPr>
            <w:tcW w:w="38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8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6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6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74"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jc w:val="left"/>
              <w:rPr/>
            </w:pPr>
            <w:r>
              <w:rPr/>
              <w:t> </w:t>
            </w:r>
          </w:p>
        </w:tc>
        <w:tc>
          <w:tcPr>
            <w:tcW w:w="36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8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share-based compensation expense</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8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81"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82" w:type="dxa"/>
            <w:tcBorders>
              <w:bottom w:val="double" w:sz="6" w:space="0" w:color="000000"/>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8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84"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63"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174" w:type="dxa"/>
            <w:tcBorders>
              <w:bottom w:val="double" w:sz="6" w:space="0" w:color="000000"/>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62"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ind w:left="0" w:right="0" w:hanging="0"/>
              <w:jc w:val="left"/>
              <w:rPr/>
            </w:pPr>
            <w:r>
              <w:rPr/>
              <w:t> </w:t>
            </w:r>
          </w:p>
        </w:tc>
        <w:tc>
          <w:tcPr>
            <w:tcW w:w="76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6"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043"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Tax benefit recognized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81"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81"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82" w:type="dxa"/>
            <w:tcBorders>
              <w:bottom w:val="single" w:sz="2" w:space="0" w:color="000000"/>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81"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8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63"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63"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74"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63"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Valuation Model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use the Black-Scholes option-pricing model to estimate the fair value of options and the stock purchase plan. The Black-Scholes option-pricing model incorporates various and subjective assumptions, including expected term and expected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table below shows assumptions used to compute share-based compensation expense for awards granted during the </w:t>
      </w:r>
      <w:r>
        <w:rPr>
          <w:rStyle w:val="Emphasis"/>
          <w:rFonts w:ascii="Arial;Helvetica;sans-serif" w:hAnsi="Arial;Helvetica;sans-serif"/>
          <w:caps w:val="false"/>
          <w:smallCaps w:val="false"/>
          <w:sz w:val="20"/>
        </w:rPr>
        <w:t>twenty-six</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 xml:space="preserve">July 29, 2023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July 30, 2022</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947" w:type="dxa"/>
        <w:jc w:val="left"/>
        <w:tblInd w:w="0" w:type="dxa"/>
        <w:tblLayout w:type="fixed"/>
        <w:tblCellMar>
          <w:top w:w="0" w:type="dxa"/>
          <w:left w:w="0" w:type="dxa"/>
          <w:bottom w:w="28" w:type="dxa"/>
          <w:right w:w="0" w:type="dxa"/>
        </w:tblCellMar>
      </w:tblPr>
      <w:tblGrid>
        <w:gridCol w:w="3995"/>
        <w:gridCol w:w="60"/>
        <w:gridCol w:w="139"/>
        <w:gridCol w:w="542"/>
        <w:gridCol w:w="207"/>
        <w:gridCol w:w="67"/>
        <w:gridCol w:w="139"/>
        <w:gridCol w:w="542"/>
        <w:gridCol w:w="185"/>
        <w:gridCol w:w="60"/>
        <w:gridCol w:w="167"/>
        <w:gridCol w:w="512"/>
        <w:gridCol w:w="245"/>
        <w:gridCol w:w="79"/>
        <w:gridCol w:w="165"/>
        <w:gridCol w:w="643"/>
        <w:gridCol w:w="200"/>
      </w:tblGrid>
      <w:tr>
        <w:trPr/>
        <w:tc>
          <w:tcPr>
            <w:tcW w:w="399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36"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Stock Option Plans</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11"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Stock Purchase Plan</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8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207"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68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245"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ind w:left="0" w:right="0" w:hanging="0"/>
              <w:jc w:val="left"/>
              <w:rPr/>
            </w:pPr>
            <w:r>
              <w:rPr/>
              <w:t> </w:t>
            </w:r>
          </w:p>
        </w:tc>
        <w:tc>
          <w:tcPr>
            <w:tcW w:w="808"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207"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245" w:type="dxa"/>
            <w:tcBorders>
              <w:bottom w:val="single" w:sz="2" w:space="0" w:color="000000"/>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8"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Weighted-average risk free rate of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ind w:left="0" w:right="0" w:hanging="0"/>
              <w:jc w:val="left"/>
              <w:rPr/>
            </w:pPr>
            <w:r>
              <w:rPr/>
              <w:t> </w:t>
            </w:r>
          </w:p>
        </w:tc>
        <w:tc>
          <w:tcPr>
            <w:tcW w:w="54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3.6</w:t>
            </w:r>
          </w:p>
        </w:tc>
        <w:tc>
          <w:tcPr>
            <w:tcW w:w="207"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7"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ind w:left="0" w:right="0" w:hanging="0"/>
              <w:jc w:val="left"/>
              <w:rPr/>
            </w:pPr>
            <w:r>
              <w:rPr/>
              <w:t> </w:t>
            </w:r>
          </w:p>
        </w:tc>
        <w:tc>
          <w:tcPr>
            <w:tcW w:w="54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w:t>
            </w:r>
          </w:p>
        </w:tc>
        <w:tc>
          <w:tcPr>
            <w:tcW w:w="18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pPr>
            <w:r>
              <w:rPr/>
              <w:t> </w:t>
            </w:r>
          </w:p>
        </w:tc>
        <w:tc>
          <w:tcPr>
            <w:tcW w:w="51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3.1</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9"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ind w:left="0" w:right="0" w:hanging="0"/>
              <w:jc w:val="left"/>
              <w:rPr/>
            </w:pPr>
            <w:r>
              <w:rPr/>
              <w:t> </w:t>
            </w:r>
          </w:p>
        </w:tc>
        <w:tc>
          <w:tcPr>
            <w:tcW w:w="64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0.4</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Expected 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pPr>
            <w:r>
              <w:rPr/>
              <w:t> </w:t>
            </w:r>
          </w:p>
        </w:tc>
        <w:tc>
          <w:tcPr>
            <w:tcW w:w="54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49</w:t>
            </w:r>
          </w:p>
        </w:tc>
        <w:tc>
          <w:tcPr>
            <w:tcW w:w="207"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7"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pPr>
            <w:r>
              <w:rPr/>
              <w:t> </w:t>
            </w:r>
          </w:p>
        </w:tc>
        <w:tc>
          <w:tcPr>
            <w:tcW w:w="54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w:t>
            </w:r>
          </w:p>
        </w:tc>
        <w:tc>
          <w:tcPr>
            <w:tcW w:w="18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pPr>
            <w:r>
              <w:rPr/>
              <w:t> </w:t>
            </w:r>
          </w:p>
        </w:tc>
        <w:tc>
          <w:tcPr>
            <w:tcW w:w="51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40</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9"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3"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Weighted-average expected award life (in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ind w:left="0" w:right="0" w:hanging="0"/>
              <w:jc w:val="left"/>
              <w:rPr/>
            </w:pPr>
            <w:r>
              <w:rPr/>
              <w:t> </w:t>
            </w:r>
          </w:p>
        </w:tc>
        <w:tc>
          <w:tcPr>
            <w:tcW w:w="54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5.4</w:t>
            </w:r>
          </w:p>
        </w:tc>
        <w:tc>
          <w:tcPr>
            <w:tcW w:w="207"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ind w:left="0" w:right="0" w:hanging="0"/>
              <w:jc w:val="left"/>
              <w:rPr/>
            </w:pPr>
            <w:r>
              <w:rPr/>
              <w:t> </w:t>
            </w:r>
          </w:p>
        </w:tc>
        <w:tc>
          <w:tcPr>
            <w:tcW w:w="54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pPr>
            <w:r>
              <w:rPr/>
              <w:t> </w:t>
            </w:r>
          </w:p>
        </w:tc>
        <w:tc>
          <w:tcPr>
            <w:tcW w:w="51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w:t>
            </w:r>
          </w:p>
        </w:tc>
        <w:tc>
          <w:tcPr>
            <w:tcW w:w="245"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ind w:left="0" w:right="0" w:hanging="0"/>
              <w:jc w:val="left"/>
              <w:rPr/>
            </w:pPr>
            <w:r>
              <w:rPr/>
              <w:t> </w:t>
            </w:r>
          </w:p>
        </w:tc>
        <w:tc>
          <w:tcPr>
            <w:tcW w:w="64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Dividend 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pPr>
            <w:r>
              <w:rPr/>
              <w:t> </w:t>
            </w:r>
          </w:p>
        </w:tc>
        <w:tc>
          <w:tcPr>
            <w:tcW w:w="54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3.7</w:t>
            </w:r>
          </w:p>
        </w:tc>
        <w:tc>
          <w:tcPr>
            <w:tcW w:w="207"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7"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pPr>
            <w:r>
              <w:rPr/>
              <w:t> </w:t>
            </w:r>
          </w:p>
        </w:tc>
        <w:tc>
          <w:tcPr>
            <w:tcW w:w="54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w:t>
            </w:r>
          </w:p>
        </w:tc>
        <w:tc>
          <w:tcPr>
            <w:tcW w:w="18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pPr>
            <w:r>
              <w:rPr/>
              <w:t> </w:t>
            </w:r>
          </w:p>
        </w:tc>
        <w:tc>
          <w:tcPr>
            <w:tcW w:w="51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4.6</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9"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ind w:left="0" w:right="0" w:hanging="0"/>
              <w:jc w:val="left"/>
              <w:rPr/>
            </w:pPr>
            <w:r>
              <w:rPr/>
              <w:t> </w:t>
            </w:r>
          </w:p>
        </w:tc>
        <w:tc>
          <w:tcPr>
            <w:tcW w:w="643"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99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Weighted-average fair value</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2"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13.53</w:t>
            </w:r>
          </w:p>
        </w:tc>
        <w:tc>
          <w:tcPr>
            <w:tcW w:w="207"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2"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10.50</w:t>
            </w:r>
          </w:p>
        </w:tc>
        <w:tc>
          <w:tcPr>
            <w:tcW w:w="18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2"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5.42</w:t>
            </w:r>
          </w:p>
        </w:tc>
        <w:tc>
          <w:tcPr>
            <w:tcW w:w="245" w:type="dxa"/>
            <w:tcBorders>
              <w:bottom w:val="single" w:sz="2" w:space="0" w:color="000000"/>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43"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23.47</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table below provides activity under our stock option plans for the </w:t>
      </w:r>
      <w:r>
        <w:rPr>
          <w:rStyle w:val="Emphasis"/>
          <w:rFonts w:ascii="Arial;Helvetica;sans-serif" w:hAnsi="Arial;Helvetica;sans-serif"/>
          <w:caps w:val="false"/>
          <w:smallCaps w:val="false"/>
          <w:sz w:val="20"/>
        </w:rPr>
        <w:t>twenty-six</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July 29, 2023</w:t>
      </w:r>
      <w:r>
        <w:rPr>
          <w:rFonts w:ascii="Arial;Helvetica;sans-serif" w:hAnsi="Arial;Helvetica;sans-serif"/>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05"/>
        <w:gridCol w:w="60"/>
        <w:gridCol w:w="101"/>
        <w:gridCol w:w="1017"/>
        <w:gridCol w:w="80"/>
        <w:gridCol w:w="60"/>
        <w:gridCol w:w="229"/>
        <w:gridCol w:w="1074"/>
        <w:gridCol w:w="60"/>
        <w:gridCol w:w="60"/>
        <w:gridCol w:w="183"/>
        <w:gridCol w:w="712"/>
        <w:gridCol w:w="64"/>
      </w:tblGrid>
      <w:tr>
        <w:trPr/>
        <w:tc>
          <w:tcPr>
            <w:tcW w:w="65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3"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Weighted-</w:t>
            </w:r>
          </w:p>
        </w:tc>
        <w:tc>
          <w:tcPr>
            <w:tcW w:w="64" w:type="dxa"/>
            <w:tcBorders/>
            <w:shd w:fill="FFFFFF" w:val="clear"/>
            <w:vAlign w:val="center"/>
          </w:tcPr>
          <w:p>
            <w:pPr>
              <w:pStyle w:val="TableContents"/>
              <w:bidi w:val="0"/>
              <w:spacing w:before="0" w:after="283"/>
              <w:jc w:val="left"/>
              <w:rPr/>
            </w:pPr>
            <w:r>
              <w:rPr/>
              <w:t> </w:t>
            </w:r>
          </w:p>
        </w:tc>
      </w:tr>
      <w:tr>
        <w:trPr/>
        <w:tc>
          <w:tcPr>
            <w:tcW w:w="65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Number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3"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Average</w:t>
            </w:r>
          </w:p>
        </w:tc>
        <w:tc>
          <w:tcPr>
            <w:tcW w:w="64" w:type="dxa"/>
            <w:tcBorders/>
            <w:shd w:fill="FFFFFF" w:val="clear"/>
            <w:vAlign w:val="center"/>
          </w:tcPr>
          <w:p>
            <w:pPr>
              <w:pStyle w:val="TableContents"/>
              <w:bidi w:val="0"/>
              <w:spacing w:before="0" w:after="283"/>
              <w:jc w:val="left"/>
              <w:rPr/>
            </w:pPr>
            <w:r>
              <w:rPr/>
              <w:t> </w:t>
            </w:r>
          </w:p>
        </w:tc>
      </w:tr>
      <w:tr>
        <w:trPr/>
        <w:tc>
          <w:tcPr>
            <w:tcW w:w="65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3"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Exercise</w:t>
            </w:r>
          </w:p>
        </w:tc>
        <w:tc>
          <w:tcPr>
            <w:tcW w:w="64" w:type="dxa"/>
            <w:tcBorders/>
            <w:shd w:fill="FFFFFF" w:val="clear"/>
            <w:vAlign w:val="center"/>
          </w:tcPr>
          <w:p>
            <w:pPr>
              <w:pStyle w:val="TableContents"/>
              <w:bidi w:val="0"/>
              <w:spacing w:before="0" w:after="283"/>
              <w:jc w:val="left"/>
              <w:rPr/>
            </w:pPr>
            <w:r>
              <w:rPr/>
              <w:t> </w:t>
            </w:r>
          </w:p>
        </w:tc>
      </w:tr>
      <w:tr>
        <w:trPr/>
        <w:tc>
          <w:tcPr>
            <w:tcW w:w="65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Contractual Life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Price</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3"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(per share)</w:t>
            </w:r>
          </w:p>
        </w:tc>
        <w:tc>
          <w:tcPr>
            <w:tcW w:w="64" w:type="dxa"/>
            <w:tcBorders/>
            <w:shd w:fill="FFFFFF" w:val="clear"/>
            <w:vAlign w:val="center"/>
          </w:tcPr>
          <w:p>
            <w:pPr>
              <w:pStyle w:val="TableContents"/>
              <w:bidi w:val="0"/>
              <w:spacing w:before="0" w:after="283"/>
              <w:jc w:val="left"/>
              <w:rPr/>
            </w:pPr>
            <w:r>
              <w:rPr/>
              <w:t> </w:t>
            </w:r>
          </w:p>
        </w:tc>
      </w:tr>
      <w:tr>
        <w:trPr/>
        <w:tc>
          <w:tcPr>
            <w:tcW w:w="65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Options outstanding at the beginning of the year</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1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47.85</w:t>
            </w:r>
          </w:p>
        </w:tc>
        <w:tc>
          <w:tcPr>
            <w:tcW w:w="64" w:type="dxa"/>
            <w:tcBorders/>
            <w:shd w:fill="CCEEFF" w:val="clear"/>
            <w:vAlign w:val="center"/>
          </w:tcPr>
          <w:p>
            <w:pPr>
              <w:pStyle w:val="TableContents"/>
              <w:bidi w:val="0"/>
              <w:spacing w:before="0" w:after="283"/>
              <w:jc w:val="left"/>
              <w:rPr/>
            </w:pPr>
            <w:r>
              <w:rPr/>
              <w:t> </w:t>
            </w:r>
          </w:p>
        </w:tc>
      </w:tr>
      <w:tr>
        <w:trPr/>
        <w:tc>
          <w:tcPr>
            <w:tcW w:w="650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Granted</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37.72</w:t>
            </w:r>
          </w:p>
        </w:tc>
        <w:tc>
          <w:tcPr>
            <w:tcW w:w="64" w:type="dxa"/>
            <w:tcBorders/>
            <w:shd w:fill="FFFFFF" w:val="clear"/>
            <w:vAlign w:val="center"/>
          </w:tcPr>
          <w:p>
            <w:pPr>
              <w:pStyle w:val="TableContents"/>
              <w:bidi w:val="0"/>
              <w:spacing w:before="0" w:after="283"/>
              <w:jc w:val="left"/>
              <w:rPr/>
            </w:pPr>
            <w:r>
              <w:rPr/>
              <w:t> </w:t>
            </w:r>
          </w:p>
        </w:tc>
      </w:tr>
      <w:tr>
        <w:trPr/>
        <w:tc>
          <w:tcPr>
            <w:tcW w:w="65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Exercised</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(188</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0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24.02</w:t>
            </w:r>
          </w:p>
        </w:tc>
        <w:tc>
          <w:tcPr>
            <w:tcW w:w="64" w:type="dxa"/>
            <w:tcBorders/>
            <w:shd w:fill="CCEEFF" w:val="clear"/>
            <w:vAlign w:val="center"/>
          </w:tcPr>
          <w:p>
            <w:pPr>
              <w:pStyle w:val="TableContents"/>
              <w:bidi w:val="0"/>
              <w:spacing w:before="0" w:after="283"/>
              <w:jc w:val="left"/>
              <w:rPr/>
            </w:pPr>
            <w:r>
              <w:rPr/>
              <w:t> </w:t>
            </w:r>
          </w:p>
        </w:tc>
      </w:tr>
      <w:tr>
        <w:trPr/>
        <w:tc>
          <w:tcPr>
            <w:tcW w:w="65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Expired or cancelled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38.78</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Options outstanding at July 29, 2023</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1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48.77</w:t>
            </w:r>
          </w:p>
        </w:tc>
        <w:tc>
          <w:tcPr>
            <w:tcW w:w="64" w:type="dxa"/>
            <w:tcBorders/>
            <w:shd w:fill="CCEEFF" w:val="clear"/>
            <w:vAlign w:val="center"/>
          </w:tcPr>
          <w:p>
            <w:pPr>
              <w:pStyle w:val="TableContents"/>
              <w:bidi w:val="0"/>
              <w:spacing w:before="0" w:after="283"/>
              <w:jc w:val="left"/>
              <w:rPr/>
            </w:pPr>
            <w:r>
              <w:rPr/>
              <w:t> </w:t>
            </w:r>
          </w:p>
        </w:tc>
      </w:tr>
      <w:tr>
        <w:trPr/>
        <w:tc>
          <w:tcPr>
            <w:tcW w:w="65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Options exercisable at July 29,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50.89</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Shares available for future grant at July 29, 2023 under the 2007 Stock Incentive Plan (1)</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11,202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4" w:type="dxa"/>
            <w:tcBorders/>
            <w:shd w:fill="CCEEFF" w:val="clear"/>
            <w:vAlign w:val="center"/>
          </w:tcPr>
          <w:p>
            <w:pPr>
              <w:pStyle w:val="TableContents"/>
              <w:bidi w:val="0"/>
              <w:spacing w:before="0" w:after="283"/>
              <w:jc w:val="left"/>
              <w:rPr/>
            </w:pPr>
            <w:r>
              <w:rPr/>
              <w:t> </w:t>
            </w:r>
          </w:p>
        </w:tc>
      </w:tr>
      <w:tr>
        <w:trPr/>
        <w:tc>
          <w:tcPr>
            <w:tcW w:w="65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Shares available for future grant at July 29, 2023 under the employment inducement award plan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10064"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On </w:t>
            </w:r>
            <w:r>
              <w:rPr>
                <w:rStyle w:val="Emphasis"/>
                <w:rFonts w:ascii="Arial;Helvetica;sans-serif" w:hAnsi="Arial;Helvetica;sans-serif"/>
                <w:caps w:val="false"/>
                <w:smallCaps w:val="false"/>
                <w:sz w:val="16"/>
              </w:rPr>
              <w:t xml:space="preserve">May 17, 2023, </w:t>
            </w:r>
            <w:r>
              <w:rPr>
                <w:rFonts w:ascii="Arial;Helvetica;sans-serif" w:hAnsi="Arial;Helvetica;sans-serif"/>
                <w:caps w:val="false"/>
                <w:smallCaps w:val="false"/>
                <w:sz w:val="16"/>
              </w:rPr>
              <w:t xml:space="preserve">the Company's shareholders approved the amended and restated </w:t>
            </w:r>
            <w:r>
              <w:rPr>
                <w:rStyle w:val="Emphasis"/>
                <w:rFonts w:ascii="Arial;Helvetica;sans-serif" w:hAnsi="Arial;Helvetica;sans-serif"/>
                <w:caps w:val="false"/>
                <w:smallCaps w:val="false"/>
                <w:sz w:val="16"/>
              </w:rPr>
              <w:t>2007</w:t>
            </w:r>
            <w:r>
              <w:rPr>
                <w:rFonts w:ascii="Arial;Helvetica;sans-serif" w:hAnsi="Arial;Helvetica;sans-serif"/>
                <w:caps w:val="false"/>
                <w:smallCaps w:val="false"/>
                <w:sz w:val="16"/>
              </w:rPr>
              <w:t xml:space="preserve"> Stock Incentive Plan, which increased shares available for grant by 10,300,000. There were </w:t>
            </w:r>
            <w:r>
              <w:rPr>
                <w:rStyle w:val="Emphasis"/>
                <w:rFonts w:ascii="Arial;Helvetica;sans-serif" w:hAnsi="Arial;Helvetica;sans-serif"/>
                <w:caps w:val="false"/>
                <w:smallCaps w:val="false"/>
                <w:sz w:val="16"/>
              </w:rPr>
              <w:t>no</w:t>
            </w:r>
            <w:r>
              <w:rPr>
                <w:rFonts w:ascii="Arial;Helvetica;sans-serif" w:hAnsi="Arial;Helvetica;sans-serif"/>
                <w:caps w:val="false"/>
                <w:smallCaps w:val="false"/>
                <w:sz w:val="16"/>
              </w:rPr>
              <w:t xml:space="preserve"> other significant modifications to the plan.</w:t>
            </w:r>
          </w:p>
        </w:tc>
      </w:tr>
      <w:tr>
        <w:trPr/>
        <w:tc>
          <w:tcPr>
            <w:tcW w:w="141"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2</w:t>
            </w:r>
            <w:r>
              <w:rPr>
                <w:rFonts w:ascii="Arial;Helvetica;sans-serif" w:hAnsi="Arial;Helvetica;sans-serif"/>
                <w:caps w:val="false"/>
                <w:smallCaps w:val="false"/>
                <w:sz w:val="16"/>
              </w:rPr>
              <w:t>)</w:t>
            </w:r>
          </w:p>
        </w:tc>
        <w:tc>
          <w:tcPr>
            <w:tcW w:w="10064" w:type="dxa"/>
            <w:tcBorders/>
            <w:vAlign w:val="center"/>
          </w:tcPr>
          <w:p>
            <w:pPr>
              <w:pStyle w:val="TableContents"/>
              <w:bidi w:val="0"/>
              <w:spacing w:before="0" w:after="283"/>
              <w:jc w:val="both"/>
              <w:rPr/>
            </w:pPr>
            <w:r>
              <w:rPr>
                <w:rFonts w:ascii="Arial;Helvetica;sans-serif" w:hAnsi="Arial;Helvetica;sans-serif"/>
                <w:sz w:val="16"/>
              </w:rPr>
              <w:t xml:space="preserve">On </w:t>
            </w:r>
            <w:r>
              <w:rPr>
                <w:rStyle w:val="Emphasis"/>
                <w:rFonts w:ascii="Arial;Helvetica;sans-serif" w:hAnsi="Arial;Helvetica;sans-serif"/>
                <w:sz w:val="16"/>
              </w:rPr>
              <w:t xml:space="preserve">August 24, 2022, </w:t>
            </w:r>
            <w:r>
              <w:rPr>
                <w:rFonts w:ascii="Arial;Helvetica;sans-serif" w:hAnsi="Arial;Helvetica;sans-serif"/>
                <w:sz w:val="16"/>
              </w:rPr>
              <w:t xml:space="preserve">the Company granted options and other awards to its new President and Chief Executive Officer, Mary N. Dillon. These awards were granted outside of the </w:t>
            </w:r>
            <w:r>
              <w:rPr>
                <w:rStyle w:val="Emphasis"/>
                <w:rFonts w:ascii="Arial;Helvetica;sans-serif" w:hAnsi="Arial;Helvetica;sans-serif"/>
                <w:sz w:val="16"/>
              </w:rPr>
              <w:t>2007</w:t>
            </w:r>
            <w:r>
              <w:rPr>
                <w:rFonts w:ascii="Arial;Helvetica;sans-serif" w:hAnsi="Arial;Helvetica;sans-serif"/>
                <w:sz w:val="16"/>
              </w:rPr>
              <w:t xml:space="preserve"> Stock Incentive Plan as employment inducement awards and do </w:t>
            </w:r>
            <w:r>
              <w:rPr>
                <w:rStyle w:val="Emphasis"/>
                <w:rFonts w:ascii="Arial;Helvetica;sans-serif" w:hAnsi="Arial;Helvetica;sans-serif"/>
                <w:sz w:val="16"/>
              </w:rPr>
              <w:t>not</w:t>
            </w:r>
            <w:r>
              <w:rPr>
                <w:rFonts w:ascii="Arial;Helvetica;sans-serif" w:hAnsi="Arial;Helvetica;sans-serif"/>
                <w:sz w:val="16"/>
              </w:rPr>
              <w:t xml:space="preserve"> require shareholder approval under the rules of the New York Stock Exchange or otherwise. Shares available for future grant under this plan are reserved for the sole purpose to issue shares pursuant to her employment inducement awards.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Second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12</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  </w:t>
      </w:r>
    </w:p>
    <w:p>
      <w:pPr>
        <w:pStyle w:val="TextBody"/>
        <w:bidi w:val="0"/>
        <w:jc w:val="center"/>
        <w:rPr/>
      </w:pPr>
      <w:r>
        <w:rPr/>
        <w:drawing>
          <wp:inline distT="0" distB="0" distL="0" distR="0">
            <wp:extent cx="2695575" cy="3143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sz w:val="20"/>
        </w:rPr>
        <w:t>11.</w:t>
      </w:r>
      <w:r>
        <w:rPr>
          <w:rFonts w:ascii="Arial;Helvetica;sans-serif" w:hAnsi="Arial;Helvetica;sans-serif"/>
          <w:b/>
          <w:sz w:val="20"/>
        </w:rPr>
        <w:t xml:space="preserve"> Share-Based Compensation (continued)</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Arial;Helvetica;sans-serif" w:hAnsi="Arial;Helvetica;sans-serif"/>
          <w:sz w:val="20"/>
        </w:rPr>
        <w:t xml:space="preserve">The total fair value of options vested for the </w:t>
      </w:r>
      <w:r>
        <w:rPr>
          <w:rStyle w:val="Emphasis"/>
          <w:rFonts w:ascii="Arial;Helvetica;sans-serif" w:hAnsi="Arial;Helvetica;sans-serif"/>
          <w:sz w:val="20"/>
        </w:rPr>
        <w:t>twenty-six</w:t>
      </w:r>
      <w:r>
        <w:rPr>
          <w:rFonts w:ascii="Arial;Helvetica;sans-serif" w:hAnsi="Arial;Helvetica;sans-serif"/>
          <w:sz w:val="20"/>
        </w:rPr>
        <w:t xml:space="preserve"> weeks ended </w:t>
      </w:r>
      <w:r>
        <w:rPr>
          <w:rStyle w:val="Emphasis"/>
          <w:rFonts w:ascii="Arial;Helvetica;sans-serif" w:hAnsi="Arial;Helvetica;sans-serif"/>
          <w:sz w:val="20"/>
        </w:rPr>
        <w:t>July 29, 2023</w:t>
      </w:r>
      <w:r>
        <w:rPr>
          <w:rFonts w:ascii="Arial;Helvetica;sans-serif" w:hAnsi="Arial;Helvetica;sans-serif"/>
          <w:sz w:val="20"/>
        </w:rPr>
        <w:t xml:space="preserve"> and </w:t>
      </w:r>
      <w:r>
        <w:rPr>
          <w:rStyle w:val="Emphasis"/>
          <w:rFonts w:ascii="Arial;Helvetica;sans-serif" w:hAnsi="Arial;Helvetica;sans-serif"/>
          <w:sz w:val="20"/>
        </w:rPr>
        <w:t>July 30, 2022</w:t>
      </w:r>
      <w:r>
        <w:rPr>
          <w:rFonts w:ascii="Arial;Helvetica;sans-serif" w:hAnsi="Arial;Helvetica;sans-serif"/>
          <w:sz w:val="20"/>
        </w:rPr>
        <w:t> was $4 million for both periods. The cash received from option exercises during the </w:t>
      </w:r>
      <w:r>
        <w:rPr>
          <w:rStyle w:val="Emphasis"/>
          <w:rFonts w:ascii="Arial;Helvetica;sans-serif" w:hAnsi="Arial;Helvetica;sans-serif"/>
          <w:sz w:val="20"/>
        </w:rPr>
        <w:t>thirteen</w:t>
      </w:r>
      <w:r>
        <w:rPr>
          <w:rFonts w:ascii="Arial;Helvetica;sans-serif" w:hAnsi="Arial;Helvetica;sans-serif"/>
          <w:sz w:val="20"/>
        </w:rPr>
        <w:t xml:space="preserve"> and </w:t>
      </w:r>
      <w:r>
        <w:rPr>
          <w:rStyle w:val="Emphasis"/>
          <w:rFonts w:ascii="Arial;Helvetica;sans-serif" w:hAnsi="Arial;Helvetica;sans-serif"/>
          <w:sz w:val="20"/>
        </w:rPr>
        <w:t>twenty-six</w:t>
      </w:r>
      <w:r>
        <w:rPr>
          <w:rFonts w:ascii="Arial;Helvetica;sans-serif" w:hAnsi="Arial;Helvetica;sans-serif"/>
          <w:sz w:val="20"/>
        </w:rPr>
        <w:t xml:space="preserve"> weeks ended </w:t>
      </w:r>
      <w:r>
        <w:rPr>
          <w:rStyle w:val="Emphasis"/>
          <w:rFonts w:ascii="Arial;Helvetica;sans-serif" w:hAnsi="Arial;Helvetica;sans-serif"/>
          <w:sz w:val="20"/>
        </w:rPr>
        <w:t>July 29, 2023</w:t>
      </w:r>
      <w:r>
        <w:rPr>
          <w:rFonts w:ascii="Arial;Helvetica;sans-serif" w:hAnsi="Arial;Helvetica;sans-serif"/>
          <w:sz w:val="20"/>
        </w:rPr>
        <w:t xml:space="preserve"> was $1 million and $5 million, respectively, and the related tax benefits realized from option exercises were </w:t>
      </w:r>
      <w:r>
        <w:rPr>
          <w:rStyle w:val="Emphasis"/>
          <w:rFonts w:ascii="Arial;Helvetica;sans-serif" w:hAnsi="Arial;Helvetica;sans-serif"/>
          <w:sz w:val="20"/>
        </w:rPr>
        <w:t>not</w:t>
      </w:r>
      <w:r>
        <w:rPr>
          <w:rFonts w:ascii="Arial;Helvetica;sans-serif" w:hAnsi="Arial;Helvetica;sans-serif"/>
          <w:sz w:val="20"/>
        </w:rPr>
        <w:t xml:space="preserve"> significant. The cash received from option exercises during the </w:t>
      </w:r>
      <w:r>
        <w:rPr>
          <w:rStyle w:val="Emphasis"/>
          <w:rFonts w:ascii="Arial;Helvetica;sans-serif" w:hAnsi="Arial;Helvetica;sans-serif"/>
          <w:sz w:val="20"/>
        </w:rPr>
        <w:t>thirteen</w:t>
      </w:r>
      <w:r>
        <w:rPr>
          <w:rFonts w:ascii="Arial;Helvetica;sans-serif" w:hAnsi="Arial;Helvetica;sans-serif"/>
          <w:sz w:val="20"/>
        </w:rPr>
        <w:t xml:space="preserve"> and </w:t>
      </w:r>
      <w:r>
        <w:rPr>
          <w:rStyle w:val="Emphasis"/>
          <w:rFonts w:ascii="Arial;Helvetica;sans-serif" w:hAnsi="Arial;Helvetica;sans-serif"/>
          <w:sz w:val="20"/>
        </w:rPr>
        <w:t>twenty-six</w:t>
      </w:r>
      <w:r>
        <w:rPr>
          <w:rFonts w:ascii="Arial;Helvetica;sans-serif" w:hAnsi="Arial;Helvetica;sans-serif"/>
          <w:sz w:val="20"/>
        </w:rPr>
        <w:t xml:space="preserve"> weeks ended </w:t>
      </w:r>
      <w:r>
        <w:rPr>
          <w:rStyle w:val="Emphasis"/>
          <w:rFonts w:ascii="Arial;Helvetica;sans-serif" w:hAnsi="Arial;Helvetica;sans-serif"/>
          <w:sz w:val="20"/>
        </w:rPr>
        <w:t>July 30, 2022</w:t>
      </w:r>
      <w:r>
        <w:rPr>
          <w:rFonts w:ascii="Arial;Helvetica;sans-serif" w:hAnsi="Arial;Helvetica;sans-serif"/>
          <w:sz w:val="20"/>
        </w:rPr>
        <w:t xml:space="preserve"> were $1 million and $3 million, respectively, and the related tax benefits realized from option exercises were </w:t>
      </w:r>
      <w:r>
        <w:rPr>
          <w:rStyle w:val="Emphasis"/>
          <w:rFonts w:ascii="Arial;Helvetica;sans-serif" w:hAnsi="Arial;Helvetica;sans-serif"/>
          <w:sz w:val="20"/>
        </w:rPr>
        <w:t>not</w:t>
      </w:r>
      <w:r>
        <w:rPr>
          <w:rFonts w:ascii="Arial;Helvetica;sans-serif" w:hAnsi="Arial;Helvetica;sans-serif"/>
          <w:sz w:val="20"/>
        </w:rPr>
        <w:t xml:space="preserve"> significant.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total intrinsic value of options exercised (the difference between the market price of our common stock on the exercise date and the price paid by the optionee to exercise the option) is presented below:</w:t>
      </w:r>
    </w:p>
    <w:p>
      <w:pPr>
        <w:pStyle w:val="TextBody"/>
        <w:bidi w:val="0"/>
        <w:spacing w:before="0" w:after="0"/>
        <w:ind w:left="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28" w:type="dxa"/>
          <w:right w:w="0" w:type="dxa"/>
        </w:tblCellMar>
      </w:tblPr>
      <w:tblGrid>
        <w:gridCol w:w="1115"/>
        <w:gridCol w:w="60"/>
        <w:gridCol w:w="266"/>
        <w:gridCol w:w="553"/>
        <w:gridCol w:w="127"/>
        <w:gridCol w:w="127"/>
        <w:gridCol w:w="266"/>
        <w:gridCol w:w="553"/>
        <w:gridCol w:w="60"/>
        <w:gridCol w:w="60"/>
        <w:gridCol w:w="350"/>
        <w:gridCol w:w="350"/>
        <w:gridCol w:w="167"/>
        <w:gridCol w:w="167"/>
        <w:gridCol w:w="350"/>
        <w:gridCol w:w="734"/>
        <w:gridCol w:w="60"/>
      </w:tblGrid>
      <w:tr>
        <w:trPr/>
        <w:tc>
          <w:tcPr>
            <w:tcW w:w="111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8"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Twenty-six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1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27"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p>
        </w:tc>
        <w:tc>
          <w:tcPr>
            <w:tcW w:w="81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0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pPr>
            <w:r>
              <w:rPr/>
              <w:t> </w:t>
            </w:r>
          </w:p>
        </w:tc>
        <w:tc>
          <w:tcPr>
            <w:tcW w:w="108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27" w:type="dxa"/>
            <w:tcBorders>
              <w:bottom w:val="single" w:sz="2" w:space="0" w:color="000000"/>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67" w:type="dxa"/>
            <w:tcBorders>
              <w:bottom w:val="single" w:sz="2" w:space="0" w:color="000000"/>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1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Exercised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66"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127" w:type="dxa"/>
            <w:tcBorders>
              <w:bottom w:val="single" w:sz="2" w:space="0" w:color="000000"/>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66"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167" w:type="dxa"/>
            <w:tcBorders>
              <w:bottom w:val="single" w:sz="2" w:space="0" w:color="000000"/>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34"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aggregate intrinsic value for stock options outstanding, and outstanding and exercisable (the difference between our closing stock price on the last trading day of the period and the exercise price of the options, multiplied by the number of in-the-money stock options) is presented below:</w:t>
      </w:r>
    </w:p>
    <w:p>
      <w:pPr>
        <w:pStyle w:val="TextBody"/>
        <w:bidi w:val="0"/>
        <w:spacing w:before="0" w:after="0"/>
        <w:ind w:left="0" w:right="0" w:hanging="0"/>
        <w:jc w:val="left"/>
        <w:rPr>
          <w:caps w:val="false"/>
          <w:smallCaps w:val="false"/>
        </w:rPr>
      </w:pPr>
      <w:r>
        <w:rPr>
          <w:caps w:val="false"/>
          <w:smallCaps w:val="false"/>
        </w:rPr>
        <w:t> </w:t>
      </w:r>
    </w:p>
    <w:tbl>
      <w:tblPr>
        <w:tblW w:w="3960" w:type="dxa"/>
        <w:jc w:val="left"/>
        <w:tblInd w:w="0" w:type="dxa"/>
        <w:tblLayout w:type="fixed"/>
        <w:tblCellMar>
          <w:top w:w="0" w:type="dxa"/>
          <w:left w:w="0" w:type="dxa"/>
          <w:bottom w:w="0" w:type="dxa"/>
          <w:right w:w="0" w:type="dxa"/>
        </w:tblCellMar>
      </w:tblPr>
      <w:tblGrid>
        <w:gridCol w:w="2360"/>
        <w:gridCol w:w="60"/>
        <w:gridCol w:w="340"/>
        <w:gridCol w:w="340"/>
        <w:gridCol w:w="60"/>
        <w:gridCol w:w="60"/>
        <w:gridCol w:w="340"/>
        <w:gridCol w:w="340"/>
        <w:gridCol w:w="60"/>
      </w:tblGrid>
      <w:tr>
        <w:trPr/>
        <w:tc>
          <w:tcPr>
            <w:tcW w:w="23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30,</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Outstanding</w:t>
            </w:r>
          </w:p>
        </w:tc>
        <w:tc>
          <w:tcPr>
            <w:tcW w:w="60" w:type="dxa"/>
            <w:tcBorders/>
            <w:shd w:fill="CCEEFF" w:val="clear"/>
            <w:vAlign w:val="center"/>
          </w:tcPr>
          <w:p>
            <w:pPr>
              <w:pStyle w:val="TableContents"/>
              <w:bidi w:val="0"/>
              <w:spacing w:before="0" w:after="283"/>
              <w:ind w:left="0" w:right="0" w:hanging="0"/>
              <w:jc w:val="left"/>
              <w:rPr/>
            </w:pPr>
            <w:r>
              <w:rPr/>
              <w:t> </w:t>
            </w:r>
          </w:p>
        </w:tc>
        <w:tc>
          <w:tcPr>
            <w:tcW w:w="340"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40" w:type="dxa"/>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0"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4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Outstanding and exercisable</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As of </w:t>
      </w:r>
      <w:r>
        <w:rPr>
          <w:rStyle w:val="Emphasis"/>
          <w:rFonts w:ascii="Arial;Helvetica;sans-serif" w:hAnsi="Arial;Helvetica;sans-serif"/>
          <w:caps w:val="false"/>
          <w:smallCaps w:val="false"/>
          <w:sz w:val="20"/>
        </w:rPr>
        <w:t>July 29, 2023</w:t>
      </w:r>
      <w:r>
        <w:rPr>
          <w:rFonts w:ascii="Arial;Helvetica;sans-serif" w:hAnsi="Arial;Helvetica;sans-serif"/>
          <w:caps w:val="false"/>
          <w:smallCaps w:val="false"/>
          <w:sz w:val="20"/>
        </w:rPr>
        <w:t>, there was $4 million of total unrecognized compensation cost related to nonvested stock options which is expected to be recognized over a remaining weighted-average period of 1.7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table below summarizes information about stock options outstanding and exercisable at </w:t>
      </w:r>
      <w:r>
        <w:rPr>
          <w:rStyle w:val="Emphasis"/>
          <w:rFonts w:ascii="Arial;Helvetica;sans-serif" w:hAnsi="Arial;Helvetica;sans-serif"/>
          <w:caps w:val="false"/>
          <w:smallCaps w:val="false"/>
          <w:sz w:val="20"/>
        </w:rPr>
        <w:t>July 29, 2023</w:t>
      </w:r>
    </w:p>
    <w:p>
      <w:pPr>
        <w:pStyle w:val="TextBody"/>
        <w:bidi w:val="0"/>
        <w:spacing w:before="0" w:after="0"/>
        <w:ind w:left="0" w:right="0" w:hanging="0"/>
        <w:jc w:val="left"/>
        <w:rPr>
          <w:caps w:val="false"/>
          <w:smallCaps w:val="false"/>
        </w:rPr>
      </w:pPr>
      <w:r>
        <w:rPr>
          <w:caps w:val="false"/>
          <w:smallCaps w:val="false"/>
        </w:rPr>
        <w:t> </w:t>
      </w:r>
    </w:p>
    <w:tbl>
      <w:tblPr>
        <w:tblW w:w="7111" w:type="dxa"/>
        <w:jc w:val="left"/>
        <w:tblInd w:w="0" w:type="dxa"/>
        <w:tblLayout w:type="fixed"/>
        <w:tblCellMar>
          <w:top w:w="0" w:type="dxa"/>
          <w:left w:w="0" w:type="dxa"/>
          <w:bottom w:w="28" w:type="dxa"/>
          <w:right w:w="0" w:type="dxa"/>
        </w:tblCellMar>
      </w:tblPr>
      <w:tblGrid>
        <w:gridCol w:w="1595"/>
        <w:gridCol w:w="60"/>
        <w:gridCol w:w="115"/>
        <w:gridCol w:w="940"/>
        <w:gridCol w:w="61"/>
        <w:gridCol w:w="61"/>
        <w:gridCol w:w="181"/>
        <w:gridCol w:w="844"/>
        <w:gridCol w:w="61"/>
        <w:gridCol w:w="61"/>
        <w:gridCol w:w="179"/>
        <w:gridCol w:w="695"/>
        <w:gridCol w:w="60"/>
        <w:gridCol w:w="60"/>
        <w:gridCol w:w="120"/>
        <w:gridCol w:w="920"/>
        <w:gridCol w:w="82"/>
        <w:gridCol w:w="82"/>
        <w:gridCol w:w="179"/>
        <w:gridCol w:w="695"/>
        <w:gridCol w:w="60"/>
      </w:tblGrid>
      <w:tr>
        <w:trPr/>
        <w:tc>
          <w:tcPr>
            <w:tcW w:w="159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198"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Options Outstanding</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78"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Options Exercisable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102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Weighted-</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102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Average</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102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Remaining</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Range of Exercise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Number</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102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Contractual</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Exercise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Number</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Exercise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Prices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Outstanding</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Life</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Price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Exercisable</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Price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396" w:type="dxa"/>
            <w:gridSpan w:val="18"/>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(in thousands, except prices per share and contractual life)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$21.60 - $36.51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5"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94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832</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ind w:left="0" w:right="0" w:hanging="0"/>
              <w:jc w:val="left"/>
              <w:rPr/>
            </w:pPr>
            <w:r>
              <w:rPr/>
              <w:t> </w:t>
            </w:r>
          </w:p>
        </w:tc>
        <w:tc>
          <w:tcPr>
            <w:tcW w:w="84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ind w:left="0" w:right="0" w:hanging="0"/>
              <w:jc w:val="left"/>
              <w:rPr/>
            </w:pPr>
            <w:r>
              <w:rPr/>
              <w:t> </w:t>
            </w:r>
          </w:p>
        </w:tc>
        <w:tc>
          <w:tcPr>
            <w:tcW w:w="17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92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665</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17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23.89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$38.94 - $48.98</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15"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94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732</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pPr>
            <w:r>
              <w:rPr/>
              <w:t> </w:t>
            </w:r>
          </w:p>
        </w:tc>
        <w:tc>
          <w:tcPr>
            <w:tcW w:w="84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92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428</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44.97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$53.61 - $58.94</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5"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94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465</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ind w:left="0" w:right="0" w:hanging="0"/>
              <w:jc w:val="left"/>
              <w:rPr/>
            </w:pPr>
            <w:r>
              <w:rPr/>
              <w:t> </w:t>
            </w:r>
          </w:p>
        </w:tc>
        <w:tc>
          <w:tcPr>
            <w:tcW w:w="84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92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452</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56.82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$62.02 - $72.83</w:t>
            </w:r>
          </w:p>
        </w:tc>
        <w:tc>
          <w:tcPr>
            <w:tcW w:w="60" w:type="dxa"/>
            <w:tcBorders>
              <w:bottom w:val="single" w:sz="2" w:space="0" w:color="000000"/>
            </w:tcBorders>
            <w:shd w:fill="FFFFFF" w:val="clear"/>
            <w:vAlign w:val="center"/>
          </w:tcPr>
          <w:p>
            <w:pPr>
              <w:pStyle w:val="TableContents"/>
              <w:bidi w:val="0"/>
              <w:spacing w:before="0" w:after="283"/>
              <w:jc w:val="left"/>
              <w:rPr>
                <w:sz w:val="4"/>
                <w:szCs w:val="4"/>
              </w:rPr>
            </w:pPr>
            <w:r>
              <w:rPr>
                <w:sz w:val="4"/>
                <w:szCs w:val="4"/>
              </w:rPr>
            </w:r>
          </w:p>
        </w:tc>
        <w:tc>
          <w:tcPr>
            <w:tcW w:w="115" w:type="dxa"/>
            <w:tcBorders>
              <w:bottom w:val="single" w:sz="2"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4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1,166</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66.16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1,165</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66.16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95" w:type="dxa"/>
            <w:tcBorders>
              <w:bottom w:val="double" w:sz="6"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vAlign w:val="center"/>
          </w:tcPr>
          <w:p>
            <w:pPr>
              <w:pStyle w:val="TableContents"/>
              <w:bidi w:val="0"/>
              <w:spacing w:before="0" w:after="283"/>
              <w:jc w:val="left"/>
              <w:rPr/>
            </w:pPr>
            <w:r>
              <w:rPr>
                <w:rStyle w:val="Emphasis"/>
              </w:rPr>
              <w:t> </w:t>
            </w:r>
          </w:p>
        </w:tc>
        <w:tc>
          <w:tcPr>
            <w:tcW w:w="115" w:type="dxa"/>
            <w:tcBorders>
              <w:bottom w:val="double" w:sz="6" w:space="0" w:color="000000"/>
            </w:tcBorders>
            <w:shd w:fill="CCEEFF" w:val="clear"/>
            <w:vAlign w:val="center"/>
          </w:tcPr>
          <w:p>
            <w:pPr>
              <w:pStyle w:val="TableContents"/>
              <w:bidi w:val="0"/>
              <w:spacing w:before="0" w:after="283"/>
              <w:ind w:left="0" w:right="0" w:hanging="0"/>
              <w:jc w:val="left"/>
              <w:rPr/>
            </w:pPr>
            <w:r>
              <w:rPr>
                <w:rStyle w:val="Emphasis"/>
              </w:rPr>
              <w:t> </w:t>
            </w:r>
          </w:p>
        </w:tc>
        <w:tc>
          <w:tcPr>
            <w:tcW w:w="94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3,195</w:t>
            </w:r>
          </w:p>
        </w:tc>
        <w:tc>
          <w:tcPr>
            <w:tcW w:w="61" w:type="dxa"/>
            <w:tcBorders>
              <w:bottom w:val="double" w:sz="6" w:space="0" w:color="000000"/>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844"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w:t>
            </w:r>
          </w:p>
        </w:tc>
        <w:tc>
          <w:tcPr>
            <w:tcW w:w="61" w:type="dxa"/>
            <w:tcBorders>
              <w:bottom w:val="double" w:sz="6" w:space="0" w:color="000000"/>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48.77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2,710</w:t>
            </w:r>
          </w:p>
        </w:tc>
        <w:tc>
          <w:tcPr>
            <w:tcW w:w="82" w:type="dxa"/>
            <w:tcBorders>
              <w:bottom w:val="double" w:sz="6" w:space="0" w:color="000000"/>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50.89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Restricted Stock Units and Performance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Restricted stock units (“RSU”) are awarded to certain officers, key employees of the Company, and nonemployee directors. Additionally, performance stock units (“PSU”) are awarded to officers and certain key employees in connection with our long-term incentive program. Each RSU and PSU represents the right to receive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share of our common stock provided that the applicable performance and vesting conditions are satisfied. PSU awards granted in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also include a performance objective based on our relative total shareholder return over the performance period to a pre-determined peer group, assuming the reinvestment of dividends. The fair value of these awards is determined using a Monte Carlo simulation as of the date of the grant and share-based compensation expense will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 adjusted should the target awards vary from actual awards.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Second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13</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jc w:val="center"/>
        <w:rPr/>
      </w:pPr>
      <w:r>
        <w:rPr/>
        <w:drawing>
          <wp:inline distT="0" distB="0" distL="0" distR="0">
            <wp:extent cx="2695575" cy="3143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695575" cy="314325"/>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11.</w:t>
      </w:r>
      <w:r>
        <w:rPr>
          <w:rFonts w:ascii="Arial;Helvetica;sans-serif" w:hAnsi="Arial;Helvetica;sans-serif"/>
          <w:b/>
          <w:caps w:val="false"/>
          <w:smallCaps w:val="false"/>
          <w:sz w:val="20"/>
        </w:rPr>
        <w:t xml:space="preserve"> Share-Based Compensation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Generally, RSU awards fully vest after the passage of time, typically three years for employees and one year for nonemployee directors, provided there is continued service with the Company until the vesting date, subject to the terms of the award. PSU awards are earned only after the attainment of performance goals in connection with the relevant performance period and vest after an additional one-year period. No dividends are paid or accumulated on any RSU or PSU awards. Compensation expense is recognized over the vesting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RSU and PSU activity for the </w:t>
      </w:r>
      <w:r>
        <w:rPr>
          <w:rStyle w:val="Emphasis"/>
          <w:rFonts w:ascii="Arial;Helvetica;sans-serif" w:hAnsi="Arial;Helvetica;sans-serif"/>
          <w:caps w:val="false"/>
          <w:smallCaps w:val="false"/>
          <w:sz w:val="20"/>
        </w:rPr>
        <w:t>twenty-six</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July 29, 2023</w:t>
      </w:r>
      <w:r>
        <w:rPr>
          <w:rFonts w:ascii="Arial;Helvetica;sans-serif" w:hAnsi="Arial;Helvetica;sans-serif"/>
          <w:caps w:val="false"/>
          <w:smallCaps w:val="false"/>
          <w:sz w:val="20"/>
        </w:rPr>
        <w:t xml:space="preserve"> is summarized as follows:</w:t>
      </w:r>
    </w:p>
    <w:p>
      <w:pPr>
        <w:pStyle w:val="TextBody"/>
        <w:bidi w:val="0"/>
        <w:spacing w:before="0" w:after="0"/>
        <w:ind w:left="0" w:right="0" w:hanging="0"/>
        <w:jc w:val="left"/>
        <w:rPr>
          <w:caps w:val="false"/>
          <w:smallCaps w:val="false"/>
        </w:rPr>
      </w:pPr>
      <w:r>
        <w:rPr>
          <w:caps w:val="false"/>
          <w:smallCaps w:val="false"/>
        </w:rPr>
        <w:t> ​</w:t>
      </w:r>
    </w:p>
    <w:tbl>
      <w:tblPr>
        <w:tblW w:w="6113" w:type="dxa"/>
        <w:jc w:val="left"/>
        <w:tblInd w:w="0" w:type="dxa"/>
        <w:tblLayout w:type="fixed"/>
        <w:tblCellMar>
          <w:top w:w="0" w:type="dxa"/>
          <w:left w:w="0" w:type="dxa"/>
          <w:bottom w:w="0" w:type="dxa"/>
          <w:right w:w="0" w:type="dxa"/>
        </w:tblCellMar>
      </w:tblPr>
      <w:tblGrid>
        <w:gridCol w:w="2570"/>
        <w:gridCol w:w="60"/>
        <w:gridCol w:w="242"/>
        <w:gridCol w:w="947"/>
        <w:gridCol w:w="80"/>
        <w:gridCol w:w="60"/>
        <w:gridCol w:w="181"/>
        <w:gridCol w:w="844"/>
        <w:gridCol w:w="60"/>
        <w:gridCol w:w="60"/>
        <w:gridCol w:w="194"/>
        <w:gridCol w:w="755"/>
        <w:gridCol w:w="60"/>
      </w:tblGrid>
      <w:tr>
        <w:trPr/>
        <w:tc>
          <w:tcPr>
            <w:tcW w:w="257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Weighted-</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Number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Average</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Grant Date</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Life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(per share)</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Nonvested at beginning of year</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2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37.58</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Granted</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38.24</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Vested</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(665</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2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33.87</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Performance adjustment (1)</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(757</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Forfeited</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Nonvested at July 29, 2023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40.91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8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2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4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Aggregate value ($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998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This represents adjustments made to PSUs reflecting changes in estimates based upon our current performance against predefined financial targets.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The total value of RSU and PSU awards that vested during the </w:t>
      </w:r>
      <w:r>
        <w:rPr>
          <w:rStyle w:val="Emphasis"/>
          <w:rFonts w:ascii="Arial;Helvetica;sans-serif" w:hAnsi="Arial;Helvetica;sans-serif"/>
          <w:caps w:val="false"/>
          <w:smallCaps w:val="false"/>
          <w:sz w:val="20"/>
        </w:rPr>
        <w:t>twenty-six</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 xml:space="preserve">July 29, 2023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July 30, 2022</w:t>
      </w:r>
      <w:r>
        <w:rPr>
          <w:rFonts w:ascii="Arial;Helvetica;sans-serif" w:hAnsi="Arial;Helvetica;sans-serif"/>
          <w:caps w:val="false"/>
          <w:smallCaps w:val="false"/>
          <w:sz w:val="20"/>
        </w:rPr>
        <w:t xml:space="preserve"> was $23 million and $6 million, respectively. As of </w:t>
      </w:r>
      <w:r>
        <w:rPr>
          <w:rStyle w:val="Emphasis"/>
          <w:rFonts w:ascii="Arial;Helvetica;sans-serif" w:hAnsi="Arial;Helvetica;sans-serif"/>
          <w:caps w:val="false"/>
          <w:smallCaps w:val="false"/>
          <w:sz w:val="20"/>
        </w:rPr>
        <w:t>July 29, 2023</w:t>
      </w:r>
      <w:r>
        <w:rPr>
          <w:rFonts w:ascii="Arial;Helvetica;sans-serif" w:hAnsi="Arial;Helvetica;sans-serif"/>
          <w:caps w:val="false"/>
          <w:smallCaps w:val="false"/>
          <w:sz w:val="20"/>
        </w:rPr>
        <w:t>, there was $31 million of total unrecognized compensation cost related to nonvested awards.</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 w:hAnsi="arial"/>
          <w:b/>
          <w:caps w:val="false"/>
          <w:smallCaps w:val="false"/>
          <w:sz w:val="20"/>
        </w:rPr>
        <w:t>12.</w:t>
      </w:r>
      <w:r>
        <w:rPr>
          <w:rFonts w:ascii="arial" w:hAnsi="arial"/>
          <w:b/>
          <w:caps w:val="false"/>
          <w:smallCaps w:val="false"/>
          <w:sz w:val="20"/>
        </w:rPr>
        <w:t xml:space="preserve">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 Additionally, the Company is a defendant in </w:t>
      </w:r>
      <w:r>
        <w:rPr>
          <w:rStyle w:val="Emphasis"/>
          <w:rFonts w:ascii="arial" w:hAnsi="arial"/>
          <w:caps w:val="false"/>
          <w:smallCaps w:val="false"/>
          <w:sz w:val="20"/>
        </w:rPr>
        <w:t>two</w:t>
      </w:r>
      <w:r>
        <w:rPr>
          <w:rFonts w:ascii="arial" w:hAnsi="arial"/>
          <w:caps w:val="false"/>
          <w:smallCaps w:val="false"/>
          <w:sz w:val="20"/>
        </w:rPr>
        <w:t xml:space="preserve"> purported class actions alleging wage/hour and wage statement violations in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 w:hAnsi="arial"/>
          <w:caps w:val="false"/>
          <w:smallCaps w:val="false"/>
          <w:sz w:val="20"/>
        </w:rPr>
        <w:t xml:space="preserve">We do </w:t>
      </w:r>
      <w:r>
        <w:rPr>
          <w:rStyle w:val="Emphasis"/>
          <w:rFonts w:ascii="arial" w:hAnsi="arial"/>
          <w:caps w:val="false"/>
          <w:smallCaps w:val="false"/>
          <w:sz w:val="20"/>
        </w:rPr>
        <w:t>not</w:t>
      </w:r>
      <w:r>
        <w:rPr>
          <w:rFonts w:ascii="arial" w:hAnsi="arial"/>
          <w:caps w:val="false"/>
          <w:smallCaps w:val="false"/>
          <w:sz w:val="20"/>
        </w:rPr>
        <w:t xml:space="preserve">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Second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14</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caps w:val="false"/>
          <w:smallCaps w:val="false"/>
          <w:sz w:val="20"/>
        </w:rPr>
      </w:pPr>
      <w:bookmarkStart w:id="10" w:name="item_two"/>
      <w:bookmarkEnd w:id="10"/>
      <w:r>
        <w:rPr>
          <w:rFonts w:ascii="arial" w:hAnsi="arial"/>
          <w:b/>
          <w:i/>
          <w:caps w:val="false"/>
          <w:smallCaps w:val="false"/>
          <w:sz w:val="20"/>
        </w:rPr>
        <w:t>Item</w:t>
      </w:r>
      <w:r>
        <w:rPr>
          <w:rFonts w:ascii="arial" w:hAnsi="arial"/>
          <w:caps w:val="false"/>
          <w:smallCaps w:val="false"/>
          <w:sz w:val="20"/>
        </w:rPr>
        <w:t> </w:t>
      </w:r>
      <w:r>
        <w:rPr>
          <w:rFonts w:ascii="arial" w:hAnsi="arial"/>
          <w:b/>
          <w:i/>
          <w:caps w:val="false"/>
          <w:smallCaps w:val="false"/>
          <w:sz w:val="20"/>
        </w:rPr>
        <w:t>2. Management</w:t>
      </w:r>
      <w:r>
        <w:rPr>
          <w:rFonts w:ascii="arial" w:hAnsi="arial"/>
          <w:caps w:val="false"/>
          <w:smallCaps w:val="false"/>
          <w:sz w:val="20"/>
        </w:rPr>
        <w:t>’</w:t>
      </w:r>
      <w:r>
        <w:rPr>
          <w:rFonts w:ascii="arial" w:hAnsi="arial"/>
          <w:b/>
          <w:i/>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Foot Locker, Inc. is a leading footwear and apparel retailer that unlocks the "inner sneakerhead" in all of us. We have a strong history of sneaker authority that sparks discovery and ignites the power of sneaker culture through our portfolio of brands, including Foot Locker, Kids Foot Locker, Champs Sports, WSS, and atmos.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Ensuring that our customers can engage with us in the most convenient manner for them whether in our stores, on our website, or on our mobile application, is a high priority for us. We use our omni-channel capabilities to bridge the digital world and physical stores, including order-in-store, buy online and pickup-in-store, and buy online and ship-from-store, as well as e-commerce. We operate websites and mobile apps aligned with the brand names of our store banners. These sites offer some of the largest online product selections and provide a seamless link between e-commerce and physical stores.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i/>
          <w:caps w:val="false"/>
          <w:smallCaps w:val="false"/>
          <w:sz w:val="20"/>
          <w:u w:val="single"/>
        </w:rPr>
      </w:pPr>
      <w:r>
        <w:rPr>
          <w:rFonts w:ascii="arial" w:hAnsi="arial"/>
          <w:i/>
          <w:caps w:val="false"/>
          <w:smallCaps w:val="false"/>
          <w:sz w:val="20"/>
          <w:u w:val="single"/>
        </w:rPr>
        <w:t>Store 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At July 29, 2023, we operated 2,599 stores as compared with 2,714 and 2,799 stores at January 28, 2023 and July 30,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i/>
          <w:caps w:val="false"/>
          <w:smallCaps w:val="false"/>
          <w:sz w:val="20"/>
          <w:u w:val="single"/>
        </w:rPr>
      </w:pPr>
      <w:r>
        <w:rPr>
          <w:rFonts w:ascii="arial" w:hAnsi="arial"/>
          <w:i/>
          <w:caps w:val="false"/>
          <w:smallCaps w:val="false"/>
          <w:sz w:val="20"/>
          <w:u w:val="single"/>
        </w:rPr>
        <w:t>Franchise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A total of 184 franchised stores were operating at July 29, 2023, as compared with 159 and 148 stores at January 28, 2023 and July 30, 2022, respectively, operating in the Middle East and Asia. These stores are not included in the operating store count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caps w:val="false"/>
          <w:smallCaps w:val="false"/>
          <w:sz w:val="20"/>
        </w:rPr>
      </w:pPr>
      <w:r>
        <w:rPr>
          <w:rFonts w:ascii="arial" w:hAnsi="arial"/>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We evaluate performance based on several factors, primarily the banner’s financial results, referred to as division profit. Division profit reflects income before income taxes, impairment and other charges, corporate expenses, non-operating income, and net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table below summarizes our results for the period.</w:t>
      </w:r>
    </w:p>
    <w:p>
      <w:pPr>
        <w:pStyle w:val="TextBody"/>
        <w:bidi w:val="0"/>
        <w:spacing w:before="0" w:after="0"/>
        <w:ind w:left="0" w:right="0" w:hanging="0"/>
        <w:jc w:val="both"/>
        <w:rPr>
          <w:caps w:val="false"/>
          <w:smallCaps w:val="false"/>
        </w:rPr>
      </w:pPr>
      <w:r>
        <w:rPr>
          <w:caps w:val="false"/>
          <w:smallCaps w:val="false"/>
        </w:rPr>
        <w:t> </w:t>
      </w:r>
    </w:p>
    <w:tbl>
      <w:tblPr>
        <w:tblW w:w="7189" w:type="dxa"/>
        <w:jc w:val="left"/>
        <w:tblInd w:w="0" w:type="dxa"/>
        <w:tblLayout w:type="fixed"/>
        <w:tblCellMar>
          <w:top w:w="0" w:type="dxa"/>
          <w:left w:w="0" w:type="dxa"/>
          <w:bottom w:w="28" w:type="dxa"/>
          <w:right w:w="0" w:type="dxa"/>
        </w:tblCellMar>
      </w:tblPr>
      <w:tblGrid>
        <w:gridCol w:w="2900"/>
        <w:gridCol w:w="60"/>
        <w:gridCol w:w="174"/>
        <w:gridCol w:w="675"/>
        <w:gridCol w:w="111"/>
        <w:gridCol w:w="83"/>
        <w:gridCol w:w="174"/>
        <w:gridCol w:w="675"/>
        <w:gridCol w:w="80"/>
        <w:gridCol w:w="60"/>
        <w:gridCol w:w="194"/>
        <w:gridCol w:w="756"/>
        <w:gridCol w:w="124"/>
        <w:gridCol w:w="93"/>
        <w:gridCol w:w="194"/>
        <w:gridCol w:w="756"/>
        <w:gridCol w:w="80"/>
      </w:tblGrid>
      <w:tr>
        <w:trPr/>
        <w:tc>
          <w:tcPr>
            <w:tcW w:w="290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7"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24" w:type="dxa"/>
            <w:tcBorders>
              <w:bottom w:val="single" w:sz="2" w:space="0" w:color="000000"/>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1,861</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2,065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3,788</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4,240</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9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Licensing revenue</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3</w:t>
            </w:r>
          </w:p>
        </w:tc>
        <w:tc>
          <w:tcPr>
            <w:tcW w:w="11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7</w:t>
            </w:r>
          </w:p>
        </w:tc>
        <w:tc>
          <w:tcPr>
            <w:tcW w:w="12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29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1,864</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2,068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56"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3,795</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56"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4,246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Operating Results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Division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21</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125</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Less: Impairment and other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53</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Less: Corporate expense (2)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w:t>
            </w:r>
          </w:p>
        </w:tc>
        <w:tc>
          <w:tcPr>
            <w:tcW w:w="124" w:type="dxa"/>
            <w:tcBorders>
              <w:bottom w:val="single" w:sz="2" w:space="0" w:color="000000"/>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62</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111"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pPr>
            <w:r>
              <w:rPr/>
              <w:t> </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w:t>
            </w:r>
          </w:p>
        </w:tc>
        <w:tc>
          <w:tcPr>
            <w:tcW w:w="124"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pPr>
            <w:r>
              <w:rPr/>
              <w:t> </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0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 (expense), net (3)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111" w:type="dxa"/>
            <w:tcBorders>
              <w:bottom w:val="single" w:sz="2" w:space="0" w:color="000000"/>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24"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bottom w:val="single" w:sz="2" w:space="0" w:color="000000"/>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0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 (loss) before income taxes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11"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143</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54</w:t>
            </w:r>
          </w:p>
        </w:tc>
        <w:tc>
          <w:tcPr>
            <w:tcW w:w="124" w:type="dxa"/>
            <w:tcBorders>
              <w:bottom w:val="double" w:sz="6" w:space="0" w:color="000000"/>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333</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2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 xml:space="preserve">See the </w:t>
            </w:r>
            <w:r>
              <w:rPr>
                <w:rFonts w:ascii="Arial;Helvetica;sans-serif" w:hAnsi="Arial;Helvetica;sans-serif"/>
                <w:i/>
                <w:caps w:val="false"/>
                <w:smallCaps w:val="false"/>
                <w:sz w:val="16"/>
              </w:rPr>
              <w:t>Impairment and Other Charges</w:t>
            </w:r>
            <w:r>
              <w:rPr>
                <w:rFonts w:ascii="Arial;Helvetica;sans-serif" w:hAnsi="Arial;Helvetica;sans-serif"/>
                <w:caps w:val="false"/>
                <w:smallCaps w:val="false"/>
                <w:sz w:val="16"/>
              </w:rPr>
              <w:t> section for further information.</w:t>
            </w:r>
          </w:p>
        </w:tc>
      </w:tr>
      <w:tr>
        <w:trPr/>
        <w:tc>
          <w:tcPr>
            <w:tcW w:w="185"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2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tc>
      </w:tr>
      <w:tr>
        <w:trPr/>
        <w:tc>
          <w:tcPr>
            <w:tcW w:w="185"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2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Other income / (expense), net includes non-operating items, changes in fair value of minority interests measured at fair value or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 See the </w:t>
            </w:r>
            <w:r>
              <w:rPr>
                <w:rFonts w:ascii="Arial;Helvetica;sans-serif" w:hAnsi="Arial;Helvetica;sans-serif"/>
                <w:i/>
                <w:caps w:val="false"/>
                <w:smallCaps w:val="false"/>
                <w:sz w:val="16"/>
              </w:rPr>
              <w:t>Other income / (expense), net</w:t>
            </w:r>
            <w:r>
              <w:rPr>
                <w:rFonts w:ascii="Arial;Helvetica;sans-serif" w:hAnsi="Arial;Helvetica;sans-serif"/>
                <w:caps w:val="false"/>
                <w:smallCaps w:val="false"/>
                <w:sz w:val="16"/>
              </w:rPr>
              <w:t> section for further information.</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Second Quarter 2023 Form 10-Q Page 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Reconciliation of Non-GAAP Measures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addition to reporting our financial results in accordance with U.S. generally accepted accounting principles (“GAAP”), we report certain financial results that differ from what is reported under GAAP. We have presented certain financial measures identified as non-GAAP, such as sales changes excluding foreign currency fluctuations, adjusted income before income taxes, adjusted net income, and adjusted diluted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We present certain amounts as excluding the effects of foreign currency fluctuations, which are also considered non-GAAP measures.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 that are not related to currency movements.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These non-GAAP measures are presented because we believe they assist investors in comparing our performance across reporting periods on a consistent basis by excluding items that we do not believe are indicative of our core business or affect comparability. In addition, these non-GAAP measures are useful in assessing our progress in achieving our long-term financial objectives. We estimate the tax effect of all non-GAAP adjustments by applying a marginal tax rate to each item. The income tax items represent the discrete amount that affected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non-GAAP financial information is provided in addition, and not as an alternative, to our reported results prepared in accordance with GAAP. Presented below is a reconciliation of GAAP and non-GAAP.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43"/>
        <w:gridCol w:w="60"/>
        <w:gridCol w:w="169"/>
        <w:gridCol w:w="598"/>
        <w:gridCol w:w="108"/>
        <w:gridCol w:w="81"/>
        <w:gridCol w:w="169"/>
        <w:gridCol w:w="598"/>
        <w:gridCol w:w="80"/>
        <w:gridCol w:w="60"/>
        <w:gridCol w:w="193"/>
        <w:gridCol w:w="681"/>
        <w:gridCol w:w="123"/>
        <w:gridCol w:w="92"/>
        <w:gridCol w:w="193"/>
        <w:gridCol w:w="588"/>
        <w:gridCol w:w="69"/>
      </w:tblGrid>
      <w:tr>
        <w:trPr/>
        <w:tc>
          <w:tcPr>
            <w:tcW w:w="6343"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23"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70"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69"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343"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67"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08"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ind w:left="0" w:right="0" w:hanging="0"/>
              <w:jc w:val="left"/>
              <w:rPr/>
            </w:pPr>
            <w:r>
              <w:rPr/>
              <w:t> </w:t>
            </w:r>
          </w:p>
        </w:tc>
        <w:tc>
          <w:tcPr>
            <w:tcW w:w="767"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781"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69" w:type="dxa"/>
            <w:tcBorders/>
            <w:shd w:fill="FFFFFF" w:val="clear"/>
            <w:tcMar>
              <w:bottom w:w="0" w:type="dxa"/>
            </w:tcMar>
            <w:vAlign w:val="center"/>
          </w:tcPr>
          <w:p>
            <w:pPr>
              <w:pStyle w:val="TableContents"/>
              <w:bidi w:val="0"/>
              <w:spacing w:before="0" w:after="283"/>
              <w:jc w:val="left"/>
              <w:rPr/>
            </w:pPr>
            <w:r>
              <w:rPr/>
              <w:t> </w:t>
            </w:r>
          </w:p>
        </w:tc>
      </w:tr>
      <w:tr>
        <w:trPr/>
        <w:tc>
          <w:tcPr>
            <w:tcW w:w="6343"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 except per share amounts)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08" w:type="dxa"/>
            <w:tcBorders>
              <w:bottom w:val="single" w:sz="2" w:space="0" w:color="000000"/>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23"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81"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69"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343"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Pre-tax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59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59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r>
      <w:tr>
        <w:trPr/>
        <w:tc>
          <w:tcPr>
            <w:tcW w:w="6343"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before income taxes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08"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1" w:type="dxa"/>
            <w:tcBorders/>
            <w:shd w:fill="FFFFFF" w:val="clear"/>
            <w:tcMar>
              <w:bottom w:w="0" w:type="dxa"/>
            </w:tcMar>
            <w:vAlign w:val="center"/>
          </w:tcPr>
          <w:p>
            <w:pPr>
              <w:pStyle w:val="TableContents"/>
              <w:bidi w:val="0"/>
              <w:spacing w:before="0" w:after="283"/>
              <w:ind w:left="0" w:right="0" w:hanging="0"/>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3"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54</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93"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333</w:t>
            </w:r>
          </w:p>
        </w:tc>
        <w:tc>
          <w:tcPr>
            <w:tcW w:w="69" w:type="dxa"/>
            <w:tcBorders/>
            <w:shd w:fill="FFFFFF" w:val="clear"/>
            <w:tcMar>
              <w:bottom w:w="0" w:type="dxa"/>
            </w:tcMar>
            <w:vAlign w:val="center"/>
          </w:tcPr>
          <w:p>
            <w:pPr>
              <w:pStyle w:val="TableContents"/>
              <w:bidi w:val="0"/>
              <w:spacing w:before="0" w:after="283"/>
              <w:jc w:val="left"/>
              <w:rPr/>
            </w:pPr>
            <w:r>
              <w:rPr/>
              <w:t> </w:t>
            </w:r>
          </w:p>
        </w:tc>
      </w:tr>
      <w:tr>
        <w:trPr/>
        <w:tc>
          <w:tcPr>
            <w:tcW w:w="6343"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Pre-tax amounts excluded from GAAP:</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67"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59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r>
      <w:tr>
        <w:trPr/>
        <w:tc>
          <w:tcPr>
            <w:tcW w:w="6343"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Impairment and 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5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w:t>
            </w:r>
          </w:p>
        </w:tc>
        <w:tc>
          <w:tcPr>
            <w:tcW w:w="108"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5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ind w:left="0" w:right="0" w:hanging="0"/>
              <w:jc w:val="left"/>
              <w:rPr/>
            </w:pPr>
            <w:r>
              <w:rPr/>
              <w:t> </w:t>
            </w:r>
          </w:p>
        </w:tc>
        <w:tc>
          <w:tcPr>
            <w:tcW w:w="68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53</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ind w:left="0" w:right="0" w:hanging="0"/>
              <w:jc w:val="left"/>
              <w:rPr/>
            </w:pPr>
            <w:r>
              <w:rPr/>
              <w:t> </w:t>
            </w:r>
          </w:p>
        </w:tc>
        <w:tc>
          <w:tcPr>
            <w:tcW w:w="58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w:t>
            </w:r>
          </w:p>
        </w:tc>
        <w:tc>
          <w:tcPr>
            <w:tcW w:w="69" w:type="dxa"/>
            <w:tcBorders/>
            <w:shd w:fill="FFFFFF" w:val="clear"/>
            <w:tcMar>
              <w:bottom w:w="0" w:type="dxa"/>
            </w:tcMar>
            <w:vAlign w:val="center"/>
          </w:tcPr>
          <w:p>
            <w:pPr>
              <w:pStyle w:val="TableContents"/>
              <w:bidi w:val="0"/>
              <w:spacing w:before="0" w:after="283"/>
              <w:jc w:val="left"/>
              <w:rPr/>
            </w:pPr>
            <w:r>
              <w:rPr/>
              <w:t> </w:t>
            </w:r>
          </w:p>
        </w:tc>
      </w:tr>
      <w:tr>
        <w:trPr/>
        <w:tc>
          <w:tcPr>
            <w:tcW w:w="6343"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 expense, net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08"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1"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23"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2" w:type="dxa"/>
            <w:tcBorders>
              <w:bottom w:val="single" w:sz="2" w:space="0" w:color="000000"/>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w:t>
            </w:r>
          </w:p>
        </w:tc>
        <w:tc>
          <w:tcPr>
            <w:tcW w:w="69"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343"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Adjusted income before income taxes (non-GAAP)</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w:t>
            </w:r>
          </w:p>
        </w:tc>
        <w:tc>
          <w:tcPr>
            <w:tcW w:w="108" w:type="dxa"/>
            <w:tcBorders>
              <w:bottom w:val="double" w:sz="6" w:space="0" w:color="000000"/>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149</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1"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106</w:t>
            </w:r>
          </w:p>
        </w:tc>
        <w:tc>
          <w:tcPr>
            <w:tcW w:w="123" w:type="dxa"/>
            <w:tcBorders>
              <w:bottom w:val="double" w:sz="6" w:space="0" w:color="000000"/>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369</w:t>
            </w:r>
          </w:p>
        </w:tc>
        <w:tc>
          <w:tcPr>
            <w:tcW w:w="69"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6343"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67"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ind w:left="0" w:right="0" w:hanging="0"/>
              <w:jc w:val="left"/>
              <w:rPr/>
            </w:pPr>
            <w:r>
              <w:rPr/>
              <w:t> </w:t>
            </w:r>
          </w:p>
        </w:tc>
        <w:tc>
          <w:tcPr>
            <w:tcW w:w="767"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781"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9" w:type="dxa"/>
            <w:tcBorders/>
            <w:shd w:fill="CCEEFF" w:val="clear"/>
            <w:tcMar>
              <w:bottom w:w="0" w:type="dxa"/>
            </w:tcMar>
            <w:vAlign w:val="center"/>
          </w:tcPr>
          <w:p>
            <w:pPr>
              <w:pStyle w:val="TableContents"/>
              <w:bidi w:val="0"/>
              <w:spacing w:before="0" w:after="283"/>
              <w:jc w:val="left"/>
              <w:rPr/>
            </w:pPr>
            <w:r>
              <w:rPr/>
              <w:t> </w:t>
            </w:r>
          </w:p>
        </w:tc>
      </w:tr>
      <w:tr>
        <w:trPr/>
        <w:tc>
          <w:tcPr>
            <w:tcW w:w="6343"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After-tax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598"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598"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r>
      <w:tr>
        <w:trPr/>
        <w:tc>
          <w:tcPr>
            <w:tcW w:w="6343"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 / (loss)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w:t>
            </w:r>
          </w:p>
        </w:tc>
        <w:tc>
          <w:tcPr>
            <w:tcW w:w="108"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1" w:type="dxa"/>
            <w:tcBorders/>
            <w:shd w:fill="CCEEFF" w:val="clear"/>
            <w:tcMar>
              <w:bottom w:w="0" w:type="dxa"/>
            </w:tcMar>
            <w:vAlign w:val="center"/>
          </w:tcPr>
          <w:p>
            <w:pPr>
              <w:pStyle w:val="TableContents"/>
              <w:bidi w:val="0"/>
              <w:spacing w:before="0" w:after="283"/>
              <w:ind w:left="0" w:right="0" w:hanging="0"/>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31</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9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227</w:t>
            </w:r>
          </w:p>
        </w:tc>
        <w:tc>
          <w:tcPr>
            <w:tcW w:w="69" w:type="dxa"/>
            <w:tcBorders/>
            <w:shd w:fill="CCEEFF" w:val="clear"/>
            <w:tcMar>
              <w:bottom w:w="0" w:type="dxa"/>
            </w:tcMar>
            <w:vAlign w:val="center"/>
          </w:tcPr>
          <w:p>
            <w:pPr>
              <w:pStyle w:val="TableContents"/>
              <w:bidi w:val="0"/>
              <w:spacing w:before="0" w:after="283"/>
              <w:jc w:val="left"/>
              <w:rPr/>
            </w:pPr>
            <w:r>
              <w:rPr/>
              <w:t> </w:t>
            </w:r>
          </w:p>
        </w:tc>
      </w:tr>
      <w:tr>
        <w:trPr/>
        <w:tc>
          <w:tcPr>
            <w:tcW w:w="6343"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After-tax adjustments excluded from GAAP:</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67"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8"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598"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r>
      <w:tr>
        <w:trPr/>
        <w:tc>
          <w:tcPr>
            <w:tcW w:w="6343" w:type="dxa"/>
            <w:tcBorders/>
            <w:shd w:fill="CCEEFF" w:val="clear"/>
            <w:tcMar>
              <w:bottom w:w="0" w:type="dxa"/>
            </w:tcMar>
            <w:vAlign w:val="center"/>
          </w:tcPr>
          <w:p>
            <w:pPr>
              <w:pStyle w:val="TableContents"/>
              <w:bidi w:val="0"/>
              <w:spacing w:before="0" w:after="0"/>
              <w:ind w:left="36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Impairment and other, net of income tax benefit of $3, $3, $9, and $5 million, respectively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5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11</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5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ind w:left="0" w:right="0" w:hanging="0"/>
              <w:jc w:val="left"/>
              <w:rPr/>
            </w:pPr>
            <w:r>
              <w:rPr/>
              <w:t> </w:t>
            </w:r>
          </w:p>
        </w:tc>
        <w:tc>
          <w:tcPr>
            <w:tcW w:w="68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44</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ind w:left="0" w:right="0" w:hanging="0"/>
              <w:jc w:val="left"/>
              <w:rPr/>
            </w:pPr>
            <w:r>
              <w:rPr/>
              <w:t> </w:t>
            </w:r>
          </w:p>
        </w:tc>
        <w:tc>
          <w:tcPr>
            <w:tcW w:w="58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69" w:type="dxa"/>
            <w:tcBorders/>
            <w:shd w:fill="CCEEFF" w:val="clear"/>
            <w:tcMar>
              <w:bottom w:w="0" w:type="dxa"/>
            </w:tcMar>
            <w:vAlign w:val="center"/>
          </w:tcPr>
          <w:p>
            <w:pPr>
              <w:pStyle w:val="TableContents"/>
              <w:bidi w:val="0"/>
              <w:spacing w:before="0" w:after="283"/>
              <w:jc w:val="left"/>
              <w:rPr/>
            </w:pPr>
            <w:r>
              <w:rPr/>
              <w:t> </w:t>
            </w:r>
          </w:p>
        </w:tc>
      </w:tr>
      <w:tr>
        <w:trPr/>
        <w:tc>
          <w:tcPr>
            <w:tcW w:w="6343" w:type="dxa"/>
            <w:tcBorders/>
            <w:shd w:fill="FFFFFF" w:val="clear"/>
            <w:tcMar>
              <w:bottom w:w="0" w:type="dxa"/>
            </w:tcMar>
            <w:vAlign w:val="center"/>
          </w:tcPr>
          <w:p>
            <w:pPr>
              <w:pStyle w:val="TableContents"/>
              <w:bidi w:val="0"/>
              <w:spacing w:before="0" w:after="0"/>
              <w:ind w:left="36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 expense, net of income tax benefit/(expense) of $-, $(3), $-, and $3 million, respectively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5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08"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1"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5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ind w:left="0" w:right="0" w:hanging="0"/>
              <w:jc w:val="left"/>
              <w:rPr/>
            </w:pPr>
            <w:r>
              <w:rPr/>
              <w:t> </w:t>
            </w:r>
          </w:p>
        </w:tc>
        <w:tc>
          <w:tcPr>
            <w:tcW w:w="68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123"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2"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ind w:left="0" w:right="0" w:hanging="0"/>
              <w:jc w:val="left"/>
              <w:rPr/>
            </w:pPr>
            <w:r>
              <w:rPr/>
              <w:t> </w:t>
            </w:r>
          </w:p>
        </w:tc>
        <w:tc>
          <w:tcPr>
            <w:tcW w:w="58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w:t>
            </w:r>
          </w:p>
        </w:tc>
        <w:tc>
          <w:tcPr>
            <w:tcW w:w="69" w:type="dxa"/>
            <w:tcBorders/>
            <w:shd w:fill="FFFFFF" w:val="clear"/>
            <w:tcMar>
              <w:bottom w:w="0" w:type="dxa"/>
            </w:tcMar>
            <w:vAlign w:val="center"/>
          </w:tcPr>
          <w:p>
            <w:pPr>
              <w:pStyle w:val="TableContents"/>
              <w:bidi w:val="0"/>
              <w:spacing w:before="0" w:after="283"/>
              <w:jc w:val="left"/>
              <w:rPr/>
            </w:pPr>
            <w:r>
              <w:rPr/>
              <w:t> </w:t>
            </w:r>
          </w:p>
        </w:tc>
      </w:tr>
      <w:tr>
        <w:trPr/>
        <w:tc>
          <w:tcPr>
            <w:tcW w:w="6343"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Tax reserves benefit / charge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108" w:type="dxa"/>
            <w:tcBorders>
              <w:bottom w:val="single" w:sz="2" w:space="0" w:color="000000"/>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123"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2" w:type="dxa"/>
            <w:tcBorders>
              <w:bottom w:val="single" w:sz="2" w:space="0" w:color="000000"/>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69"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343"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Adjusted net income (non-GAAP)</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108" w:type="dxa"/>
            <w:tcBorders>
              <w:bottom w:val="double" w:sz="6" w:space="0" w:color="000000"/>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105</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1"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70</w:t>
            </w:r>
          </w:p>
        </w:tc>
        <w:tc>
          <w:tcPr>
            <w:tcW w:w="123" w:type="dxa"/>
            <w:tcBorders>
              <w:bottom w:val="double" w:sz="6" w:space="0" w:color="000000"/>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260</w:t>
            </w:r>
          </w:p>
        </w:tc>
        <w:tc>
          <w:tcPr>
            <w:tcW w:w="69"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6343"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67"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ind w:left="0" w:right="0" w:hanging="0"/>
              <w:jc w:val="left"/>
              <w:rPr/>
            </w:pPr>
            <w:r>
              <w:rPr/>
              <w:t> </w:t>
            </w:r>
          </w:p>
        </w:tc>
        <w:tc>
          <w:tcPr>
            <w:tcW w:w="767"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781"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9" w:type="dxa"/>
            <w:tcBorders/>
            <w:shd w:fill="CCEEFF" w:val="clear"/>
            <w:tcMar>
              <w:bottom w:w="0" w:type="dxa"/>
            </w:tcMar>
            <w:vAlign w:val="center"/>
          </w:tcPr>
          <w:p>
            <w:pPr>
              <w:pStyle w:val="TableContents"/>
              <w:bidi w:val="0"/>
              <w:spacing w:before="0" w:after="283"/>
              <w:jc w:val="left"/>
              <w:rPr/>
            </w:pPr>
            <w:r>
              <w:rPr/>
              <w:t> </w:t>
            </w:r>
          </w:p>
        </w:tc>
      </w:tr>
      <w:tr>
        <w:trPr/>
        <w:tc>
          <w:tcPr>
            <w:tcW w:w="6343"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Earnings per share: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67"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8"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598"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r>
      <w:tr>
        <w:trPr/>
        <w:tc>
          <w:tcPr>
            <w:tcW w:w="6343"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 earnings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(0.05</w:t>
            </w:r>
          </w:p>
        </w:tc>
        <w:tc>
          <w:tcPr>
            <w:tcW w:w="108"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1" w:type="dxa"/>
            <w:tcBorders/>
            <w:shd w:fill="CCEEFF" w:val="clear"/>
            <w:tcMar>
              <w:bottom w:w="0" w:type="dxa"/>
            </w:tcMar>
            <w:vAlign w:val="center"/>
          </w:tcPr>
          <w:p>
            <w:pPr>
              <w:pStyle w:val="TableContents"/>
              <w:bidi w:val="0"/>
              <w:spacing w:before="0" w:after="283"/>
              <w:ind w:left="0" w:right="0" w:hanging="0"/>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0.99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0.33</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9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2.36</w:t>
            </w:r>
          </w:p>
        </w:tc>
        <w:tc>
          <w:tcPr>
            <w:tcW w:w="69" w:type="dxa"/>
            <w:tcBorders/>
            <w:shd w:fill="CCEEFF" w:val="clear"/>
            <w:tcMar>
              <w:bottom w:w="0" w:type="dxa"/>
            </w:tcMar>
            <w:vAlign w:val="center"/>
          </w:tcPr>
          <w:p>
            <w:pPr>
              <w:pStyle w:val="TableContents"/>
              <w:bidi w:val="0"/>
              <w:spacing w:before="0" w:after="283"/>
              <w:jc w:val="left"/>
              <w:rPr/>
            </w:pPr>
            <w:r>
              <w:rPr/>
              <w:t> </w:t>
            </w:r>
          </w:p>
        </w:tc>
      </w:tr>
      <w:tr>
        <w:trPr/>
        <w:tc>
          <w:tcPr>
            <w:tcW w:w="6343"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 EPS amounts excluded from GAAP:</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67"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8"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ind w:left="0" w:right="0" w:hanging="0"/>
              <w:jc w:val="left"/>
              <w:rPr/>
            </w:pPr>
            <w:r>
              <w:rPr/>
              <w:t> </w:t>
            </w:r>
          </w:p>
        </w:tc>
        <w:tc>
          <w:tcPr>
            <w:tcW w:w="767"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7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781"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9" w:type="dxa"/>
            <w:tcBorders/>
            <w:shd w:fill="FFFFFF" w:val="clear"/>
            <w:tcMar>
              <w:bottom w:w="0" w:type="dxa"/>
            </w:tcMar>
            <w:vAlign w:val="center"/>
          </w:tcPr>
          <w:p>
            <w:pPr>
              <w:pStyle w:val="TableContents"/>
              <w:bidi w:val="0"/>
              <w:spacing w:before="0" w:after="283"/>
              <w:jc w:val="left"/>
              <w:rPr/>
            </w:pPr>
            <w:r>
              <w:rPr/>
              <w:t> </w:t>
            </w:r>
          </w:p>
        </w:tc>
      </w:tr>
      <w:tr>
        <w:trPr/>
        <w:tc>
          <w:tcPr>
            <w:tcW w:w="6343"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Impairment and 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5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0.12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5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ind w:left="0" w:right="0" w:hanging="0"/>
              <w:jc w:val="left"/>
              <w:rPr/>
            </w:pPr>
            <w:r>
              <w:rPr/>
              <w:t> </w:t>
            </w:r>
          </w:p>
        </w:tc>
        <w:tc>
          <w:tcPr>
            <w:tcW w:w="68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0.47</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ind w:left="0" w:right="0" w:hanging="0"/>
              <w:jc w:val="left"/>
              <w:rPr/>
            </w:pPr>
            <w:r>
              <w:rPr/>
              <w:t> </w:t>
            </w:r>
          </w:p>
        </w:tc>
        <w:tc>
          <w:tcPr>
            <w:tcW w:w="58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0.14</w:t>
            </w:r>
          </w:p>
        </w:tc>
        <w:tc>
          <w:tcPr>
            <w:tcW w:w="69" w:type="dxa"/>
            <w:tcBorders/>
            <w:shd w:fill="CCEEFF" w:val="clear"/>
            <w:tcMar>
              <w:bottom w:w="0" w:type="dxa"/>
            </w:tcMar>
            <w:vAlign w:val="center"/>
          </w:tcPr>
          <w:p>
            <w:pPr>
              <w:pStyle w:val="TableContents"/>
              <w:bidi w:val="0"/>
              <w:spacing w:before="0" w:after="283"/>
              <w:jc w:val="left"/>
              <w:rPr/>
            </w:pPr>
            <w:r>
              <w:rPr/>
              <w:t> </w:t>
            </w:r>
          </w:p>
        </w:tc>
      </w:tr>
      <w:tr>
        <w:trPr/>
        <w:tc>
          <w:tcPr>
            <w:tcW w:w="6343"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5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(0.03</w:t>
            </w:r>
          </w:p>
        </w:tc>
        <w:tc>
          <w:tcPr>
            <w:tcW w:w="108"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1"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5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(0.03</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ind w:left="0" w:right="0" w:hanging="0"/>
              <w:jc w:val="left"/>
              <w:rPr/>
            </w:pPr>
            <w:r>
              <w:rPr/>
              <w:t> </w:t>
            </w:r>
          </w:p>
        </w:tc>
        <w:tc>
          <w:tcPr>
            <w:tcW w:w="68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(0.02</w:t>
            </w:r>
          </w:p>
        </w:tc>
        <w:tc>
          <w:tcPr>
            <w:tcW w:w="123"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2"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ind w:left="0" w:right="0" w:hanging="0"/>
              <w:jc w:val="left"/>
              <w:rPr/>
            </w:pPr>
            <w:r>
              <w:rPr/>
              <w:t> </w:t>
            </w:r>
          </w:p>
        </w:tc>
        <w:tc>
          <w:tcPr>
            <w:tcW w:w="58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0.16</w:t>
            </w:r>
          </w:p>
        </w:tc>
        <w:tc>
          <w:tcPr>
            <w:tcW w:w="69" w:type="dxa"/>
            <w:tcBorders/>
            <w:shd w:fill="FFFFFF" w:val="clear"/>
            <w:tcMar>
              <w:bottom w:w="0" w:type="dxa"/>
            </w:tcMar>
            <w:vAlign w:val="center"/>
          </w:tcPr>
          <w:p>
            <w:pPr>
              <w:pStyle w:val="TableContents"/>
              <w:bidi w:val="0"/>
              <w:spacing w:before="0" w:after="283"/>
              <w:jc w:val="left"/>
              <w:rPr/>
            </w:pPr>
            <w:r>
              <w:rPr/>
              <w:t> </w:t>
            </w:r>
          </w:p>
        </w:tc>
      </w:tr>
      <w:tr>
        <w:trPr/>
        <w:tc>
          <w:tcPr>
            <w:tcW w:w="6343"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Tax reserves benefit / charge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108" w:type="dxa"/>
            <w:tcBorders>
              <w:bottom w:val="single" w:sz="2" w:space="0" w:color="000000"/>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(0.04</w:t>
            </w:r>
          </w:p>
        </w:tc>
        <w:tc>
          <w:tcPr>
            <w:tcW w:w="123"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2" w:type="dxa"/>
            <w:tcBorders>
              <w:bottom w:val="single" w:sz="2" w:space="0" w:color="000000"/>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0.05</w:t>
            </w:r>
          </w:p>
        </w:tc>
        <w:tc>
          <w:tcPr>
            <w:tcW w:w="69"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343"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Adjusted diluted earnings per share (non-GAAP)</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0.04</w:t>
            </w:r>
          </w:p>
        </w:tc>
        <w:tc>
          <w:tcPr>
            <w:tcW w:w="108" w:type="dxa"/>
            <w:tcBorders>
              <w:bottom w:val="double" w:sz="6" w:space="0" w:color="000000"/>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1.10</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1"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0.74</w:t>
            </w:r>
          </w:p>
        </w:tc>
        <w:tc>
          <w:tcPr>
            <w:tcW w:w="123" w:type="dxa"/>
            <w:tcBorders>
              <w:bottom w:val="double" w:sz="6" w:space="0" w:color="000000"/>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2.71</w:t>
            </w:r>
          </w:p>
        </w:tc>
        <w:tc>
          <w:tcPr>
            <w:tcW w:w="69"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 xml:space="preserve">During the thirteen and twenty-six weeks ended July 29, 2023, we recorded pre-tax charges of $14 million and $53 million, respectively, classified as impairment and other. See the </w:t>
      </w:r>
      <w:r>
        <w:rPr>
          <w:rFonts w:ascii="arial" w:hAnsi="arial"/>
          <w:i/>
          <w:caps w:val="false"/>
          <w:smallCaps w:val="false"/>
          <w:sz w:val="20"/>
        </w:rPr>
        <w:t xml:space="preserve">Impairment and Other </w:t>
      </w:r>
      <w:r>
        <w:rPr>
          <w:rFonts w:ascii="arial" w:hAnsi="arial"/>
          <w:caps w:val="false"/>
          <w:smallCaps w:val="false"/>
          <w:sz w:val="20"/>
        </w:rPr>
        <w:t>section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Second Quarter 2023 Form 10-Q Page 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 xml:space="preserve">The adjustments made to other income / (expense), net primarily reflected gains or losses associated with our minority investments and gains on sales of businesses. See the </w:t>
      </w:r>
      <w:r>
        <w:rPr>
          <w:rFonts w:ascii="arial" w:hAnsi="arial"/>
          <w:i/>
          <w:caps w:val="false"/>
          <w:smallCaps w:val="false"/>
          <w:sz w:val="20"/>
        </w:rPr>
        <w:t>Other Income / (Expense), net</w:t>
      </w:r>
      <w:r>
        <w:rPr>
          <w:rFonts w:ascii="arial" w:hAnsi="arial"/>
          <w:caps w:val="false"/>
          <w:smallCaps w:val="false"/>
          <w:sz w:val="20"/>
        </w:rPr>
        <w:t xml:space="preserve"> section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During the twenty-six weeks ended July 29, 2023, we recorded a $4 million benefit related to an income tax reserves release from a statute of limitations expiration.</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Segment Reporting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We have determined that we have three operating segments, North America, EMEA, and Asia Pacific. Our North America operating segment includes the results of the following banners operating in the U.S. and Canada: Foot Locker, Champs Sports, Kids Foot Locker, and WSS, including each of their related e-commerce businesses. Our EMEA operating segment includes the results of the following banners operating in Europe: Foot Locker, Sidestep, and Kids Foot Locker, including each of their related e-commerce businesses. Our Asia Pacific operating segment includes the results of the Foot Locker banner and its related e-commerce business operating in Australia, New Zealand, and Asia, as well as atmos, which operates primarily in Asia. We have further aggregated these operating segments into one reportable segment based upon their shared customer base and similar economic characteristics.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shd w:fill="FFFFFF" w:val="clear"/>
        </w:rPr>
      </w:pPr>
      <w:r>
        <w:rPr>
          <w:rFonts w:ascii="arial" w:hAnsi="arial"/>
          <w:caps w:val="false"/>
          <w:smallCaps w:val="false"/>
          <w:sz w:val="20"/>
          <w:shd w:fill="FFFFFF" w:val="clear"/>
        </w:rPr>
        <w:t>As reported in our Annual Report on Form 10-K, we planned to close our Sidestep banner and certain stores operating in Asia. During the second quarter of 2023 we substantially closed the Sidestep banner and the stores operating in Hong Kong and Macau. Additionally during the second quarter, we sold our Singapore and Malaysian business to our license partner. Our license partner will operate those stores under a licensing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All references to comparable-store sales for a given period relate to sales of stores that were open at the period-end and had been open for more than one year. The computation of consolidated comparable sales also includes our direct-to-customers channel. Stores opened or closed during the period are not included in the comparable-store base; however, stores closed temporarily for relocation or remodeling are included. Computations exclude the effect of foreign currency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Sales from acquired businesses that include inventory are included in the computation of comparable-store sales after the 15th month of operations. Accordingly, both WSS and atmos are included in the computation.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For the thirteen weeks ended July 29, 2023, total sales decreased by $204 million, or 9.9%, to $1,861 million, as compared with the corresponding prior-year period. For the twenty-six weeks ended July 29, 2023, total sales decreased by $452 million, or 10.7%, to $3,788 million, as compared with the corresponding prior-year period. Excluding the effect of foreign currency fluctuations, total sales decreased by $209 million, or 10.2%, for the thirteen weeks ended July 29, 2023, and decreased by $426 million, or 10.0%, for the twenty-six weeks ended July 29, 2023. The information shown below represents certain sales metrics by sales channel.</w:t>
      </w:r>
    </w:p>
    <w:p>
      <w:pPr>
        <w:pStyle w:val="TextBody"/>
        <w:bidi w:val="0"/>
        <w:spacing w:before="0" w:after="0"/>
        <w:ind w:left="0" w:right="0" w:hanging="0"/>
        <w:jc w:val="both"/>
        <w:rPr>
          <w:caps w:val="false"/>
          <w:smallCaps w:val="false"/>
        </w:rPr>
      </w:pPr>
      <w:r>
        <w:rPr>
          <w:caps w:val="false"/>
          <w:smallCaps w:val="false"/>
        </w:rPr>
        <w:t> </w:t>
      </w:r>
    </w:p>
    <w:tbl>
      <w:tblPr>
        <w:tblW w:w="7789" w:type="dxa"/>
        <w:jc w:val="left"/>
        <w:tblInd w:w="0" w:type="dxa"/>
        <w:tblLayout w:type="fixed"/>
        <w:tblCellMar>
          <w:top w:w="0" w:type="dxa"/>
          <w:left w:w="0" w:type="dxa"/>
          <w:bottom w:w="28" w:type="dxa"/>
          <w:right w:w="0" w:type="dxa"/>
        </w:tblCellMar>
      </w:tblPr>
      <w:tblGrid>
        <w:gridCol w:w="3500"/>
        <w:gridCol w:w="60"/>
        <w:gridCol w:w="174"/>
        <w:gridCol w:w="675"/>
        <w:gridCol w:w="111"/>
        <w:gridCol w:w="83"/>
        <w:gridCol w:w="174"/>
        <w:gridCol w:w="675"/>
        <w:gridCol w:w="80"/>
        <w:gridCol w:w="60"/>
        <w:gridCol w:w="194"/>
        <w:gridCol w:w="756"/>
        <w:gridCol w:w="124"/>
        <w:gridCol w:w="93"/>
        <w:gridCol w:w="194"/>
        <w:gridCol w:w="756"/>
        <w:gridCol w:w="80"/>
      </w:tblGrid>
      <w:tr>
        <w:trPr/>
        <w:tc>
          <w:tcPr>
            <w:tcW w:w="350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7"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0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24" w:type="dxa"/>
            <w:tcBorders>
              <w:bottom w:val="single" w:sz="2" w:space="0" w:color="000000"/>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Store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1,572</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1,716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3,185</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3,492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(144</w:t>
            </w:r>
          </w:p>
        </w:tc>
        <w:tc>
          <w:tcPr>
            <w:tcW w:w="111"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pPr>
            <w:r>
              <w:rPr/>
              <w:t> </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(307</w:t>
            </w:r>
          </w:p>
        </w:tc>
        <w:tc>
          <w:tcPr>
            <w:tcW w:w="124"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(8.4</w:t>
            </w:r>
          </w:p>
        </w:tc>
        <w:tc>
          <w:tcPr>
            <w:tcW w:w="11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(8.8</w:t>
            </w:r>
          </w:p>
        </w:tc>
        <w:tc>
          <w:tcPr>
            <w:tcW w:w="124"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of total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84.5</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83.1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pPr>
            <w:r>
              <w:rPr/>
              <w:t> </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84.1</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pPr>
            <w:r>
              <w:rPr/>
              <w:t> </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82.4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Comparable sales (decrease) / increase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(8.6</w:t>
            </w:r>
          </w:p>
        </w:tc>
        <w:tc>
          <w:tcPr>
            <w:tcW w:w="11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(8.0</w:t>
            </w:r>
          </w:p>
        </w:tc>
        <w:tc>
          <w:tcPr>
            <w:tcW w:w="124"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righ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Direct-to-customers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289</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603</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(60</w:t>
            </w:r>
          </w:p>
        </w:tc>
        <w:tc>
          <w:tcPr>
            <w:tcW w:w="111"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pPr>
            <w:r>
              <w:rPr/>
              <w:t> </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(145</w:t>
            </w:r>
          </w:p>
        </w:tc>
        <w:tc>
          <w:tcPr>
            <w:tcW w:w="124"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(17.2</w:t>
            </w:r>
          </w:p>
        </w:tc>
        <w:tc>
          <w:tcPr>
            <w:tcW w:w="11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849" w:type="dxa"/>
            <w:gridSpan w:val="2"/>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(19.4</w:t>
            </w:r>
          </w:p>
        </w:tc>
        <w:tc>
          <w:tcPr>
            <w:tcW w:w="124"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of total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15.5</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pPr>
            <w:r>
              <w:rPr/>
              <w:t> </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15.9</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pPr>
            <w:r>
              <w:rPr/>
              <w:t> </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Comparable sales 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(13.1</w:t>
            </w:r>
          </w:p>
        </w:tc>
        <w:tc>
          <w:tcPr>
            <w:tcW w:w="11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(26.7</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(14.8</w:t>
            </w:r>
          </w:p>
        </w:tc>
        <w:tc>
          <w:tcPr>
            <w:tcW w:w="124"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righ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Total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1,861</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2,065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3,788</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4,240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(204</w:t>
            </w:r>
          </w:p>
        </w:tc>
        <w:tc>
          <w:tcPr>
            <w:tcW w:w="111"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4" w:type="dxa"/>
            <w:tcBorders/>
            <w:shd w:fill="FFFFFF" w:val="clear"/>
            <w:tcMar>
              <w:bottom w:w="0" w:type="dxa"/>
            </w:tcMar>
            <w:vAlign w:val="center"/>
          </w:tcPr>
          <w:p>
            <w:pPr>
              <w:pStyle w:val="TableContents"/>
              <w:bidi w:val="0"/>
              <w:spacing w:before="0" w:after="283"/>
              <w:ind w:left="0" w:right="0" w:hanging="0"/>
              <w:jc w:val="left"/>
              <w:rPr/>
            </w:pPr>
            <w:r>
              <w:rPr/>
              <w:t> </w:t>
            </w:r>
          </w:p>
        </w:tc>
        <w:tc>
          <w:tcPr>
            <w:tcW w:w="7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(452</w:t>
            </w:r>
          </w:p>
        </w:tc>
        <w:tc>
          <w:tcPr>
            <w:tcW w:w="124"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(9.9</w:t>
            </w:r>
          </w:p>
        </w:tc>
        <w:tc>
          <w:tcPr>
            <w:tcW w:w="11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ind w:left="0" w:right="0" w:hanging="0"/>
              <w:jc w:val="left"/>
              <w:rPr/>
            </w:pPr>
            <w:r>
              <w:rP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(10.7</w:t>
            </w:r>
          </w:p>
        </w:tc>
        <w:tc>
          <w:tcPr>
            <w:tcW w:w="124"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Comparable sales decrease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(9.4</w:t>
            </w:r>
          </w:p>
        </w:tc>
        <w:tc>
          <w:tcPr>
            <w:tcW w:w="111"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(10.3</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(9.2</w:t>
            </w:r>
          </w:p>
        </w:tc>
        <w:tc>
          <w:tcPr>
            <w:tcW w:w="124"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3"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Second Quarter 2023 Form 10-Q Page 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information shown below represents certain combined stores and direct-to-customers sales metrics for the thirteen and twenty-six weeks ended July 29, 2023 as compared with the corresponding prior-year period.</w:t>
      </w:r>
    </w:p>
    <w:p>
      <w:pPr>
        <w:pStyle w:val="TextBody"/>
        <w:bidi w:val="0"/>
        <w:spacing w:before="0" w:after="0"/>
        <w:ind w:left="0" w:right="0" w:hanging="0"/>
        <w:jc w:val="both"/>
        <w:rPr>
          <w:caps w:val="false"/>
          <w:smallCaps w:val="false"/>
        </w:rPr>
      </w:pPr>
      <w:r>
        <w:rPr>
          <w:caps w:val="false"/>
          <w:smallCaps w:val="false"/>
        </w:rPr>
        <w:t> </w:t>
      </w:r>
    </w:p>
    <w:tbl>
      <w:tblPr>
        <w:tblW w:w="9658" w:type="dxa"/>
        <w:jc w:val="left"/>
        <w:tblInd w:w="0" w:type="dxa"/>
        <w:tblLayout w:type="fixed"/>
        <w:tblCellMar>
          <w:top w:w="0" w:type="dxa"/>
          <w:left w:w="0" w:type="dxa"/>
          <w:bottom w:w="28" w:type="dxa"/>
          <w:right w:w="0" w:type="dxa"/>
        </w:tblCellMar>
      </w:tblPr>
      <w:tblGrid>
        <w:gridCol w:w="1385"/>
        <w:gridCol w:w="60"/>
        <w:gridCol w:w="178"/>
        <w:gridCol w:w="1626"/>
        <w:gridCol w:w="329"/>
        <w:gridCol w:w="80"/>
        <w:gridCol w:w="190"/>
        <w:gridCol w:w="1404"/>
        <w:gridCol w:w="245"/>
        <w:gridCol w:w="60"/>
        <w:gridCol w:w="178"/>
        <w:gridCol w:w="1626"/>
        <w:gridCol w:w="368"/>
        <w:gridCol w:w="90"/>
        <w:gridCol w:w="190"/>
        <w:gridCol w:w="1404"/>
        <w:gridCol w:w="245"/>
      </w:tblGrid>
      <w:tr>
        <w:trPr/>
        <w:tc>
          <w:tcPr>
            <w:tcW w:w="138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807"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24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856"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24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3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0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Constant Currencies</w:t>
            </w:r>
          </w:p>
        </w:tc>
        <w:tc>
          <w:tcPr>
            <w:tcW w:w="329"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Comparable Sales</w:t>
            </w:r>
          </w:p>
        </w:tc>
        <w:tc>
          <w:tcPr>
            <w:tcW w:w="24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0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Constant Currencies</w:t>
            </w:r>
          </w:p>
        </w:tc>
        <w:tc>
          <w:tcPr>
            <w:tcW w:w="368" w:type="dxa"/>
            <w:tcBorders>
              <w:bottom w:val="single" w:sz="2" w:space="0" w:color="000000"/>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Comparable Sales</w:t>
            </w:r>
          </w:p>
        </w:tc>
        <w:tc>
          <w:tcPr>
            <w:tcW w:w="24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162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(5.9</w:t>
            </w:r>
          </w:p>
        </w:tc>
        <w:tc>
          <w:tcPr>
            <w:tcW w:w="329"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162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(6.5</w:t>
            </w:r>
          </w:p>
        </w:tc>
        <w:tc>
          <w:tcPr>
            <w:tcW w:w="368"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38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Champs Sports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ind w:left="0" w:right="0" w:hanging="0"/>
              <w:jc w:val="left"/>
              <w:rPr/>
            </w:pPr>
            <w:r>
              <w:rPr/>
              <w:t> </w:t>
            </w:r>
          </w:p>
        </w:tc>
        <w:tc>
          <w:tcPr>
            <w:tcW w:w="162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(27.6</w:t>
            </w:r>
          </w:p>
        </w:tc>
        <w:tc>
          <w:tcPr>
            <w:tcW w:w="329"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(25.3</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ind w:left="0" w:right="0" w:hanging="0"/>
              <w:jc w:val="left"/>
              <w:rPr/>
            </w:pPr>
            <w:r>
              <w:rPr/>
              <w:t> </w:t>
            </w:r>
          </w:p>
        </w:tc>
        <w:tc>
          <w:tcPr>
            <w:tcW w:w="162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(27.4</w:t>
            </w:r>
          </w:p>
        </w:tc>
        <w:tc>
          <w:tcPr>
            <w:tcW w:w="368"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(24.9</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3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Kids 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162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(5.8</w:t>
            </w:r>
          </w:p>
        </w:tc>
        <w:tc>
          <w:tcPr>
            <w:tcW w:w="329"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(4.7</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162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w:t>
            </w:r>
          </w:p>
        </w:tc>
        <w:tc>
          <w:tcPr>
            <w:tcW w:w="368"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(6.3</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38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ind w:left="0" w:right="0" w:hanging="0"/>
              <w:jc w:val="left"/>
              <w:rPr/>
            </w:pPr>
            <w:r>
              <w:rPr/>
              <w:t> </w:t>
            </w:r>
          </w:p>
        </w:tc>
        <w:tc>
          <w:tcPr>
            <w:tcW w:w="162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w:t>
            </w:r>
          </w:p>
        </w:tc>
        <w:tc>
          <w:tcPr>
            <w:tcW w:w="329"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ind w:left="0" w:right="0" w:hanging="0"/>
              <w:jc w:val="left"/>
              <w:rPr/>
            </w:pPr>
            <w:r>
              <w:rPr/>
              <w:t> </w:t>
            </w:r>
          </w:p>
        </w:tc>
        <w:tc>
          <w:tcPr>
            <w:tcW w:w="162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w:t>
            </w:r>
          </w:p>
        </w:tc>
        <w:tc>
          <w:tcPr>
            <w:tcW w:w="368"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385"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Arial;Helvetica;sans-serif" w:hAnsi="Arial;Helvetica;sans-serif"/>
                <w:sz w:val="18"/>
              </w:rPr>
            </w:pPr>
            <w:r>
              <w:rPr>
                <w:rFonts w:ascii="Arial;Helvetica;sans-serif" w:hAnsi="Arial;Helvetica;sans-serif"/>
                <w:sz w:val="18"/>
              </w:rPr>
              <w:t>Other (1)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2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329"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n.m.</w:t>
            </w:r>
          </w:p>
        </w:tc>
        <w:tc>
          <w:tcPr>
            <w:tcW w:w="24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2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368"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90" w:type="dxa"/>
            <w:tcBorders>
              <w:bottom w:val="single" w:sz="2" w:space="0" w:color="000000"/>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n.m.</w:t>
            </w:r>
          </w:p>
        </w:tc>
        <w:tc>
          <w:tcPr>
            <w:tcW w:w="24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3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North America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2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(13.1</w:t>
            </w:r>
          </w:p>
        </w:tc>
        <w:tc>
          <w:tcPr>
            <w:tcW w:w="329"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(12.4</w:t>
            </w:r>
          </w:p>
        </w:tc>
        <w:tc>
          <w:tcPr>
            <w:tcW w:w="24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2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(13.8</w:t>
            </w:r>
          </w:p>
        </w:tc>
        <w:tc>
          <w:tcPr>
            <w:tcW w:w="368"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90" w:type="dxa"/>
            <w:tcBorders>
              <w:bottom w:val="single" w:sz="2" w:space="0" w:color="000000"/>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(12.6</w:t>
            </w:r>
          </w:p>
        </w:tc>
        <w:tc>
          <w:tcPr>
            <w:tcW w:w="24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385"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sz w:val="18"/>
              </w:rPr>
            </w:pPr>
            <w:r>
              <w:rPr>
                <w:rFonts w:ascii="Arial;Helvetica;sans-serif" w:hAnsi="Arial;Helvetica;sans-serif"/>
                <w:sz w:val="18"/>
              </w:rPr>
              <w:t>Foot Locker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162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0.2</w:t>
            </w:r>
          </w:p>
        </w:tc>
        <w:tc>
          <w:tcPr>
            <w:tcW w:w="329"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162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w:t>
            </w:r>
          </w:p>
        </w:tc>
        <w:tc>
          <w:tcPr>
            <w:tcW w:w="368"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0.5</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3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Sidestep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2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(56.0</w:t>
            </w:r>
          </w:p>
        </w:tc>
        <w:tc>
          <w:tcPr>
            <w:tcW w:w="329"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(34.7</w:t>
            </w:r>
          </w:p>
        </w:tc>
        <w:tc>
          <w:tcPr>
            <w:tcW w:w="24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2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(49.0</w:t>
            </w:r>
          </w:p>
        </w:tc>
        <w:tc>
          <w:tcPr>
            <w:tcW w:w="368"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90" w:type="dxa"/>
            <w:tcBorders>
              <w:bottom w:val="single" w:sz="2" w:space="0" w:color="000000"/>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(36.6</w:t>
            </w:r>
          </w:p>
        </w:tc>
        <w:tc>
          <w:tcPr>
            <w:tcW w:w="24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38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EMEA</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2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w:t>
            </w:r>
          </w:p>
        </w:tc>
        <w:tc>
          <w:tcPr>
            <w:tcW w:w="329"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w:t>
            </w:r>
          </w:p>
        </w:tc>
        <w:tc>
          <w:tcPr>
            <w:tcW w:w="24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2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w:t>
            </w:r>
          </w:p>
        </w:tc>
        <w:tc>
          <w:tcPr>
            <w:tcW w:w="368"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90" w:type="dxa"/>
            <w:tcBorders>
              <w:bottom w:val="single" w:sz="2" w:space="0" w:color="000000"/>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w:t>
            </w:r>
          </w:p>
        </w:tc>
        <w:tc>
          <w:tcPr>
            <w:tcW w:w="24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38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Foot Locker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ind w:left="0" w:right="0" w:hanging="0"/>
              <w:jc w:val="left"/>
              <w:rPr/>
            </w:pPr>
            <w:r>
              <w:rPr/>
              <w:t> </w:t>
            </w:r>
          </w:p>
        </w:tc>
        <w:tc>
          <w:tcPr>
            <w:tcW w:w="162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w:t>
            </w:r>
          </w:p>
        </w:tc>
        <w:tc>
          <w:tcPr>
            <w:tcW w:w="329"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5.7</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ind w:left="0" w:right="0" w:hanging="0"/>
              <w:jc w:val="left"/>
              <w:rPr/>
            </w:pPr>
            <w:r>
              <w:rPr/>
              <w:t> </w:t>
            </w:r>
          </w:p>
        </w:tc>
        <w:tc>
          <w:tcPr>
            <w:tcW w:w="162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8.3</w:t>
            </w:r>
          </w:p>
        </w:tc>
        <w:tc>
          <w:tcPr>
            <w:tcW w:w="368"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8.5</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38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atmos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2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(12.5</w:t>
            </w:r>
          </w:p>
        </w:tc>
        <w:tc>
          <w:tcPr>
            <w:tcW w:w="329"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24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2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w:t>
            </w:r>
          </w:p>
        </w:tc>
        <w:tc>
          <w:tcPr>
            <w:tcW w:w="368"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90" w:type="dxa"/>
            <w:tcBorders>
              <w:bottom w:val="single" w:sz="2" w:space="0" w:color="000000"/>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w:t>
            </w:r>
          </w:p>
        </w:tc>
        <w:tc>
          <w:tcPr>
            <w:tcW w:w="24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3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Asia Pacific</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2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w:t>
            </w:r>
          </w:p>
        </w:tc>
        <w:tc>
          <w:tcPr>
            <w:tcW w:w="329"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0.4</w:t>
            </w:r>
          </w:p>
        </w:tc>
        <w:tc>
          <w:tcPr>
            <w:tcW w:w="24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2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w:t>
            </w:r>
          </w:p>
        </w:tc>
        <w:tc>
          <w:tcPr>
            <w:tcW w:w="368"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90" w:type="dxa"/>
            <w:tcBorders>
              <w:bottom w:val="single" w:sz="2" w:space="0" w:color="000000"/>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w:t>
            </w:r>
          </w:p>
        </w:tc>
        <w:tc>
          <w:tcPr>
            <w:tcW w:w="24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38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Total sales</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2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(10.2</w:t>
            </w:r>
          </w:p>
        </w:tc>
        <w:tc>
          <w:tcPr>
            <w:tcW w:w="329"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404"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(9.4</w:t>
            </w:r>
          </w:p>
        </w:tc>
        <w:tc>
          <w:tcPr>
            <w:tcW w:w="245"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2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(10.0</w:t>
            </w:r>
          </w:p>
        </w:tc>
        <w:tc>
          <w:tcPr>
            <w:tcW w:w="368"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0" w:type="dxa"/>
            <w:tcBorders>
              <w:bottom w:val="double" w:sz="6" w:space="0" w:color="000000"/>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404"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(9.2</w:t>
            </w:r>
          </w:p>
        </w:tc>
        <w:tc>
          <w:tcPr>
            <w:tcW w:w="245"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30"/>
        <w:gridCol w:w="9080"/>
      </w:tblGrid>
      <w:tr>
        <w:trPr/>
        <w:tc>
          <w:tcPr>
            <w:tcW w:w="230"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0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Other includes sales from banners that we no longer operate and primarily represented Eastbay in the prior-year period.</w:t>
            </w:r>
          </w:p>
        </w:tc>
      </w:tr>
      <w:tr>
        <w:trPr/>
        <w:tc>
          <w:tcPr>
            <w:tcW w:w="230" w:type="dxa"/>
            <w:tcBorders/>
            <w:vAlign w:val="center"/>
          </w:tcPr>
          <w:p>
            <w:pPr>
              <w:pStyle w:val="TableContents"/>
              <w:bidi w:val="0"/>
              <w:spacing w:lineRule="auto" w:line="288" w:before="0" w:after="283"/>
              <w:jc w:val="left"/>
              <w:rPr>
                <w:rFonts w:ascii="Arial;Helvetica;sans-serif" w:hAnsi="Arial;Helvetica;sans-serif"/>
                <w:sz w:val="16"/>
              </w:rPr>
            </w:pPr>
            <w:r>
              <w:rPr>
                <w:rFonts w:ascii="Arial;Helvetica;sans-serif" w:hAnsi="Arial;Helvetica;sans-serif"/>
                <w:sz w:val="16"/>
              </w:rPr>
              <w:t>(2)</w:t>
            </w:r>
          </w:p>
        </w:tc>
        <w:tc>
          <w:tcPr>
            <w:tcW w:w="90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Includes sales from 14 and 15 Kids Foot Locker stores operating in Europe for July 29, 2023 and July 30, 2022,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From a product perspective for the combined channels, the sales declines in the quarter and year-to-date were across all categories of footwear, apparel and accessories.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Comparable sales decreased both in our stores and in our direct-to-customer channels this quarter and for the year to date due to ongoing macroeconomic headwinds, which affected customer traffic and conversion, as well as changing vendor mix coupled with our repositioning of the Champs Sports banner. We are repositioning the Champs Sports banner to serve the active athlete, which resulted in expected comparable sales declines due to the transition. In addition, North America sales were negatively affected by the closure of Eastbay business, which ceased operating in late 2022. Eastbay's sales primarily represent the other category in the above table, and excluding those sales the decline would have been 10.7% and 10.9%, on a constant currency basis, for the quarter and year-to-date period of 2023, respectively. Within EMEA, constant currency sales for the Foot Locker banners increased, led by our operations in France and Italy as tourism has increased as compared with last year, partially offsetting this was the decline in sales in our Sidestep banner due to the planned closure. For our Asia Pacific operating segment, for both the quarter and the year-to-date period, sales increased in our operations in Australia and South Korea, while our sales in New Zealand were relatively flat. As previously announced, we have closed our operations in Hong Kong and Macau, which negatively affected sales. During the second quarter, we sold our businesses operating in Singapore and Malaysia to our licensing partner. Our sales of our atmos banner decreased by 10.0% and 1.8% on a comparable basis, for the quarter and year-to-date period, respectively, as this banner was affected negatively by the lack of certain key styles from adidas that were available in the marketplace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Gross Margin</w:t>
      </w:r>
    </w:p>
    <w:p>
      <w:pPr>
        <w:pStyle w:val="TextBody"/>
        <w:bidi w:val="0"/>
        <w:spacing w:before="0" w:after="0"/>
        <w:ind w:left="0" w:right="0" w:hanging="0"/>
        <w:jc w:val="left"/>
        <w:rPr>
          <w:caps w:val="false"/>
          <w:smallCaps w:val="false"/>
        </w:rPr>
      </w:pPr>
      <w:r>
        <w:rPr>
          <w:caps w:val="false"/>
          <w:smallCaps w:val="false"/>
        </w:rPr>
        <w:t> </w:t>
      </w:r>
    </w:p>
    <w:tbl>
      <w:tblPr>
        <w:tblW w:w="9318" w:type="dxa"/>
        <w:jc w:val="left"/>
        <w:tblInd w:w="0" w:type="dxa"/>
        <w:tblLayout w:type="fixed"/>
        <w:tblCellMar>
          <w:top w:w="0" w:type="dxa"/>
          <w:left w:w="0" w:type="dxa"/>
          <w:bottom w:w="28" w:type="dxa"/>
          <w:right w:w="0" w:type="dxa"/>
        </w:tblCellMar>
      </w:tblPr>
      <w:tblGrid>
        <w:gridCol w:w="4820"/>
        <w:gridCol w:w="60"/>
        <w:gridCol w:w="99"/>
        <w:gridCol w:w="656"/>
        <w:gridCol w:w="307"/>
        <w:gridCol w:w="99"/>
        <w:gridCol w:w="99"/>
        <w:gridCol w:w="631"/>
        <w:gridCol w:w="185"/>
        <w:gridCol w:w="60"/>
        <w:gridCol w:w="111"/>
        <w:gridCol w:w="734"/>
        <w:gridCol w:w="344"/>
        <w:gridCol w:w="111"/>
        <w:gridCol w:w="111"/>
        <w:gridCol w:w="706"/>
        <w:gridCol w:w="185"/>
      </w:tblGrid>
      <w:tr>
        <w:trPr/>
        <w:tc>
          <w:tcPr>
            <w:tcW w:w="482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1"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7"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82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307"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73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344"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ind w:left="0" w:right="0" w:hanging="0"/>
              <w:jc w:val="left"/>
              <w:rPr/>
            </w:pPr>
            <w:r>
              <w:rPr/>
              <w:t> </w:t>
            </w:r>
          </w:p>
        </w:tc>
        <w:tc>
          <w:tcPr>
            <w:tcW w:w="817"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82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307" w:type="dxa"/>
            <w:tcBorders>
              <w:bottom w:val="single" w:sz="2" w:space="0" w:color="000000"/>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344" w:type="dxa"/>
            <w:tcBorders>
              <w:bottom w:val="single" w:sz="2" w:space="0" w:color="000000"/>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82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Gross margin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65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27.1</w:t>
            </w:r>
          </w:p>
        </w:tc>
        <w:tc>
          <w:tcPr>
            <w:tcW w:w="307"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9"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31.7</w:t>
            </w:r>
          </w:p>
        </w:tc>
        <w:tc>
          <w:tcPr>
            <w:tcW w:w="18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ind w:left="0" w:right="0" w:hanging="0"/>
              <w:jc w:val="left"/>
              <w:rPr/>
            </w:pPr>
            <w:r>
              <w:rPr/>
              <w:t> </w:t>
            </w:r>
          </w:p>
        </w:tc>
        <w:tc>
          <w:tcPr>
            <w:tcW w:w="73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28.6</w:t>
            </w:r>
          </w:p>
        </w:tc>
        <w:tc>
          <w:tcPr>
            <w:tcW w:w="344"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ind w:left="0" w:right="0" w:hanging="0"/>
              <w:jc w:val="left"/>
              <w:rPr/>
            </w:pPr>
            <w:r>
              <w:rPr/>
              <w:t> </w:t>
            </w:r>
          </w:p>
        </w:tc>
        <w:tc>
          <w:tcPr>
            <w:tcW w:w="70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32.9</w:t>
            </w:r>
          </w:p>
        </w:tc>
        <w:tc>
          <w:tcPr>
            <w:tcW w:w="18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482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Basis point decrease in the gross margin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6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(460</w:t>
            </w:r>
          </w:p>
        </w:tc>
        <w:tc>
          <w:tcPr>
            <w:tcW w:w="307"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73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ind w:left="0" w:right="0" w:hanging="0"/>
              <w:jc w:val="left"/>
              <w:rPr/>
            </w:pPr>
            <w:r>
              <w:rPr/>
              <w:t> </w:t>
            </w:r>
          </w:p>
        </w:tc>
        <w:tc>
          <w:tcPr>
            <w:tcW w:w="73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(430</w:t>
            </w:r>
          </w:p>
        </w:tc>
        <w:tc>
          <w:tcPr>
            <w:tcW w:w="344"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11" w:type="dxa"/>
            <w:tcBorders/>
            <w:shd w:fill="FFFFFF" w:val="clear"/>
            <w:tcMar>
              <w:bottom w:w="0" w:type="dxa"/>
            </w:tcMar>
            <w:vAlign w:val="center"/>
          </w:tcPr>
          <w:p>
            <w:pPr>
              <w:pStyle w:val="TableContents"/>
              <w:bidi w:val="0"/>
              <w:spacing w:before="0" w:after="283"/>
              <w:ind w:left="0" w:right="0" w:hanging="0"/>
              <w:jc w:val="left"/>
              <w:rPr/>
            </w:pPr>
            <w:r>
              <w:rPr/>
              <w:t> </w:t>
            </w:r>
          </w:p>
        </w:tc>
        <w:tc>
          <w:tcPr>
            <w:tcW w:w="817"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82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Components of the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73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344"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ind w:left="0" w:right="0" w:hanging="0"/>
              <w:jc w:val="left"/>
              <w:rPr/>
            </w:pPr>
            <w:r>
              <w:rPr/>
              <w:t> </w:t>
            </w:r>
          </w:p>
        </w:tc>
        <w:tc>
          <w:tcPr>
            <w:tcW w:w="817"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4820"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Merchandise margin rate decline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65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(300</w:t>
            </w:r>
          </w:p>
        </w:tc>
        <w:tc>
          <w:tcPr>
            <w:tcW w:w="307"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73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ind w:left="0" w:right="0" w:hanging="0"/>
              <w:jc w:val="left"/>
              <w:rPr/>
            </w:pPr>
            <w:r>
              <w:rPr/>
              <w:t> </w:t>
            </w:r>
          </w:p>
        </w:tc>
        <w:tc>
          <w:tcPr>
            <w:tcW w:w="73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(280</w:t>
            </w:r>
          </w:p>
        </w:tc>
        <w:tc>
          <w:tcPr>
            <w:tcW w:w="344"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11" w:type="dxa"/>
            <w:tcBorders/>
            <w:shd w:fill="FFFFFF" w:val="clear"/>
            <w:tcMar>
              <w:bottom w:w="0" w:type="dxa"/>
            </w:tcMar>
            <w:vAlign w:val="center"/>
          </w:tcPr>
          <w:p>
            <w:pPr>
              <w:pStyle w:val="TableContents"/>
              <w:bidi w:val="0"/>
              <w:spacing w:before="0" w:after="283"/>
              <w:ind w:left="0" w:right="0" w:hanging="0"/>
              <w:jc w:val="left"/>
              <w:rPr/>
            </w:pPr>
            <w:r>
              <w:rPr/>
              <w:t> </w:t>
            </w:r>
          </w:p>
        </w:tc>
        <w:tc>
          <w:tcPr>
            <w:tcW w:w="817"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820" w:type="dxa"/>
            <w:tcBorders>
              <w:bottom w:val="single" w:sz="2" w:space="0" w:color="000000"/>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Higher occupancy and buyers’ compensation expense rate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(160</w:t>
            </w:r>
          </w:p>
        </w:tc>
        <w:tc>
          <w:tcPr>
            <w:tcW w:w="307"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(150</w:t>
            </w:r>
          </w:p>
        </w:tc>
        <w:tc>
          <w:tcPr>
            <w:tcW w:w="344"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1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17" w:type="dxa"/>
            <w:gridSpan w:val="2"/>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Second Quarter 2023 Form 10-Q Page 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gross margin rate decreased to 27.1% for the thirteen weeks ended July 29, 2023, as compared with the corresponding prior-year period, reflecting a 300-basis point decrease in the merchandise margin rate, and a 160-basis point deleverage in the occupancy and buyers' compensation rate. For the twenty-six weeks ended July 29, 2023, gross margin rate decreased by 430 basis points, reflecting a 280-basis point decrease in the merchandise margin rate and a 150-basis point deleverage in the occupancy and buyers' compensation rate. The declines in merchandise margin rate reflected higher promotional activity in the current marketplace, higher costs of merchandise, and increased shrink. The deleverage in the occupancy and buyers' compensation rate was primarily related to the fixed nature of these costs in relation to the decline in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Selling, General and Administrative Expenses (SG&amp;A)</w:t>
      </w:r>
    </w:p>
    <w:p>
      <w:pPr>
        <w:pStyle w:val="TextBody"/>
        <w:bidi w:val="0"/>
        <w:spacing w:before="0" w:after="0"/>
        <w:ind w:left="0" w:right="0" w:hanging="0"/>
        <w:jc w:val="both"/>
        <w:rPr>
          <w:caps w:val="false"/>
          <w:smallCaps w:val="false"/>
        </w:rPr>
      </w:pPr>
      <w:r>
        <w:rPr>
          <w:caps w:val="false"/>
          <w:smallCaps w:val="false"/>
        </w:rPr>
        <w:t> </w:t>
      </w:r>
    </w:p>
    <w:tbl>
      <w:tblPr>
        <w:tblW w:w="7054" w:type="dxa"/>
        <w:jc w:val="left"/>
        <w:tblInd w:w="0" w:type="dxa"/>
        <w:tblLayout w:type="fixed"/>
        <w:tblCellMar>
          <w:top w:w="0" w:type="dxa"/>
          <w:left w:w="0" w:type="dxa"/>
          <w:bottom w:w="28" w:type="dxa"/>
          <w:right w:w="0" w:type="dxa"/>
        </w:tblCellMar>
      </w:tblPr>
      <w:tblGrid>
        <w:gridCol w:w="2555"/>
        <w:gridCol w:w="60"/>
        <w:gridCol w:w="180"/>
        <w:gridCol w:w="547"/>
        <w:gridCol w:w="353"/>
        <w:gridCol w:w="86"/>
        <w:gridCol w:w="180"/>
        <w:gridCol w:w="547"/>
        <w:gridCol w:w="185"/>
        <w:gridCol w:w="60"/>
        <w:gridCol w:w="201"/>
        <w:gridCol w:w="612"/>
        <w:gridCol w:w="394"/>
        <w:gridCol w:w="96"/>
        <w:gridCol w:w="201"/>
        <w:gridCol w:w="612"/>
        <w:gridCol w:w="185"/>
      </w:tblGrid>
      <w:tr>
        <w:trPr/>
        <w:tc>
          <w:tcPr>
            <w:tcW w:w="255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3"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7"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353"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ind w:left="0" w:right="0" w:hanging="0"/>
              <w:jc w:val="left"/>
              <w:rPr/>
            </w:pPr>
            <w:r>
              <w:rPr/>
              <w:t> </w:t>
            </w:r>
          </w:p>
        </w:tc>
        <w:tc>
          <w:tcPr>
            <w:tcW w:w="727"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13"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394"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813"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353" w:type="dxa"/>
            <w:tcBorders>
              <w:bottom w:val="single" w:sz="2" w:space="0" w:color="000000"/>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394"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SG&amp;A</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442</w:t>
            </w:r>
          </w:p>
        </w:tc>
        <w:tc>
          <w:tcPr>
            <w:tcW w:w="353"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452</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1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873</w:t>
            </w:r>
          </w:p>
        </w:tc>
        <w:tc>
          <w:tcPr>
            <w:tcW w:w="394"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1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915</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w:t>
            </w:r>
          </w:p>
        </w:tc>
        <w:tc>
          <w:tcPr>
            <w:tcW w:w="353"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6" w:type="dxa"/>
            <w:tcBorders/>
            <w:shd w:fill="FFFFFF" w:val="clear"/>
            <w:tcMar>
              <w:bottom w:w="0" w:type="dxa"/>
            </w:tcMar>
            <w:vAlign w:val="center"/>
          </w:tcPr>
          <w:p>
            <w:pPr>
              <w:pStyle w:val="TableContents"/>
              <w:bidi w:val="0"/>
              <w:spacing w:before="0" w:after="283"/>
              <w:ind w:left="0" w:right="0" w:hanging="0"/>
              <w:jc w:val="left"/>
              <w:rPr/>
            </w:pPr>
            <w:r>
              <w:rPr/>
              <w:t> </w:t>
            </w:r>
          </w:p>
        </w:tc>
        <w:tc>
          <w:tcPr>
            <w:tcW w:w="727"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1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(42</w:t>
            </w:r>
          </w:p>
        </w:tc>
        <w:tc>
          <w:tcPr>
            <w:tcW w:w="394"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813"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pPr>
            <w:r>
              <w:rPr/>
              <w:t> </w:t>
            </w:r>
          </w:p>
        </w:tc>
        <w:tc>
          <w:tcPr>
            <w:tcW w:w="54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(2.2</w:t>
            </w:r>
          </w:p>
        </w:tc>
        <w:tc>
          <w:tcPr>
            <w:tcW w:w="353"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c>
          <w:tcPr>
            <w:tcW w:w="727"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pPr>
            <w:r>
              <w:rPr/>
              <w:t> </w:t>
            </w:r>
          </w:p>
        </w:tc>
        <w:tc>
          <w:tcPr>
            <w:tcW w:w="61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(4.6</w:t>
            </w:r>
          </w:p>
        </w:tc>
        <w:tc>
          <w:tcPr>
            <w:tcW w:w="394"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813"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SG&amp;A as a percentage of sales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7"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23.8</w:t>
            </w:r>
          </w:p>
        </w:tc>
        <w:tc>
          <w:tcPr>
            <w:tcW w:w="353"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6"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7"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21.9</w:t>
            </w:r>
          </w:p>
        </w:tc>
        <w:tc>
          <w:tcPr>
            <w:tcW w:w="18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23.0</w:t>
            </w:r>
          </w:p>
        </w:tc>
        <w:tc>
          <w:tcPr>
            <w:tcW w:w="394"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21.6</w:t>
            </w:r>
          </w:p>
        </w:tc>
        <w:tc>
          <w:tcPr>
            <w:tcW w:w="18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SG&amp;A decreased by $10 million, or $14 million excluding the effect of foreign currency fluctuations, for the thirteen weeks ended July 29, 2023, as compared with the corresponding prior-year period. For the year-to-date period, SG&amp;A decreased by $42 million, or $39 million excluding the effect of foreign currency fluctuations. As a percentage of sales, SG&amp;A increased by 190 basis points and 140 basis points for the thirteen and twenty-six weeks ended July 29, 2023, respectively, primarily reflecting deleverage from the decline in sales, coupled with pressures from inflation and investments in front-line wages and technology aimed at improving the omnichannel experience and improving customer data analytics. Partially offsetting these increases was lower incentive compensation due to the Company's underperformance relative to targets and savings from our cost optimization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Depreciation and Amortization</w:t>
      </w:r>
    </w:p>
    <w:p>
      <w:pPr>
        <w:pStyle w:val="TextBody"/>
        <w:bidi w:val="0"/>
        <w:spacing w:before="0" w:after="0"/>
        <w:ind w:left="0" w:right="0" w:hanging="0"/>
        <w:jc w:val="left"/>
        <w:rPr>
          <w:caps w:val="false"/>
          <w:smallCaps w:val="false"/>
        </w:rPr>
      </w:pPr>
      <w:r>
        <w:rPr>
          <w:caps w:val="false"/>
          <w:smallCaps w:val="false"/>
        </w:rPr>
        <w:t> </w:t>
      </w:r>
    </w:p>
    <w:tbl>
      <w:tblPr>
        <w:tblW w:w="6808" w:type="dxa"/>
        <w:jc w:val="left"/>
        <w:tblInd w:w="0" w:type="dxa"/>
        <w:tblLayout w:type="fixed"/>
        <w:tblCellMar>
          <w:top w:w="0" w:type="dxa"/>
          <w:left w:w="0" w:type="dxa"/>
          <w:bottom w:w="28" w:type="dxa"/>
          <w:right w:w="0" w:type="dxa"/>
        </w:tblCellMar>
      </w:tblPr>
      <w:tblGrid>
        <w:gridCol w:w="2480"/>
        <w:gridCol w:w="60"/>
        <w:gridCol w:w="211"/>
        <w:gridCol w:w="566"/>
        <w:gridCol w:w="414"/>
        <w:gridCol w:w="101"/>
        <w:gridCol w:w="239"/>
        <w:gridCol w:w="440"/>
        <w:gridCol w:w="60"/>
        <w:gridCol w:w="60"/>
        <w:gridCol w:w="216"/>
        <w:gridCol w:w="579"/>
        <w:gridCol w:w="424"/>
        <w:gridCol w:w="103"/>
        <w:gridCol w:w="216"/>
        <w:gridCol w:w="579"/>
        <w:gridCol w:w="60"/>
      </w:tblGrid>
      <w:tr>
        <w:trPr/>
        <w:tc>
          <w:tcPr>
            <w:tcW w:w="248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971"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7"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8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7"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414"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9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424"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ind w:left="0" w:right="0" w:hanging="0"/>
              <w:jc w:val="left"/>
              <w:rPr/>
            </w:pPr>
            <w:r>
              <w:rPr/>
              <w:t> </w:t>
            </w:r>
          </w:p>
        </w:tc>
        <w:tc>
          <w:tcPr>
            <w:tcW w:w="79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414" w:type="dxa"/>
            <w:tcBorders>
              <w:bottom w:val="single" w:sz="2" w:space="0" w:color="000000"/>
            </w:tcBorders>
            <w:shd w:fill="FFFFFF" w:val="clear"/>
            <w:vAlign w:val="center"/>
          </w:tcPr>
          <w:p>
            <w:pPr>
              <w:pStyle w:val="TableContents"/>
              <w:bidi w:val="0"/>
              <w:spacing w:before="0" w:after="283"/>
              <w:jc w:val="left"/>
              <w:rPr/>
            </w:pPr>
            <w:r>
              <w:rPr/>
              <w:t> </w:t>
            </w:r>
          </w:p>
        </w:tc>
        <w:tc>
          <w:tcPr>
            <w:tcW w:w="10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424" w:type="dxa"/>
            <w:tcBorders>
              <w:bottom w:val="single" w:sz="2" w:space="0" w:color="000000"/>
            </w:tcBorders>
            <w:shd w:fill="FFFFFF" w:val="clear"/>
            <w:vAlign w:val="center"/>
          </w:tcPr>
          <w:p>
            <w:pPr>
              <w:pStyle w:val="TableContents"/>
              <w:bidi w:val="0"/>
              <w:spacing w:before="0" w:after="283"/>
              <w:jc w:val="left"/>
              <w:rPr/>
            </w:pPr>
            <w:r>
              <w:rPr/>
              <w:t> </w:t>
            </w:r>
          </w:p>
        </w:tc>
        <w:tc>
          <w:tcPr>
            <w:tcW w:w="10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Depreciation and amortization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50</w:t>
            </w:r>
          </w:p>
        </w:tc>
        <w:tc>
          <w:tcPr>
            <w:tcW w:w="414"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23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4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101</w:t>
            </w:r>
          </w:p>
        </w:tc>
        <w:tc>
          <w:tcPr>
            <w:tcW w:w="424"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ind w:left="0" w:right="0" w:hanging="0"/>
              <w:jc w:val="left"/>
              <w:rPr/>
            </w:pPr>
            <w:r>
              <w:rPr/>
              <w:t> </w:t>
            </w:r>
          </w:p>
        </w:tc>
        <w:tc>
          <w:tcPr>
            <w:tcW w:w="21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1"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w:t>
            </w:r>
          </w:p>
        </w:tc>
        <w:tc>
          <w:tcPr>
            <w:tcW w:w="414"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424"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3" w:type="dxa"/>
            <w:tcBorders/>
            <w:shd w:fill="FFFFFF" w:val="clear"/>
            <w:tcMar>
              <w:bottom w:w="0" w:type="dxa"/>
            </w:tcMar>
            <w:vAlign w:val="center"/>
          </w:tcPr>
          <w:p>
            <w:pPr>
              <w:pStyle w:val="TableContents"/>
              <w:bidi w:val="0"/>
              <w:spacing w:before="0" w:after="283"/>
              <w:ind w:left="0" w:right="0" w:hanging="0"/>
              <w:jc w:val="left"/>
              <w:rPr/>
            </w:pPr>
            <w:r>
              <w:rPr/>
              <w:t> </w:t>
            </w:r>
          </w:p>
        </w:tc>
        <w:tc>
          <w:tcPr>
            <w:tcW w:w="795" w:type="dxa"/>
            <w:gridSpan w:val="2"/>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8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(2.0</w:t>
            </w:r>
          </w:p>
        </w:tc>
        <w:tc>
          <w:tcPr>
            <w:tcW w:w="414"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(3.8</w:t>
            </w:r>
          </w:p>
        </w:tc>
        <w:tc>
          <w:tcPr>
            <w:tcW w:w="424"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95" w:type="dxa"/>
            <w:gridSpan w:val="2"/>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Depreciation and amortization expense decreased by $1 million and $4 million for the thirteen and twenty-six weeks ended July 29, 2023, respectively, as compared with the corresponding prior-year periods. Excluding the effect of foreign currency fluctuations, depreciation and amortization decreased by $2 million and $4 million for the thirteen and twenty-six weeks ended July 29, 2023, respectively. These declines are primarily related to operating fewer stores and the effect from impairments recorded in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Impairment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For the thirteen and twenty-six weeks ended July 29, 2023, we incurred $7 million and $26 million of transformation consulting expense, respectively, as compared with $9 million and $10 million in the corresponding prior-year periods. We recorded impairment charges of $3 million and $21 million, respectively, primarily accelerated tenancy charges on right-of-use assets for the closures of the Sidestep banner and Foot Locker Asia stores, as compared with impairment of $2 million and $5 million in the prior year periods, mainly from the closure of Footaction stores. Additionally, we recorded reorganization costs of $3 million and $5 million for the thirteen and twenty-six weeks ended July 29, 2023, respectively, related to the announced closure of the Sidestep banner, Foot Locker Asia stores, and a North American distribution center, as well as $1 million in other charges. In the comparative periods ended July 30, 2022, we incurred $1 million and $3 million of acquisition integration costs related to WSS and atmos.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Second Quarter 2023 Form 10-Q Page 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Corporate Expense</w:t>
      </w:r>
    </w:p>
    <w:p>
      <w:pPr>
        <w:pStyle w:val="TextBody"/>
        <w:bidi w:val="0"/>
        <w:spacing w:before="0" w:after="0"/>
        <w:ind w:left="0" w:right="0" w:hanging="0"/>
        <w:jc w:val="both"/>
        <w:rPr>
          <w:caps w:val="false"/>
          <w:smallCaps w:val="false"/>
        </w:rPr>
      </w:pPr>
      <w:r>
        <w:rPr>
          <w:caps w:val="false"/>
          <w:smallCaps w:val="false"/>
        </w:rPr>
        <w:t> </w:t>
      </w:r>
    </w:p>
    <w:tbl>
      <w:tblPr>
        <w:tblW w:w="5844" w:type="dxa"/>
        <w:jc w:val="left"/>
        <w:tblInd w:w="0" w:type="dxa"/>
        <w:tblLayout w:type="fixed"/>
        <w:tblCellMar>
          <w:top w:w="0" w:type="dxa"/>
          <w:left w:w="0" w:type="dxa"/>
          <w:bottom w:w="28" w:type="dxa"/>
          <w:right w:w="0" w:type="dxa"/>
        </w:tblCellMar>
      </w:tblPr>
      <w:tblGrid>
        <w:gridCol w:w="1595"/>
        <w:gridCol w:w="60"/>
        <w:gridCol w:w="260"/>
        <w:gridCol w:w="603"/>
        <w:gridCol w:w="166"/>
        <w:gridCol w:w="124"/>
        <w:gridCol w:w="260"/>
        <w:gridCol w:w="478"/>
        <w:gridCol w:w="60"/>
        <w:gridCol w:w="60"/>
        <w:gridCol w:w="290"/>
        <w:gridCol w:w="673"/>
        <w:gridCol w:w="185"/>
        <w:gridCol w:w="138"/>
        <w:gridCol w:w="290"/>
        <w:gridCol w:w="542"/>
        <w:gridCol w:w="60"/>
      </w:tblGrid>
      <w:tr>
        <w:trPr/>
        <w:tc>
          <w:tcPr>
            <w:tcW w:w="159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1"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8"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3"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738"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63"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ind w:left="0" w:right="0" w:hanging="0"/>
              <w:jc w:val="left"/>
              <w:rPr/>
            </w:pPr>
            <w:r>
              <w:rPr/>
              <w:t> </w:t>
            </w:r>
          </w:p>
        </w:tc>
        <w:tc>
          <w:tcPr>
            <w:tcW w:w="832"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66" w:type="dxa"/>
            <w:tcBorders>
              <w:bottom w:val="single" w:sz="2" w:space="0" w:color="000000"/>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Corporate expense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26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7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ind w:left="0" w:right="0" w:hanging="0"/>
              <w:jc w:val="left"/>
              <w:rPr/>
            </w:pPr>
            <w:r>
              <w:rPr/>
              <w:t> </w:t>
            </w:r>
          </w:p>
        </w:tc>
        <w:tc>
          <w:tcPr>
            <w:tcW w:w="29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(27</w:t>
            </w:r>
          </w:p>
        </w:tc>
        <w:tc>
          <w:tcPr>
            <w:tcW w:w="166"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2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8" w:type="dxa"/>
            <w:gridSpan w:val="2"/>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(60</w:t>
            </w:r>
          </w:p>
        </w:tc>
        <w:tc>
          <w:tcPr>
            <w:tcW w:w="18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3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2" w:type="dxa"/>
            <w:gridSpan w:val="2"/>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Corporate expense consists of unallocated general and administrative expenses as well as depreciation and amortization related to our corporate headquarters, centrally managed departments, unallocated insurance and benefit programs, certain foreign exchange transaction gains and losses, and other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Corporate expense decreased by $27 million and $60 million for the thirteen and twenty-six weeks ended July 29, 2023, as compared with the corresponding prior-year periods. Depreciation and amortization included in corporate expense was $9 million and $10 million for the thirteen weeks ended July 29, 2023 and July 30, 2022, respectively and $18 million and $19 million for the year-to-date periods, respectively. Corporate expense decreased primarily due to an increase in the allocation of corporate expense to the banners in 2023 and lower incentive compensation, including share-based compensation that is tied to performance, partially offset by our ongoing investments in information technology.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sz w:val="20"/>
          <w:u w:val="single"/>
        </w:rPr>
      </w:pPr>
      <w:r>
        <w:rPr>
          <w:rFonts w:ascii="Arial;Helvetica;sans-serif" w:hAnsi="Arial;Helvetica;sans-serif"/>
          <w:i/>
          <w:sz w:val="20"/>
          <w:u w:val="single"/>
        </w:rPr>
        <w:t>Operating Results</w:t>
      </w:r>
    </w:p>
    <w:p>
      <w:pPr>
        <w:pStyle w:val="TextBody"/>
        <w:bidi w:val="0"/>
        <w:spacing w:before="0" w:after="0"/>
        <w:ind w:left="0" w:right="0" w:hanging="0"/>
        <w:jc w:val="left"/>
        <w:rPr>
          <w:caps w:val="false"/>
          <w:smallCaps w:val="false"/>
        </w:rPr>
      </w:pPr>
      <w:r>
        <w:rPr>
          <w:caps w:val="false"/>
          <w:smallCaps w:val="false"/>
        </w:rPr>
        <w:t> </w:t>
      </w:r>
    </w:p>
    <w:tbl>
      <w:tblPr>
        <w:tblW w:w="6245" w:type="dxa"/>
        <w:jc w:val="left"/>
        <w:tblInd w:w="0" w:type="dxa"/>
        <w:tblLayout w:type="fixed"/>
        <w:tblCellMar>
          <w:top w:w="0" w:type="dxa"/>
          <w:left w:w="0" w:type="dxa"/>
          <w:bottom w:w="28" w:type="dxa"/>
          <w:right w:w="0" w:type="dxa"/>
        </w:tblCellMar>
      </w:tblPr>
      <w:tblGrid>
        <w:gridCol w:w="1745"/>
        <w:gridCol w:w="60"/>
        <w:gridCol w:w="214"/>
        <w:gridCol w:w="471"/>
        <w:gridCol w:w="317"/>
        <w:gridCol w:w="102"/>
        <w:gridCol w:w="214"/>
        <w:gridCol w:w="574"/>
        <w:gridCol w:w="185"/>
        <w:gridCol w:w="60"/>
        <w:gridCol w:w="219"/>
        <w:gridCol w:w="586"/>
        <w:gridCol w:w="324"/>
        <w:gridCol w:w="105"/>
        <w:gridCol w:w="219"/>
        <w:gridCol w:w="665"/>
        <w:gridCol w:w="185"/>
      </w:tblGrid>
      <w:tr>
        <w:trPr/>
        <w:tc>
          <w:tcPr>
            <w:tcW w:w="174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8"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8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317"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ind w:left="0" w:right="0" w:hanging="0"/>
              <w:jc w:val="left"/>
              <w:rPr/>
            </w:pPr>
            <w:r>
              <w:rPr/>
              <w:t> </w:t>
            </w:r>
          </w:p>
        </w:tc>
        <w:tc>
          <w:tcPr>
            <w:tcW w:w="788"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0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324"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88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317" w:type="dxa"/>
            <w:tcBorders>
              <w:bottom w:val="single" w:sz="2" w:space="0" w:color="000000"/>
            </w:tcBorders>
            <w:shd w:fill="FFFFFF" w:val="clear"/>
            <w:vAlign w:val="center"/>
          </w:tcPr>
          <w:p>
            <w:pPr>
              <w:pStyle w:val="TableContents"/>
              <w:bidi w:val="0"/>
              <w:spacing w:before="0" w:after="283"/>
              <w:jc w:val="left"/>
              <w:rPr/>
            </w:pPr>
            <w:r>
              <w:rPr/>
              <w:t> </w:t>
            </w:r>
          </w:p>
        </w:tc>
        <w:tc>
          <w:tcPr>
            <w:tcW w:w="10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324"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8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Division profit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7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21</w:t>
            </w:r>
          </w:p>
        </w:tc>
        <w:tc>
          <w:tcPr>
            <w:tcW w:w="317"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ind w:left="0" w:right="0" w:hanging="0"/>
              <w:jc w:val="left"/>
              <w:rPr/>
            </w:pPr>
            <w:r>
              <w:rPr/>
              <w:t> </w:t>
            </w:r>
          </w:p>
        </w:tc>
        <w:tc>
          <w:tcPr>
            <w:tcW w:w="21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187</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125</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21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450</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Division profit margin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7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1.1</w:t>
            </w:r>
          </w:p>
        </w:tc>
        <w:tc>
          <w:tcPr>
            <w:tcW w:w="317"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2" w:type="dxa"/>
            <w:tcBorders>
              <w:bottom w:val="single" w:sz="2" w:space="0" w:color="000000"/>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9.1</w:t>
            </w:r>
          </w:p>
        </w:tc>
        <w:tc>
          <w:tcPr>
            <w:tcW w:w="18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3.3</w:t>
            </w:r>
          </w:p>
        </w:tc>
        <w:tc>
          <w:tcPr>
            <w:tcW w:w="324"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10.6</w:t>
            </w:r>
          </w:p>
        </w:tc>
        <w:tc>
          <w:tcPr>
            <w:tcW w:w="18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Division profit margin, as a percentage of sales, decreased to 1.1% and 3.3% for the thirteen and twenty-six weeks ended July 29, 2023, respectively, with both channels experiencing declines in sales coupled with lower gross margins due to the promotional environment and deleveraging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Interest Expense, Net</w:t>
      </w:r>
    </w:p>
    <w:p>
      <w:pPr>
        <w:pStyle w:val="TextBody"/>
        <w:bidi w:val="0"/>
        <w:spacing w:before="0" w:after="0"/>
        <w:ind w:left="0" w:right="0" w:hanging="0"/>
        <w:jc w:val="left"/>
        <w:rPr>
          <w:caps w:val="false"/>
          <w:smallCaps w:val="false"/>
        </w:rPr>
      </w:pPr>
      <w:r>
        <w:rPr>
          <w:caps w:val="false"/>
          <w:smallCaps w:val="false"/>
        </w:rPr>
        <w:t> </w:t>
      </w:r>
    </w:p>
    <w:tbl>
      <w:tblPr>
        <w:tblW w:w="6859" w:type="dxa"/>
        <w:jc w:val="left"/>
        <w:tblInd w:w="0" w:type="dxa"/>
        <w:tblLayout w:type="fixed"/>
        <w:tblCellMar>
          <w:top w:w="0" w:type="dxa"/>
          <w:left w:w="0" w:type="dxa"/>
          <w:bottom w:w="28" w:type="dxa"/>
          <w:right w:w="0" w:type="dxa"/>
        </w:tblCellMar>
      </w:tblPr>
      <w:tblGrid>
        <w:gridCol w:w="2570"/>
        <w:gridCol w:w="60"/>
        <w:gridCol w:w="311"/>
        <w:gridCol w:w="461"/>
        <w:gridCol w:w="199"/>
        <w:gridCol w:w="149"/>
        <w:gridCol w:w="311"/>
        <w:gridCol w:w="461"/>
        <w:gridCol w:w="80"/>
        <w:gridCol w:w="60"/>
        <w:gridCol w:w="273"/>
        <w:gridCol w:w="633"/>
        <w:gridCol w:w="174"/>
        <w:gridCol w:w="131"/>
        <w:gridCol w:w="273"/>
        <w:gridCol w:w="633"/>
        <w:gridCol w:w="80"/>
      </w:tblGrid>
      <w:tr>
        <w:trPr/>
        <w:tc>
          <w:tcPr>
            <w:tcW w:w="257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7"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2"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ind w:left="0" w:right="0" w:hanging="0"/>
              <w:jc w:val="left"/>
              <w:rPr/>
            </w:pPr>
            <w:r>
              <w:rPr/>
              <w:t> </w:t>
            </w:r>
          </w:p>
        </w:tc>
        <w:tc>
          <w:tcPr>
            <w:tcW w:w="772"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6"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ind w:left="0" w:right="0" w:hanging="0"/>
              <w:jc w:val="left"/>
              <w:rPr/>
            </w:pPr>
            <w:r>
              <w:rPr/>
              <w:t> </w:t>
            </w:r>
          </w:p>
        </w:tc>
        <w:tc>
          <w:tcPr>
            <w:tcW w:w="906"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99" w:type="dxa"/>
            <w:tcBorders>
              <w:bottom w:val="single" w:sz="2" w:space="0" w:color="000000"/>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74"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expense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199"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49" w:type="dxa"/>
            <w:tcBorders/>
            <w:shd w:fill="CCEEFF" w:val="clear"/>
            <w:tcMar>
              <w:bottom w:w="0" w:type="dxa"/>
            </w:tcMar>
            <w:vAlign w:val="center"/>
          </w:tcPr>
          <w:p>
            <w:pPr>
              <w:pStyle w:val="TableContents"/>
              <w:bidi w:val="0"/>
              <w:spacing w:before="0" w:after="283"/>
              <w:ind w:left="0" w:right="0" w:hanging="0"/>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(11</w:t>
            </w:r>
          </w:p>
        </w:tc>
        <w:tc>
          <w:tcPr>
            <w:tcW w:w="174"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31" w:type="dxa"/>
            <w:tcBorders/>
            <w:shd w:fill="CCEEFF" w:val="clear"/>
            <w:tcMar>
              <w:bottom w:w="0" w:type="dxa"/>
            </w:tcMar>
            <w:vAlign w:val="center"/>
          </w:tcPr>
          <w:p>
            <w:pPr>
              <w:pStyle w:val="TableContents"/>
              <w:bidi w:val="0"/>
              <w:spacing w:before="0" w:after="283"/>
              <w:ind w:left="0" w:right="0" w:hanging="0"/>
              <w:jc w:val="left"/>
              <w:rPr/>
            </w:pPr>
            <w:r>
              <w:rPr/>
              <w:t> </w:t>
            </w:r>
          </w:p>
        </w:tc>
        <w:tc>
          <w:tcPr>
            <w:tcW w:w="27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5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199" w:type="dxa"/>
            <w:tcBorders>
              <w:bottom w:val="single" w:sz="2" w:space="0" w:color="000000"/>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vAlign w:val="center"/>
          </w:tcPr>
          <w:p>
            <w:pPr>
              <w:pStyle w:val="TableContents"/>
              <w:bidi w:val="0"/>
              <w:spacing w:before="0" w:after="283"/>
              <w:jc w:val="left"/>
              <w:rPr/>
            </w:pPr>
            <w:r>
              <w:rPr/>
              <w:t> </w:t>
            </w:r>
          </w:p>
        </w:tc>
        <w:tc>
          <w:tcPr>
            <w:tcW w:w="3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w:t>
            </w:r>
          </w:p>
        </w:tc>
        <w:tc>
          <w:tcPr>
            <w:tcW w:w="174"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7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(expense) / income, net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1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w:t>
            </w:r>
          </w:p>
        </w:tc>
        <w:tc>
          <w:tcPr>
            <w:tcW w:w="199"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4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1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1"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3"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w:t>
            </w:r>
          </w:p>
        </w:tc>
        <w:tc>
          <w:tcPr>
            <w:tcW w:w="174"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31"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3"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Interest expense for both the quarter and year-to-date period decreased primarily due to an increase in interest income earned on our cash and cash equivalents related to higher interest rates and income from our cross-currency swap.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Other Income / (Expense), Net</w:t>
      </w:r>
    </w:p>
    <w:p>
      <w:pPr>
        <w:pStyle w:val="TextBody"/>
        <w:bidi w:val="0"/>
        <w:spacing w:before="0" w:after="0"/>
        <w:ind w:left="0" w:right="0" w:hanging="0"/>
        <w:jc w:val="left"/>
        <w:rPr>
          <w:caps w:val="false"/>
          <w:smallCaps w:val="false"/>
        </w:rPr>
      </w:pPr>
      <w:r>
        <w:rPr>
          <w:caps w:val="false"/>
          <w:smallCaps w:val="false"/>
        </w:rPr>
        <w:t> </w:t>
      </w:r>
    </w:p>
    <w:tbl>
      <w:tblPr>
        <w:tblW w:w="6743" w:type="dxa"/>
        <w:jc w:val="left"/>
        <w:tblInd w:w="0" w:type="dxa"/>
        <w:tblLayout w:type="fixed"/>
        <w:tblCellMar>
          <w:top w:w="0" w:type="dxa"/>
          <w:left w:w="0" w:type="dxa"/>
          <w:bottom w:w="28" w:type="dxa"/>
          <w:right w:w="0" w:type="dxa"/>
        </w:tblCellMar>
      </w:tblPr>
      <w:tblGrid>
        <w:gridCol w:w="2420"/>
        <w:gridCol w:w="60"/>
        <w:gridCol w:w="313"/>
        <w:gridCol w:w="652"/>
        <w:gridCol w:w="150"/>
        <w:gridCol w:w="150"/>
        <w:gridCol w:w="340"/>
        <w:gridCol w:w="340"/>
        <w:gridCol w:w="60"/>
        <w:gridCol w:w="60"/>
        <w:gridCol w:w="305"/>
        <w:gridCol w:w="453"/>
        <w:gridCol w:w="194"/>
        <w:gridCol w:w="145"/>
        <w:gridCol w:w="305"/>
        <w:gridCol w:w="716"/>
        <w:gridCol w:w="80"/>
      </w:tblGrid>
      <w:tr>
        <w:trPr/>
        <w:tc>
          <w:tcPr>
            <w:tcW w:w="242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945"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8"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6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pPr>
            <w:r>
              <w:rPr/>
              <w:t> </w:t>
            </w:r>
          </w:p>
        </w:tc>
        <w:tc>
          <w:tcPr>
            <w:tcW w:w="68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8"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94"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ind w:left="0" w:right="0" w:hanging="0"/>
              <w:jc w:val="left"/>
              <w:rPr/>
            </w:pPr>
            <w:r>
              <w:rPr/>
              <w:t> </w:t>
            </w:r>
          </w:p>
        </w:tc>
        <w:tc>
          <w:tcPr>
            <w:tcW w:w="1021"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50" w:type="dxa"/>
            <w:tcBorders>
              <w:bottom w:val="single" w:sz="2" w:space="0" w:color="000000"/>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94" w:type="dxa"/>
            <w:tcBorders>
              <w:bottom w:val="single" w:sz="2" w:space="0" w:color="000000"/>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1"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2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 (expense), net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13"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5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150" w:type="dxa"/>
            <w:tcBorders>
              <w:bottom w:val="single" w:sz="2" w:space="0" w:color="000000"/>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4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4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0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53"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w:t>
            </w:r>
          </w:p>
        </w:tc>
        <w:tc>
          <w:tcPr>
            <w:tcW w:w="194"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4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0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1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This caption includes non-operating items, including changes in fair value of minority investments measured at fair value or using the fair value measurement alternative, changes in the market value of our available-for-sale security, our share of earnings or losses related to our equity method investments, and net benefit / (expense) related to our pension and postretirement programs excluding the service cost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thirteen and twenty-six weeks ended July 29, 2023 reflected expense of $2 million and $4 million, respectively, related to our pension and postretirement programs, offset by a $2 million gain on the sale of our Foot Locker Singapore and Malaysia businesses to our license partner in the second quarter. The corresponding prior-year periods primarily represented a decrease in the fair value of our former investment in Retailors, Ltd., offset by an $18 million gain on the divestiture of the Eastbay Team Sales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Second Quarter 2023 Form 10-Q Page 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Income Taxes</w:t>
      </w:r>
    </w:p>
    <w:p>
      <w:pPr>
        <w:pStyle w:val="TextBody"/>
        <w:bidi w:val="0"/>
        <w:spacing w:before="0" w:after="0"/>
        <w:ind w:left="0" w:right="0" w:hanging="0"/>
        <w:jc w:val="left"/>
        <w:rPr>
          <w:caps w:val="false"/>
          <w:smallCaps w:val="false"/>
        </w:rPr>
      </w:pPr>
      <w:r>
        <w:rPr>
          <w:caps w:val="false"/>
          <w:smallCaps w:val="false"/>
        </w:rPr>
        <w:t> </w:t>
      </w:r>
    </w:p>
    <w:tbl>
      <w:tblPr>
        <w:tblW w:w="6664" w:type="dxa"/>
        <w:jc w:val="left"/>
        <w:tblInd w:w="0" w:type="dxa"/>
        <w:tblLayout w:type="fixed"/>
        <w:tblCellMar>
          <w:top w:w="0" w:type="dxa"/>
          <w:left w:w="0" w:type="dxa"/>
          <w:bottom w:w="28" w:type="dxa"/>
          <w:right w:w="0" w:type="dxa"/>
        </w:tblCellMar>
      </w:tblPr>
      <w:tblGrid>
        <w:gridCol w:w="2165"/>
        <w:gridCol w:w="60"/>
        <w:gridCol w:w="172"/>
        <w:gridCol w:w="606"/>
        <w:gridCol w:w="337"/>
        <w:gridCol w:w="82"/>
        <w:gridCol w:w="172"/>
        <w:gridCol w:w="523"/>
        <w:gridCol w:w="185"/>
        <w:gridCol w:w="60"/>
        <w:gridCol w:w="211"/>
        <w:gridCol w:w="641"/>
        <w:gridCol w:w="312"/>
        <w:gridCol w:w="101"/>
        <w:gridCol w:w="211"/>
        <w:gridCol w:w="641"/>
        <w:gridCol w:w="185"/>
      </w:tblGrid>
      <w:tr>
        <w:trPr/>
        <w:tc>
          <w:tcPr>
            <w:tcW w:w="216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Thirteen weeks ended</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7"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16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8"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337"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2"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312"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c>
          <w:tcPr>
            <w:tcW w:w="852"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16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337"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312" w:type="dxa"/>
            <w:tcBorders>
              <w:bottom w:val="single" w:sz="2" w:space="0" w:color="000000"/>
            </w:tcBorders>
            <w:shd w:fill="FFFFFF" w:val="clear"/>
            <w:vAlign w:val="center"/>
          </w:tcPr>
          <w:p>
            <w:pPr>
              <w:pStyle w:val="TableContents"/>
              <w:bidi w:val="0"/>
              <w:spacing w:before="0" w:after="283"/>
              <w:jc w:val="left"/>
              <w:rPr/>
            </w:pPr>
            <w:r>
              <w:rPr/>
              <w:t> </w:t>
            </w:r>
          </w:p>
        </w:tc>
        <w:tc>
          <w:tcPr>
            <w:tcW w:w="10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Provision for income taxes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w:t>
            </w:r>
          </w:p>
        </w:tc>
        <w:tc>
          <w:tcPr>
            <w:tcW w:w="337"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2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49</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4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23</w:t>
            </w:r>
          </w:p>
        </w:tc>
        <w:tc>
          <w:tcPr>
            <w:tcW w:w="312"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ind w:left="0" w:right="0" w:hanging="0"/>
              <w:jc w:val="left"/>
              <w:rPr/>
            </w:pPr>
            <w:r>
              <w:rPr/>
              <w:t> </w:t>
            </w:r>
          </w:p>
        </w:tc>
        <w:tc>
          <w:tcPr>
            <w:tcW w:w="21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4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107</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Effective tax rate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(98.5</w:t>
            </w:r>
          </w:p>
        </w:tc>
        <w:tc>
          <w:tcPr>
            <w:tcW w:w="337"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34.5</w:t>
            </w:r>
          </w:p>
        </w:tc>
        <w:tc>
          <w:tcPr>
            <w:tcW w:w="18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42.7</w:t>
            </w:r>
          </w:p>
        </w:tc>
        <w:tc>
          <w:tcPr>
            <w:tcW w:w="312"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1" w:type="dxa"/>
            <w:tcBorders>
              <w:bottom w:val="single" w:sz="2" w:space="0" w:color="000000"/>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32.1</w:t>
            </w:r>
          </w:p>
        </w:tc>
        <w:tc>
          <w:tcPr>
            <w:tcW w:w="18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Our current year interim provision for income taxes was measured using an estimated annual effective tax rate, which represented a blend of federal, state, and foreign taxes and included the effect of certain nondeductible items as well as changes in our mix of domestic and foreign earnings or losses, adjusted for discrete items that occurred within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We regularly assess the adequacy of our provisions for income tax contingencies in accordance with applicable authoritative guidance on accounting for income taxes. As a result, we may adjust the reserves for unrecognized tax benefits considering new facts and developments, such as changes to interpretations of relevant tax law, assessments from taxing authorities, settlements with taxing authorities, and lapses of statutes of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During the twenty-six weeks ended July 29, 2023, we recorded a $4 million reserve release from a statute of limitations expiration on our foreign income taxes. Excluding this item, and other insignificant reserve releases due to settlements of international tax examinations, the effective tax rate for the current year period increased, as compared with the corresponding prior-year period, primarily due to the decline in income before tax and a change in geographic mix of earnings.</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i/>
          <w:caps w:val="false"/>
          <w:smallCaps w:val="false"/>
          <w:sz w:val="20"/>
          <w:u w:val="single"/>
        </w:rPr>
      </w:pPr>
      <w:r>
        <w:rPr>
          <w:rFonts w:ascii="arial" w:hAnsi="arial"/>
          <w:i/>
          <w:caps w:val="false"/>
          <w:smallCaps w:val="false"/>
          <w:sz w:val="20"/>
          <w:u w:val="single"/>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Our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including strategic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We generally finance real estate with operating leases. We believe our cash, cash equivalents, future cash flow from operations, and amounts available under our credit agreement will be adequate to fund these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may also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strategic considerations, and other factors. The amounts involved may be material. As of July 29, 2023, approximately $1,103 million remained available under our current $1.2 billion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full-year capital spending is expected to be $265 million. The forecast includes $200 million related to the remodeling or relocation of approximately 200 existing stores and the opening of approximately 80 new stores, including 25 WSS stores. Additionally, we expect to spend $65 million for the development of information systems, websites, and infrastructure, including supply chain initiatives. We also expect to spend an additional $25 million in software-as-a-service contracts related to our technology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On August 15, 2023, the Board of Directors declared a quarterly cash dividend on our common stock of $0.40 per share, which will be payable on October 27, 2023 to shareholders on record as of October 13, 2023. The Board of Directors regularly reviews the dividend policy and rate. Given the current environment and in order to provide us with flexibility, the Board of Directors has decided to pause the dividend program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Second Quarter 2023 Form 10-Q Page 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material adverse change in customer demand, fashion trends, competitive market forces, or customer acceptance of our merchandise mix, retail locations and websites,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as well as other factors listed under the headings “Disclosure Regarding Forward-Looking Statements,” and “Risk Factors” could affect our ability to continue to fund our needs from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u w:val="single"/>
        </w:rPr>
      </w:pPr>
      <w:r>
        <w:rPr>
          <w:rFonts w:ascii="arial" w:hAnsi="arial"/>
          <w:i/>
          <w:caps w:val="false"/>
          <w:smallCaps w:val="false"/>
          <w:sz w:val="20"/>
          <w:u w:val="single"/>
        </w:rPr>
        <w:t>Operating Activities</w:t>
      </w:r>
    </w:p>
    <w:p>
      <w:pPr>
        <w:pStyle w:val="TextBody"/>
        <w:bidi w:val="0"/>
        <w:spacing w:before="0" w:after="0"/>
        <w:ind w:left="0" w:right="0" w:hanging="0"/>
        <w:jc w:val="left"/>
        <w:rPr>
          <w:caps w:val="false"/>
          <w:smallCaps w:val="false"/>
        </w:rPr>
      </w:pPr>
      <w:r>
        <w:rPr>
          <w:caps w:val="false"/>
          <w:smallCaps w:val="false"/>
        </w:rPr>
        <w:t> </w:t>
      </w:r>
    </w:p>
    <w:tbl>
      <w:tblPr>
        <w:tblW w:w="5216" w:type="dxa"/>
        <w:jc w:val="left"/>
        <w:tblInd w:w="0" w:type="dxa"/>
        <w:tblLayout w:type="fixed"/>
        <w:tblCellMar>
          <w:top w:w="0" w:type="dxa"/>
          <w:left w:w="0" w:type="dxa"/>
          <w:bottom w:w="28" w:type="dxa"/>
          <w:right w:w="0" w:type="dxa"/>
        </w:tblCellMar>
      </w:tblPr>
      <w:tblGrid>
        <w:gridCol w:w="2960"/>
        <w:gridCol w:w="60"/>
        <w:gridCol w:w="224"/>
        <w:gridCol w:w="709"/>
        <w:gridCol w:w="143"/>
        <w:gridCol w:w="107"/>
        <w:gridCol w:w="224"/>
        <w:gridCol w:w="709"/>
        <w:gridCol w:w="80"/>
      </w:tblGrid>
      <w:tr>
        <w:trPr/>
        <w:tc>
          <w:tcPr>
            <w:tcW w:w="296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3"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933"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43"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used in operating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(184</w:t>
            </w:r>
          </w:p>
        </w:tc>
        <w:tc>
          <w:tcPr>
            <w:tcW w:w="143"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shd w:fill="CCEEFF" w:val="clear"/>
            <w:tcMar>
              <w:bottom w:w="0" w:type="dxa"/>
            </w:tcMar>
            <w:vAlign w:val="center"/>
          </w:tcPr>
          <w:p>
            <w:pPr>
              <w:pStyle w:val="TableContents"/>
              <w:bidi w:val="0"/>
              <w:spacing w:before="0" w:after="283"/>
              <w:ind w:left="0" w:right="0" w:hanging="0"/>
              <w:jc w:val="left"/>
              <w:rPr/>
            </w:pPr>
            <w:r>
              <w:rPr/>
              <w:t> </w:t>
            </w:r>
          </w:p>
        </w:tc>
        <w:tc>
          <w:tcPr>
            <w:tcW w:w="22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(82</w:t>
            </w:r>
          </w:p>
        </w:tc>
        <w:tc>
          <w:tcPr>
            <w:tcW w:w="143"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0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3"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Operating activities reflects net income adjusted for non-cash items and working capital changes. Adjustments to net income for non-cash items include impairment charges, other charges, fair value adjustments to minority investments, depreciation and amortization, deferred income taxes, and share-based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decrease in cash from operating activities reflected lower net income, partially offset by timing of merchandise purchases and payments of accounts payable and accrued and other liabilities, as compared with the same period last year. The prior-year merchandise purchases were affected by the supply chain disruptions that occurred in the preceding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i/>
          <w:caps w:val="false"/>
          <w:smallCaps w:val="false"/>
          <w:sz w:val="20"/>
          <w:u w:val="single"/>
        </w:rPr>
      </w:pPr>
      <w:r>
        <w:rPr>
          <w:rFonts w:ascii="arial" w:hAnsi="arial"/>
          <w:i/>
          <w:caps w:val="false"/>
          <w:smallCaps w:val="false"/>
          <w:sz w:val="20"/>
          <w:u w:val="single"/>
        </w:rPr>
        <w:t>Investing Activities</w:t>
      </w:r>
    </w:p>
    <w:p>
      <w:pPr>
        <w:pStyle w:val="TextBody"/>
        <w:bidi w:val="0"/>
        <w:spacing w:before="0" w:after="0"/>
        <w:ind w:left="0" w:right="0" w:hanging="0"/>
        <w:jc w:val="left"/>
        <w:rPr>
          <w:caps w:val="false"/>
          <w:smallCaps w:val="false"/>
        </w:rPr>
      </w:pPr>
      <w:r>
        <w:rPr>
          <w:caps w:val="false"/>
          <w:smallCaps w:val="false"/>
        </w:rPr>
        <w:t> </w:t>
      </w:r>
    </w:p>
    <w:tbl>
      <w:tblPr>
        <w:tblW w:w="5171" w:type="dxa"/>
        <w:jc w:val="left"/>
        <w:tblInd w:w="0" w:type="dxa"/>
        <w:tblLayout w:type="fixed"/>
        <w:tblCellMar>
          <w:top w:w="0" w:type="dxa"/>
          <w:left w:w="0" w:type="dxa"/>
          <w:bottom w:w="28" w:type="dxa"/>
          <w:right w:w="0" w:type="dxa"/>
        </w:tblCellMar>
      </w:tblPr>
      <w:tblGrid>
        <w:gridCol w:w="2915"/>
        <w:gridCol w:w="60"/>
        <w:gridCol w:w="246"/>
        <w:gridCol w:w="571"/>
        <w:gridCol w:w="157"/>
        <w:gridCol w:w="118"/>
        <w:gridCol w:w="246"/>
        <w:gridCol w:w="778"/>
        <w:gridCol w:w="80"/>
      </w:tblGrid>
      <w:tr>
        <w:trPr/>
        <w:tc>
          <w:tcPr>
            <w:tcW w:w="291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1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17"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102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57" w:type="dxa"/>
            <w:tcBorders>
              <w:bottom w:val="single" w:sz="2" w:space="0" w:color="000000"/>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used in investing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(96</w:t>
            </w:r>
          </w:p>
        </w:tc>
        <w:tc>
          <w:tcPr>
            <w:tcW w:w="157"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24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7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46"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17</w:t>
            </w:r>
          </w:p>
        </w:tc>
        <w:tc>
          <w:tcPr>
            <w:tcW w:w="157" w:type="dxa"/>
            <w:tcBorders>
              <w:bottom w:val="single" w:sz="2" w:space="0" w:color="000000"/>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change in investing activities primarily reflected lower capital expenditures in the current year. For the twenty-six weeks ended July 29, 2023, capital expenditures decreased by $51 million to $105 million, as compared with the corresponding prior-year period. The prior year amount was elevated as several large projects related to 2021 were paid in the first quarter of 2022. This was partially offset by a decrease in proceeds from the sales of businesses. During the second quarter of 2023, we sold our businesses operating in Singapore and Malaysia for total cash consideration of $23 million and received proceeds of $18 million, or $10 million net of cash. The amounts are subject to the finalization of net working capital. The prior year amount represented the divestiture of Team Sales for total proceeds of $47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i/>
          <w:caps w:val="false"/>
          <w:smallCaps w:val="false"/>
          <w:sz w:val="20"/>
          <w:u w:val="single"/>
        </w:rPr>
      </w:pPr>
      <w:r>
        <w:rPr>
          <w:rFonts w:ascii="arial" w:hAnsi="arial"/>
          <w:i/>
          <w:caps w:val="false"/>
          <w:smallCaps w:val="false"/>
          <w:sz w:val="20"/>
          <w:u w:val="single"/>
        </w:rPr>
        <w:t>Financing Activities</w:t>
      </w:r>
    </w:p>
    <w:p>
      <w:pPr>
        <w:pStyle w:val="TextBody"/>
        <w:bidi w:val="0"/>
        <w:spacing w:before="0" w:after="0"/>
        <w:ind w:left="0" w:right="0" w:hanging="0"/>
        <w:jc w:val="left"/>
        <w:rPr>
          <w:caps w:val="false"/>
          <w:smallCaps w:val="false"/>
        </w:rPr>
      </w:pPr>
      <w:r>
        <w:rPr>
          <w:caps w:val="false"/>
          <w:smallCaps w:val="false"/>
        </w:rPr>
        <w:t> </w:t>
      </w:r>
    </w:p>
    <w:tbl>
      <w:tblPr>
        <w:tblW w:w="5187" w:type="dxa"/>
        <w:jc w:val="left"/>
        <w:tblInd w:w="0" w:type="dxa"/>
        <w:tblLayout w:type="fixed"/>
        <w:tblCellMar>
          <w:top w:w="0" w:type="dxa"/>
          <w:left w:w="0" w:type="dxa"/>
          <w:bottom w:w="28" w:type="dxa"/>
          <w:right w:w="0" w:type="dxa"/>
        </w:tblCellMar>
      </w:tblPr>
      <w:tblGrid>
        <w:gridCol w:w="2930"/>
        <w:gridCol w:w="60"/>
        <w:gridCol w:w="236"/>
        <w:gridCol w:w="634"/>
        <w:gridCol w:w="151"/>
        <w:gridCol w:w="113"/>
        <w:gridCol w:w="236"/>
        <w:gridCol w:w="747"/>
        <w:gridCol w:w="80"/>
      </w:tblGrid>
      <w:tr>
        <w:trPr/>
        <w:tc>
          <w:tcPr>
            <w:tcW w:w="293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7"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7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51"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983"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7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51" w:type="dxa"/>
            <w:tcBorders>
              <w:bottom w:val="single" w:sz="2" w:space="0" w:color="000000"/>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used in financing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(80</w:t>
            </w:r>
          </w:p>
        </w:tc>
        <w:tc>
          <w:tcPr>
            <w:tcW w:w="151"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23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4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3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36"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3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119</w:t>
            </w:r>
          </w:p>
        </w:tc>
        <w:tc>
          <w:tcPr>
            <w:tcW w:w="151" w:type="dxa"/>
            <w:tcBorders>
              <w:bottom w:val="single" w:sz="2" w:space="0" w:color="000000"/>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Cash used in financing activities was primarily related to our return to shareholders initiatives as follows:</w:t>
      </w:r>
    </w:p>
    <w:p>
      <w:pPr>
        <w:pStyle w:val="TextBody"/>
        <w:bidi w:val="0"/>
        <w:spacing w:before="0" w:after="0"/>
        <w:ind w:left="0" w:right="0" w:hanging="0"/>
        <w:jc w:val="left"/>
        <w:rPr>
          <w:caps w:val="false"/>
          <w:smallCaps w:val="false"/>
        </w:rPr>
      </w:pPr>
      <w:r>
        <w:rPr>
          <w:caps w:val="false"/>
          <w:smallCaps w:val="false"/>
        </w:rPr>
        <w:t> </w:t>
      </w:r>
    </w:p>
    <w:tbl>
      <w:tblPr>
        <w:tblW w:w="4956" w:type="dxa"/>
        <w:jc w:val="left"/>
        <w:tblInd w:w="0" w:type="dxa"/>
        <w:tblLayout w:type="fixed"/>
        <w:tblCellMar>
          <w:top w:w="0" w:type="dxa"/>
          <w:left w:w="0" w:type="dxa"/>
          <w:bottom w:w="28" w:type="dxa"/>
          <w:right w:w="0" w:type="dxa"/>
        </w:tblCellMar>
      </w:tblPr>
      <w:tblGrid>
        <w:gridCol w:w="2720"/>
        <w:gridCol w:w="60"/>
        <w:gridCol w:w="274"/>
        <w:gridCol w:w="571"/>
        <w:gridCol w:w="131"/>
        <w:gridCol w:w="131"/>
        <w:gridCol w:w="274"/>
        <w:gridCol w:w="735"/>
        <w:gridCol w:w="60"/>
      </w:tblGrid>
      <w:tr>
        <w:trPr/>
        <w:tc>
          <w:tcPr>
            <w:tcW w:w="272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Twenty-six weeks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29,</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ind w:left="0" w:right="0" w:hanging="0"/>
              <w:jc w:val="left"/>
              <w:rPr/>
            </w:pPr>
            <w:r>
              <w:rPr/>
              <w:t> </w:t>
            </w:r>
          </w:p>
        </w:tc>
        <w:tc>
          <w:tcPr>
            <w:tcW w:w="100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31"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Dividends paid on common stock</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75</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ind w:left="0" w:right="0" w:hanging="0"/>
              <w:jc w:val="left"/>
              <w:rPr/>
            </w:pPr>
            <w:r>
              <w:rPr/>
              <w:t> </w:t>
            </w:r>
          </w:p>
        </w:tc>
        <w:tc>
          <w:tcPr>
            <w:tcW w:w="27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 repurchases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1"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131"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2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returned to shareholders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75</w:t>
            </w:r>
          </w:p>
        </w:tc>
        <w:tc>
          <w:tcPr>
            <w:tcW w:w="131" w:type="dxa"/>
            <w:tcBorders>
              <w:bottom w:val="double" w:sz="6" w:space="0" w:color="000000"/>
            </w:tcBorders>
            <w:shd w:fill="CCEEFF" w:val="clear"/>
            <w:vAlign w:val="center"/>
          </w:tcPr>
          <w:p>
            <w:pPr>
              <w:pStyle w:val="TableContents"/>
              <w:bidi w:val="0"/>
              <w:spacing w:before="0" w:after="283"/>
              <w:jc w:val="left"/>
              <w:rPr/>
            </w:pPr>
            <w:r>
              <w:rPr/>
              <w:t> </w:t>
            </w:r>
          </w:p>
        </w:tc>
        <w:tc>
          <w:tcPr>
            <w:tcW w:w="131"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During the twenty-six weeks ended July 29, 2023, we did not repurchase any shares under our share repurchase program, whereas in the prior year we spent $129 million to repurchase shares. We declared and paid $75 million in dividends representing a quarterly rate of $0.40 per share in both the twenty-six weeks of 2023 and 2022. We paid $10 million and $1 million during the twenty-six weeks ended July 29, 2023 and July 30, 2022, respectively, to satisfy tax withholding obligations related to vesting of share-based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Second Quarter 2023 Form 10-Q Page 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There have been no significant changes to our critical accounting policies and estimates from the information provided in Item 7, “Management’s Discussion and Analysis of Financial Condition and Results of Operations,” within the 2022 Form 10</w:t>
        <w:noBreakHyphen/>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 xml:space="preserve">Descriptions of the recently issued and adopted accounting principles are included in Item 1. “Financial Statements” in Note 1, </w:t>
      </w:r>
      <w:r>
        <w:rPr>
          <w:rFonts w:ascii="arial" w:hAnsi="arial"/>
          <w:i/>
          <w:caps w:val="false"/>
          <w:smallCaps w:val="false"/>
          <w:sz w:val="20"/>
        </w:rPr>
        <w:t>Summary of Significant Accounting Policies</w:t>
      </w:r>
      <w:r>
        <w:rPr>
          <w:rFonts w:ascii="arial" w:hAnsi="arial"/>
          <w:caps w:val="false"/>
          <w:smallCaps w:val="false"/>
          <w:sz w:val="20"/>
        </w:rPr>
        <w:t>,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bookmarkStart w:id="11" w:name="Item_3_Quant"/>
      <w:bookmarkEnd w:id="11"/>
      <w:r>
        <w:rPr>
          <w:rFonts w:ascii="arial" w:hAnsi="arial"/>
          <w:b/>
          <w:i/>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There have been no significant changes in our primary risk exposures or management of market risks from the information provided in Part II, Item 7A, Quantitative and Qualitative Disclosures About Market Risk within the 2022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bookmarkStart w:id="12" w:name="item_four"/>
      <w:bookmarkEnd w:id="12"/>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Based on that evaluation, our CEO and CFO concluded that as of April 29, 2023, our disclosure controls and procedures were not effective due to the un-remediated material weaknesses in internal control over financial reporting related to certain ineffective general information technology controls over logical access and change management at our WSS business, which was previously disclosed in the Company's Annual Report on Form 10-K for the year ended January 28, 2023. For additional information, please refer to Part II - Item 9A. of the Company's Annual Report on Form 10-K for the year ended January 28,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caps w:val="false"/>
          <w:smallCaps w:val="false"/>
          <w:sz w:val="20"/>
        </w:rPr>
      </w:pPr>
      <w:r>
        <w:rPr>
          <w:rFonts w:ascii="arial" w:hAnsi="arial"/>
          <w:b/>
          <w:caps w:val="false"/>
          <w:smallCaps w:val="false"/>
          <w:sz w:val="20"/>
        </w:rPr>
        <w:t>Remediation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Management is in the process of implementing measures designed to ensure that the control deficiencies contributing to the material weaknesses are remediated, such that these controls are designed, implemented, and operating effectively. The remediation actions include: (i) designing and implementing controls related to deprovisioning, privileged access, and user access reviews, (ii) developing an enhanced risk assessment process to evaluate logical access, and (iii) improving the existing training program associated with control design and implementation. We believe that these actions will remediate the material weaknesses. Management began to implement certain of these remedial steps during the first and second quarters of 2023. The material weaknesses will not be considered remediated, however, until the applicable controls operate for a sufficient period of time and management has concluded, through testing, that these controls are operating effectively. We expect that the remediation of these material weaknesses will be completed prior to the end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caps w:val="false"/>
          <w:smallCaps w:val="false"/>
          <w:sz w:val="20"/>
        </w:rPr>
      </w:pPr>
      <w:r>
        <w:rPr>
          <w:rFonts w:ascii="arial" w:hAnsi="arial"/>
          <w:b/>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Other than the ongoing remediation efforts described above, there were no changes in our internal control over financial reporting (as defined in Rules 13a-15(f) and 15d-15(f) under the Exchange Act), during the quarter ended July 29, 2023,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Second Quarter 2023 Form 10-Q Page 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 w:hAnsi="arial"/>
          <w:b/>
          <w:caps w:val="false"/>
          <w:smallCaps w:val="false"/>
          <w:sz w:val="20"/>
        </w:rPr>
      </w:pPr>
      <w:r>
        <w:rPr>
          <w:rFonts w:ascii="arial" w:hAnsi="arial"/>
          <w:b/>
          <w:caps w:val="false"/>
          <w:smallCaps w:val="false"/>
          <w:sz w:val="20"/>
        </w:rPr>
        <w:t>Limitations on Effectiveness of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Because of its inherent limitations, 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Also, projections of any evaluation of effectiveness to future periods are subject to the risk that controls may become inadequate because of changes in conditions, or that the degree of compliance with the policies or procedures may deteriorate.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caps w:val="false"/>
          <w:smallCaps w:val="false"/>
          <w:sz w:val="20"/>
        </w:rPr>
      </w:pPr>
      <w:bookmarkStart w:id="13" w:name="part_ii"/>
      <w:bookmarkEnd w:id="13"/>
      <w:r>
        <w:rPr>
          <w:rFonts w:ascii="arial" w:hAnsi="arial"/>
          <w:b/>
          <w:caps w:val="false"/>
          <w:smallCaps w:val="false"/>
          <w:sz w:val="20"/>
        </w:rPr>
        <w:t>PART</w:t>
      </w:r>
      <w:r>
        <w:rPr>
          <w:rFonts w:ascii="arial" w:hAnsi="arial"/>
          <w:caps w:val="false"/>
          <w:smallCaps w:val="false"/>
          <w:sz w:val="20"/>
        </w:rPr>
        <w:t> </w:t>
      </w:r>
      <w:r>
        <w:rPr>
          <w:rFonts w:ascii="arial" w:hAnsi="arial"/>
          <w:b/>
          <w:caps w:val="false"/>
          <w:smallCaps w:val="false"/>
          <w:sz w:val="20"/>
        </w:rPr>
        <w:t>II</w:t>
      </w:r>
      <w:r>
        <w:rPr>
          <w:rFonts w:ascii="arial" w:hAnsi="arial"/>
          <w:caps w:val="false"/>
          <w:smallCaps w:val="false"/>
          <w:sz w:val="20"/>
        </w:rPr>
        <w:t> </w:t>
      </w:r>
      <w:r>
        <w:rPr>
          <w:rFonts w:ascii="arial" w:hAnsi="arial"/>
          <w:b/>
          <w:caps w:val="false"/>
          <w:smallCaps w:val="false"/>
          <w:sz w:val="20"/>
        </w:rPr>
        <w:t>-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bookmarkStart w:id="14" w:name="legal"/>
      <w:bookmarkEnd w:id="14"/>
      <w:r>
        <w:rPr>
          <w:rFonts w:ascii="arial" w:hAnsi="arial"/>
          <w:b/>
          <w:i/>
          <w:caps w:val="false"/>
          <w:smallCaps w:val="false"/>
          <w:sz w:val="20"/>
        </w:rPr>
        <w:t>Item</w:t>
      </w:r>
      <w:r>
        <w:rPr>
          <w:rFonts w:ascii="arial" w:hAnsi="arial"/>
          <w:caps w:val="false"/>
          <w:smallCaps w:val="false"/>
          <w:sz w:val="20"/>
        </w:rPr>
        <w:t> </w:t>
      </w:r>
      <w:r>
        <w:rPr>
          <w:rFonts w:ascii="arial" w:hAnsi="arial"/>
          <w:b/>
          <w:i/>
          <w:caps w:val="false"/>
          <w:smallCaps w:val="false"/>
          <w:sz w:val="20"/>
        </w:rPr>
        <w:t>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 xml:space="preserve">Information regarding the Company’s legal proceedings is contained in the </w:t>
      </w:r>
      <w:r>
        <w:rPr>
          <w:rFonts w:ascii="arial" w:hAnsi="arial"/>
          <w:i/>
          <w:caps w:val="false"/>
          <w:smallCaps w:val="false"/>
          <w:sz w:val="20"/>
        </w:rPr>
        <w:t>Legal Proceedings</w:t>
      </w:r>
      <w:r>
        <w:rPr>
          <w:rFonts w:ascii="arial" w:hAnsi="arial"/>
          <w:caps w:val="false"/>
          <w:smallCaps w:val="false"/>
          <w:sz w:val="20"/>
        </w:rPr>
        <w:t xml:space="preserve"> note under Item 1. “Financial Statements” in 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bookmarkStart w:id="15" w:name="risk"/>
      <w:bookmarkEnd w:id="15"/>
      <w:r>
        <w:rPr>
          <w:rFonts w:ascii="arial" w:hAnsi="arial"/>
          <w:b/>
          <w:i/>
          <w:caps w:val="false"/>
          <w:smallCaps w:val="false"/>
          <w:sz w:val="20"/>
        </w:rPr>
        <w:t>Item</w:t>
      </w:r>
      <w:r>
        <w:rPr>
          <w:rFonts w:ascii="arial" w:hAnsi="arial"/>
          <w:caps w:val="false"/>
          <w:smallCaps w:val="false"/>
          <w:sz w:val="20"/>
        </w:rPr>
        <w:t> </w:t>
      </w:r>
      <w:r>
        <w:rPr>
          <w:rFonts w:ascii="arial" w:hAnsi="arial"/>
          <w:b/>
          <w:i/>
          <w:caps w:val="false"/>
          <w:smallCaps w:val="false"/>
          <w:sz w:val="20"/>
        </w:rPr>
        <w:t>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In addition to the other information discussed in this report, the factors described in Part I, Item 1A. “Risk Factors” in our 2022 Annual Report on Form 10-K filed with the SEC on March 27, 2023 should be considered as they could materially affect our business, financial condition, or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There have not been any significant changes with respect to the risks described in our 2022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bookmarkStart w:id="16" w:name="unregistered"/>
      <w:bookmarkEnd w:id="16"/>
      <w:r>
        <w:rPr>
          <w:rFonts w:ascii="arial" w:hAnsi="arial"/>
          <w:b/>
          <w:i/>
          <w:caps w:val="false"/>
          <w:smallCaps w:val="false"/>
          <w:sz w:val="20"/>
        </w:rPr>
        <w:t>Item</w:t>
      </w:r>
      <w:r>
        <w:rPr>
          <w:rFonts w:ascii="arial" w:hAnsi="arial"/>
          <w:caps w:val="false"/>
          <w:smallCaps w:val="false"/>
          <w:sz w:val="20"/>
        </w:rPr>
        <w:t> </w:t>
      </w:r>
      <w:r>
        <w:rPr>
          <w:rFonts w:ascii="arial" w:hAnsi="arial"/>
          <w:b/>
          <w:i/>
          <w:caps w:val="false"/>
          <w:smallCaps w:val="false"/>
          <w:sz w:val="20"/>
        </w:rPr>
        <w:t>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The table below provides information with respect to shares of the Company’s common stock for the thirteen weeks ended July 29, 2023.</w:t>
      </w:r>
    </w:p>
    <w:p>
      <w:pPr>
        <w:pStyle w:val="TextBody"/>
        <w:bidi w:val="0"/>
        <w:spacing w:before="0" w:after="0"/>
        <w:ind w:left="0" w:right="0" w:hanging="0"/>
        <w:jc w:val="left"/>
        <w:rPr>
          <w:caps w:val="false"/>
          <w:smallCaps w:val="false"/>
        </w:rPr>
      </w:pPr>
      <w:r>
        <w:rPr>
          <w:caps w:val="false"/>
          <w:smallCaps w:val="false"/>
        </w:rPr>
        <w:t> ​</w:t>
      </w:r>
    </w:p>
    <w:tbl>
      <w:tblPr>
        <w:tblW w:w="7146" w:type="dxa"/>
        <w:jc w:val="left"/>
        <w:tblInd w:w="0" w:type="dxa"/>
        <w:tblLayout w:type="fixed"/>
        <w:tblCellMar>
          <w:top w:w="0" w:type="dxa"/>
          <w:left w:w="0" w:type="dxa"/>
          <w:bottom w:w="0" w:type="dxa"/>
          <w:right w:w="0" w:type="dxa"/>
        </w:tblCellMar>
      </w:tblPr>
      <w:tblGrid>
        <w:gridCol w:w="1775"/>
        <w:gridCol w:w="60"/>
        <w:gridCol w:w="136"/>
        <w:gridCol w:w="978"/>
        <w:gridCol w:w="60"/>
        <w:gridCol w:w="60"/>
        <w:gridCol w:w="148"/>
        <w:gridCol w:w="576"/>
        <w:gridCol w:w="60"/>
        <w:gridCol w:w="60"/>
        <w:gridCol w:w="310"/>
        <w:gridCol w:w="1359"/>
        <w:gridCol w:w="60"/>
        <w:gridCol w:w="60"/>
        <w:gridCol w:w="129"/>
        <w:gridCol w:w="1255"/>
        <w:gridCol w:w="60"/>
      </w:tblGrid>
      <w:tr>
        <w:trPr/>
        <w:tc>
          <w:tcPr>
            <w:tcW w:w="17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Total 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Dollar Value of</w:t>
            </w:r>
          </w:p>
        </w:tc>
        <w:tc>
          <w:tcPr>
            <w:tcW w:w="60" w:type="dxa"/>
            <w:tcBorders/>
            <w:shd w:fill="FFFF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Shares Purchased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Shares that may</w:t>
            </w:r>
          </w:p>
        </w:tc>
        <w:tc>
          <w:tcPr>
            <w:tcW w:w="60" w:type="dxa"/>
            <w:tcBorders/>
            <w:shd w:fill="FFFF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Part of Publicly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yet be Purchased</w:t>
            </w:r>
          </w:p>
        </w:tc>
        <w:tc>
          <w:tcPr>
            <w:tcW w:w="60" w:type="dxa"/>
            <w:tcBorders/>
            <w:shd w:fill="FFFF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Paid Per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Announced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Under the</w:t>
            </w:r>
          </w:p>
        </w:tc>
        <w:tc>
          <w:tcPr>
            <w:tcW w:w="60" w:type="dxa"/>
            <w:tcBorders/>
            <w:shd w:fill="FFFFFF" w:val="clear"/>
            <w:vAlign w:val="center"/>
          </w:tcPr>
          <w:p>
            <w:pPr>
              <w:pStyle w:val="TableContents"/>
              <w:bidi w:val="0"/>
              <w:spacing w:before="0" w:after="283"/>
              <w:jc w:val="left"/>
              <w:rPr/>
            </w:pPr>
            <w:r>
              <w:rPr/>
              <w:t> </w:t>
            </w:r>
          </w:p>
        </w:tc>
      </w:tr>
      <w:tr>
        <w:trPr/>
        <w:tc>
          <w:tcPr>
            <w:tcW w:w="17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Date Purchased</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Purchased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Share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Program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Program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April 30 to May 27, 2023</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135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255"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1,103,814,042</w:t>
            </w:r>
          </w:p>
        </w:tc>
        <w:tc>
          <w:tcPr>
            <w:tcW w:w="60" w:type="dxa"/>
            <w:tcBorders/>
            <w:shd w:fill="CCEE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May 28 to July 1, 2023</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78"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135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255"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1,103,814,042</w:t>
            </w:r>
          </w:p>
        </w:tc>
        <w:tc>
          <w:tcPr>
            <w:tcW w:w="60" w:type="dxa"/>
            <w:tcBorders/>
            <w:shd w:fill="FFFFFF" w:val="clear"/>
            <w:vAlign w:val="center"/>
          </w:tcPr>
          <w:p>
            <w:pPr>
              <w:pStyle w:val="TableContents"/>
              <w:bidi w:val="0"/>
              <w:spacing w:before="0" w:after="283"/>
              <w:jc w:val="left"/>
              <w:rPr/>
            </w:pPr>
            <w:r>
              <w:rPr/>
              <w:t> </w:t>
            </w:r>
          </w:p>
        </w:tc>
      </w:tr>
      <w:tr>
        <w:trPr/>
        <w:tc>
          <w:tcPr>
            <w:tcW w:w="17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July 2 to July 29, 2023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5,426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25.74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1,103,814,042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7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5,619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25.71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8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These columns include shares acquired in satisfaction of the tax withholding obligations of holders of restricted stock unit, which vested during the 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17" w:name="defaults"/>
      <w:bookmarkEnd w:id="17"/>
      <w:r>
        <w:rPr>
          <w:rFonts w:ascii="Arial;Helvetica;sans-serif" w:hAnsi="Arial;Helvetica;sans-serif"/>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18" w:name="mine"/>
      <w:bookmarkEnd w:id="18"/>
      <w:r>
        <w:rPr>
          <w:rFonts w:ascii="Arial;Helvetica;sans-serif" w:hAnsi="Arial;Helvetica;sans-serif"/>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9" w:name="other"/>
      <w:bookmarkEnd w:id="19"/>
      <w:r>
        <w:rPr>
          <w:rFonts w:ascii="Arial;Helvetica;sans-serif" w:hAnsi="Arial;Helvetica;sans-serif"/>
          <w:b/>
          <w:caps w:val="false"/>
          <w:smallCaps w:val="false"/>
          <w:sz w:val="20"/>
        </w:rPr>
        <w:t xml:space="preserve">Item </w:t>
      </w:r>
      <w:r>
        <w:rPr>
          <w:rStyle w:val="Emphasis"/>
          <w:rFonts w:ascii="Arial;Helvetica;sans-serif" w:hAnsi="Arial;Helvetica;sans-serif"/>
          <w:b/>
          <w:caps w:val="false"/>
          <w:smallCaps w:val="false"/>
          <w:sz w:val="20"/>
        </w:rPr>
        <w:t>5.</w:t>
      </w:r>
      <w:r>
        <w:rPr>
          <w:rFonts w:ascii="Arial;Helvetica;sans-serif" w:hAnsi="Arial;Helvetica;sans-serif"/>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During the quarter ended </w:t>
      </w:r>
      <w:r>
        <w:rPr>
          <w:rStyle w:val="Emphasis"/>
          <w:rFonts w:ascii="Arial;Helvetica;sans-serif" w:hAnsi="Arial;Helvetica;sans-serif"/>
          <w:caps w:val="false"/>
          <w:smallCaps w:val="false"/>
          <w:sz w:val="20"/>
        </w:rPr>
        <w:t>July 29, 2023</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director or officer (as defined in Rule </w:t>
      </w:r>
      <w:r>
        <w:rPr>
          <w:rStyle w:val="Emphasis"/>
          <w:rFonts w:ascii="Arial;Helvetica;sans-serif" w:hAnsi="Arial;Helvetica;sans-serif"/>
          <w:caps w:val="false"/>
          <w:smallCaps w:val="false"/>
          <w:sz w:val="20"/>
        </w:rPr>
        <w:t>16a</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(f) promulgated under the Exchange Act) of the Company adopted or terminated a "Rule </w:t>
      </w:r>
      <w:r>
        <w:rPr>
          <w:rStyle w:val="Emphasis"/>
          <w:rFonts w:ascii="Arial;Helvetica;sans-serif" w:hAnsi="Arial;Helvetica;sans-serif"/>
          <w:caps w:val="false"/>
          <w:smallCaps w:val="false"/>
          <w:sz w:val="20"/>
        </w:rPr>
        <w:t>10b5</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trading arrangement" or a "non-Rule </w:t>
      </w:r>
      <w:r>
        <w:rPr>
          <w:rStyle w:val="Emphasis"/>
          <w:rFonts w:ascii="Arial;Helvetica;sans-serif" w:hAnsi="Arial;Helvetica;sans-serif"/>
          <w:caps w:val="false"/>
          <w:smallCaps w:val="false"/>
          <w:sz w:val="20"/>
        </w:rPr>
        <w:t>10b5</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trading arrangement" (as each term is defined in Item </w:t>
      </w:r>
      <w:r>
        <w:rPr>
          <w:rStyle w:val="Emphasis"/>
          <w:rFonts w:ascii="Arial;Helvetica;sans-serif" w:hAnsi="Arial;Helvetica;sans-serif"/>
          <w:caps w:val="false"/>
          <w:smallCaps w:val="false"/>
          <w:sz w:val="20"/>
        </w:rPr>
        <w:t>408</w:t>
      </w:r>
      <w:r>
        <w:rPr>
          <w:rFonts w:ascii="Arial;Helvetica;sans-serif" w:hAnsi="Arial;Helvetica;sans-serif"/>
          <w:caps w:val="false"/>
          <w:smallCaps w:val="false"/>
          <w:sz w:val="20"/>
        </w:rPr>
        <w:t xml:space="preserve">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sz w:val="20"/>
        </w:rPr>
        <w:t xml:space="preserve">Second Quarter </w:t>
      </w: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-Q Page </w:t>
      </w:r>
      <w:r>
        <w:rPr>
          <w:rStyle w:val="Emphasis"/>
          <w:rFonts w:ascii="Arial;Helvetica;sans-serif" w:hAnsi="Arial;Helvetica;sans-serif"/>
          <w:sz w:val="20"/>
        </w:rPr>
        <w:t>24</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caps w:val="false"/>
          <w:smallCaps w:val="false"/>
          <w:sz w:val="20"/>
        </w:rPr>
      </w:pPr>
      <w:bookmarkStart w:id="20" w:name="exhibits"/>
      <w:bookmarkEnd w:id="20"/>
      <w:r>
        <w:rPr>
          <w:rFonts w:ascii="arial" w:hAnsi="arial"/>
          <w:b/>
          <w:i/>
          <w:caps w:val="false"/>
          <w:smallCaps w:val="false"/>
          <w:sz w:val="20"/>
        </w:rPr>
        <w:t>Item</w:t>
      </w:r>
      <w:r>
        <w:rPr>
          <w:rFonts w:ascii="arial" w:hAnsi="arial"/>
          <w:caps w:val="false"/>
          <w:smallCaps w:val="false"/>
          <w:sz w:val="20"/>
        </w:rPr>
        <w:t> </w:t>
      </w:r>
      <w:r>
        <w:rPr>
          <w:rFonts w:ascii="arial" w:hAnsi="arial"/>
          <w:b/>
          <w:i/>
          <w:caps w:val="false"/>
          <w:smallCaps w:val="false"/>
          <w:sz w:val="20"/>
        </w:rPr>
        <w:t>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70"/>
        <w:gridCol w:w="60"/>
        <w:gridCol w:w="9075"/>
      </w:tblGrid>
      <w:tr>
        <w:trPr/>
        <w:tc>
          <w:tcPr>
            <w:tcW w:w="1070"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Exhibit</w:t>
            </w:r>
            <w:r>
              <w:rPr>
                <w:rFonts w:ascii="Arial;Helvetica;sans-serif" w:hAnsi="Arial;Helvetica;sans-serif"/>
                <w:caps w:val="false"/>
                <w:smallCaps w:val="false"/>
                <w:sz w:val="20"/>
              </w:rPr>
              <w:t> </w:t>
            </w:r>
            <w:r>
              <w:rPr>
                <w:rFonts w:ascii="Arial;Helvetica;sans-serif" w:hAnsi="Arial;Helvetica;sans-serif"/>
                <w:b/>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907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Description</w:t>
            </w:r>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31.1*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pPr>
            <w:hyperlink w:anchor="ex_537747.htm">
              <w:r>
                <w:rPr>
                  <w:rStyle w:val="InternetLink"/>
                  <w:rFonts w:ascii="Arial;Helvetica;sans-serif" w:hAnsi="Arial;Helvetica;sans-serif"/>
                  <w:caps w:val="false"/>
                  <w:smallCaps w:val="false"/>
                  <w:sz w:val="20"/>
                </w:rPr>
                <w:t>Certification of Chief Executive Officer Pursuant to Rule 13a-14(a) or 15d-14(a), as adopted pursuant to Section 302 of the Sarbanes-Oxley Act of 2002.</w:t>
              </w:r>
            </w:hyperlink>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31.2*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pPr>
            <w:hyperlink w:anchor="ex_537748.htm">
              <w:r>
                <w:rPr>
                  <w:rStyle w:val="InternetLink"/>
                  <w:rFonts w:ascii="Arial;Helvetica;sans-serif" w:hAnsi="Arial;Helvetica;sans-serif"/>
                  <w:caps w:val="false"/>
                  <w:smallCaps w:val="false"/>
                  <w:sz w:val="20"/>
                </w:rPr>
                <w:t>Certification of Chief Financial Officer Pursuant to Rule 13a-14(a) or 15d-14(a), as adopted pursuant to Section 302 of the Sarbanes-Oxley Act of 2002.</w:t>
              </w:r>
            </w:hyperlink>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pPr>
            <w:hyperlink w:anchor="ex_537749.htm">
              <w:r>
                <w:rPr>
                  <w:rStyle w:val="InternetLink"/>
                  <w:rFonts w:ascii="Arial;Helvetica;sans-serif" w:hAnsi="Arial;Helvetica;sans-serif"/>
                  <w:caps w:val="false"/>
                  <w:smallCaps w:val="false"/>
                  <w:sz w:val="20"/>
                </w:rPr>
                <w:t>Certification of Chief Executive Officer and Chief Financial Officer Pursuant to 18 U.S.C. Section 1350, as adopted pursuant to Section 906 of the Sarbanes-Oxley Act of 2002.</w:t>
              </w:r>
            </w:hyperlink>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101.INS*</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Instance Document.</w:t>
            </w:r>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101.SCH*</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Schema.</w:t>
            </w:r>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101.CAL*</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Calculation Linkbase.</w:t>
            </w:r>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101.DEF*</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Definition Linkbase.</w:t>
            </w:r>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101.LAB*</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Label Linkbase.</w:t>
            </w:r>
          </w:p>
        </w:tc>
      </w:tr>
      <w:tr>
        <w:trPr/>
        <w:tc>
          <w:tcPr>
            <w:tcW w:w="107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101.PRE*</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Presentation Linkbase.</w:t>
            </w:r>
          </w:p>
        </w:tc>
      </w:tr>
      <w:tr>
        <w:trPr/>
        <w:tc>
          <w:tcPr>
            <w:tcW w:w="107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5" w:type="dxa"/>
            <w:tcBorders>
              <w:bottom w:val="single" w:sz="2" w:space="0" w:color="000000"/>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Cover Page Interactive Data File (embedded within the Inline XBRL datafile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18"/>
        </w:rPr>
      </w:pPr>
      <w:r>
        <w:rPr>
          <w:rFonts w:ascii="arial" w:hAnsi="arial"/>
          <w:caps w:val="false"/>
          <w:smallCaps w:val="false"/>
          <w:sz w:val="18"/>
        </w:rPr>
        <w:t>*   Filed herewith</w:t>
      </w:r>
    </w:p>
    <w:p>
      <w:pPr>
        <w:pStyle w:val="TextBody"/>
        <w:bidi w:val="0"/>
        <w:spacing w:before="0" w:after="0"/>
        <w:ind w:left="0" w:right="0" w:hanging="0"/>
        <w:jc w:val="left"/>
        <w:rPr>
          <w:rFonts w:ascii="arial" w:hAnsi="arial"/>
          <w:caps w:val="false"/>
          <w:smallCaps w:val="false"/>
          <w:sz w:val="18"/>
        </w:rPr>
      </w:pPr>
      <w:r>
        <w:rPr>
          <w:rFonts w:ascii="arial" w:hAnsi="arial"/>
          <w:caps w:val="false"/>
          <w:smallCaps w:val="false"/>
          <w:sz w:val="18"/>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Second Quarter 2023 Form 10-Q Page 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b/>
          <w:caps w:val="false"/>
          <w:smallCaps w:val="false"/>
          <w:sz w:val="20"/>
        </w:rPr>
      </w:pPr>
      <w:bookmarkStart w:id="21" w:name="sig"/>
      <w:bookmarkEnd w:id="21"/>
      <w:r>
        <w:rPr>
          <w:rFonts w:ascii="arial" w:hAnsi="arial"/>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caps w:val="false"/>
          <w:smallCaps w:val="false"/>
          <w:sz w:val="20"/>
        </w:rPr>
      </w:pPr>
      <w:r>
        <w:rPr>
          <w:rFonts w:ascii="arial" w:hAnsi="arial"/>
          <w:caps w:val="false"/>
          <w:smallCaps w:val="false"/>
          <w:sz w:val="20"/>
        </w:rPr>
        <w:t>Pursuant to the requirements of the Securities Exchange Act of 1934, the Company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2195"/>
        <w:gridCol w:w="4655"/>
      </w:tblGrid>
      <w:tr>
        <w:trPr/>
        <w:tc>
          <w:tcPr>
            <w:tcW w:w="219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Date: September 6, 2023</w:t>
            </w:r>
          </w:p>
        </w:tc>
        <w:tc>
          <w:tcPr>
            <w:tcW w:w="465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FOOT LOCKER, INC.</w:t>
            </w:r>
          </w:p>
        </w:tc>
      </w:tr>
      <w:tr>
        <w:trPr/>
        <w:tc>
          <w:tcPr>
            <w:tcW w:w="219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19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19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55" w:type="dxa"/>
            <w:tcBorders>
              <w:bottom w:val="single" w:sz="2" w:space="0" w:color="000000"/>
            </w:tcBorders>
            <w:tcMar>
              <w:bottom w:w="28"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/s/ Michael Baughn</w:t>
            </w:r>
          </w:p>
        </w:tc>
      </w:tr>
      <w:tr>
        <w:trPr/>
        <w:tc>
          <w:tcPr>
            <w:tcW w:w="219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5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MICHAEL BAUGHN</w:t>
            </w:r>
          </w:p>
        </w:tc>
      </w:tr>
      <w:tr>
        <w:trPr/>
        <w:tc>
          <w:tcPr>
            <w:tcW w:w="219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5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Executive Vice President and 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Arial;Helvetica;sans-serif" w:hAnsi="Arial;Helvetica;sans-serif"/>
          <w:sz w:val="20"/>
        </w:rPr>
      </w:pPr>
      <w:r>
        <w:rPr>
          <w:rFonts w:ascii="Arial;Helvetica;sans-serif" w:hAnsi="Arial;Helvetica;sans-serif"/>
          <w:sz w:val="20"/>
        </w:rPr>
        <w:t xml:space="preserve">Second Quarter 2023 Form 10-Q Page 26 </w:t>
      </w:r>
    </w:p>
    <w:p>
      <w:pPr>
        <w:pStyle w:val="TextBody"/>
        <w:bidi w:val="0"/>
        <w:spacing w:before="0" w:after="0"/>
        <w:ind w:left="580" w:right="0" w:hanging="0"/>
        <w:jc w:val="right"/>
        <w:rPr>
          <w:rFonts w:ascii="Arial;Helvetica;sans-serif" w:hAnsi="Arial;Helvetica;sans-serif"/>
          <w:b/>
          <w:caps w:val="false"/>
          <w:smallCaps w:val="false"/>
          <w:sz w:val="20"/>
        </w:rPr>
      </w:pPr>
      <w:bookmarkStart w:id="22" w:name="ex_537747.htm"/>
      <w:bookmarkStart w:id="23" w:name="ksex_537747"/>
      <w:bookmarkEnd w:id="22"/>
      <w:bookmarkEnd w:id="23"/>
      <w:r>
        <w:rPr>
          <w:rFonts w:ascii="Arial;Helvetica;sans-serif" w:hAnsi="Arial;Helvetica;sans-serif"/>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Mary N. Dillon, certify that:</w:t>
      </w:r>
    </w:p>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85"/>
        <w:gridCol w:w="7730"/>
      </w:tblGrid>
      <w:tr>
        <w:trPr/>
        <w:tc>
          <w:tcPr>
            <w:tcW w:w="18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773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have reviewed this quarterly report on Form 10-Q of Foot Locker, Inc.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1005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10056"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4.</w:t>
            </w:r>
          </w:p>
        </w:tc>
        <w:tc>
          <w:tcPr>
            <w:tcW w:w="1006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1000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1000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999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1000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5.</w:t>
            </w:r>
          </w:p>
        </w:tc>
        <w:tc>
          <w:tcPr>
            <w:tcW w:w="1005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999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998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1670"/>
        <w:gridCol w:w="3365"/>
      </w:tblGrid>
      <w:tr>
        <w:trPr/>
        <w:tc>
          <w:tcPr>
            <w:tcW w:w="167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bookmarkStart w:id="24" w:name="led391137F20233131681413828259"/>
            <w:bookmarkEnd w:id="24"/>
            <w:r>
              <w:rPr>
                <w:rFonts w:ascii="Arial;Helvetica;sans-serif" w:hAnsi="Arial;Helvetica;sans-serif"/>
                <w:caps w:val="false"/>
                <w:smallCaps w:val="false"/>
                <w:sz w:val="20"/>
              </w:rPr>
              <w:t>September 6, 2023</w:t>
            </w:r>
          </w:p>
        </w:tc>
        <w:tc>
          <w:tcPr>
            <w:tcW w:w="336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Mary N. Dillon </w:t>
            </w:r>
          </w:p>
        </w:tc>
      </w:tr>
      <w:tr>
        <w:trPr/>
        <w:tc>
          <w:tcPr>
            <w:tcW w:w="167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President and 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580" w:right="0" w:hanging="0"/>
        <w:jc w:val="right"/>
        <w:rPr>
          <w:rFonts w:ascii="Arial;Helvetica;sans-serif" w:hAnsi="Arial;Helvetica;sans-serif"/>
          <w:b/>
          <w:caps w:val="false"/>
          <w:smallCaps w:val="false"/>
          <w:sz w:val="20"/>
        </w:rPr>
      </w:pPr>
      <w:bookmarkStart w:id="25" w:name="ex_537748.htm"/>
      <w:bookmarkStart w:id="26" w:name="ksex_537748"/>
      <w:bookmarkEnd w:id="25"/>
      <w:bookmarkEnd w:id="26"/>
      <w:r>
        <w:rPr>
          <w:rFonts w:ascii="Arial;Helvetica;sans-serif" w:hAnsi="Arial;Helvetica;sans-serif"/>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Michael Baughn, certify that:</w:t>
      </w:r>
    </w:p>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85"/>
        <w:gridCol w:w="7730"/>
      </w:tblGrid>
      <w:tr>
        <w:trPr/>
        <w:tc>
          <w:tcPr>
            <w:tcW w:w="18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773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have reviewed this quarterly report on Form 10-Q of Foot Locker, Inc.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1005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10056"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4.</w:t>
            </w:r>
          </w:p>
        </w:tc>
        <w:tc>
          <w:tcPr>
            <w:tcW w:w="1006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1000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1000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999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1000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5.</w:t>
            </w:r>
          </w:p>
        </w:tc>
        <w:tc>
          <w:tcPr>
            <w:tcW w:w="1005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999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998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1670"/>
        <w:gridCol w:w="4655"/>
      </w:tblGrid>
      <w:tr>
        <w:trPr/>
        <w:tc>
          <w:tcPr>
            <w:tcW w:w="167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bookmarkStart w:id="27" w:name="led391137F20233131681413782347"/>
            <w:bookmarkEnd w:id="27"/>
            <w:r>
              <w:rPr>
                <w:rFonts w:ascii="Arial;Helvetica;sans-serif" w:hAnsi="Arial;Helvetica;sans-serif"/>
                <w:caps w:val="false"/>
                <w:smallCaps w:val="false"/>
                <w:sz w:val="20"/>
              </w:rPr>
              <w:t>September 6, 2023</w:t>
            </w:r>
          </w:p>
        </w:tc>
        <w:tc>
          <w:tcPr>
            <w:tcW w:w="465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465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Michael Baughn</w:t>
            </w:r>
          </w:p>
        </w:tc>
      </w:tr>
      <w:tr>
        <w:trPr/>
        <w:tc>
          <w:tcPr>
            <w:tcW w:w="167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Executive Vice President and 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Arial;Helvetica;sans-serif" w:hAnsi="Arial;Helvetica;sans-serif"/>
          <w:b/>
          <w:caps w:val="false"/>
          <w:smallCaps w:val="false"/>
          <w:sz w:val="20"/>
        </w:rPr>
      </w:pPr>
      <w:bookmarkStart w:id="28" w:name="ex_537749.htm"/>
      <w:bookmarkStart w:id="29" w:name="ksex_537749"/>
      <w:bookmarkEnd w:id="28"/>
      <w:bookmarkEnd w:id="29"/>
      <w:r>
        <w:rPr>
          <w:rFonts w:ascii="Arial;Helvetica;sans-serif" w:hAnsi="Arial;Helvetica;sans-serif"/>
          <w:b/>
          <w:caps w:val="false"/>
          <w:smallCaps w:val="false"/>
          <w:sz w:val="20"/>
        </w:rPr>
        <w:t>Exhibit 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FOOT LOCKER,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 PURSUANT TO</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18 U.S.C. SECTION 1350</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AS ADOPTED PURSUANT TO</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 connection with the Quarterly Report on Form 10-Q of Foot Locker, Inc. (the “Registrant”) for the quarterly period ended </w:t>
      </w:r>
      <w:bookmarkStart w:id="30" w:name="led391137F20233121681270030089"/>
      <w:bookmarkEnd w:id="30"/>
      <w:r>
        <w:rPr>
          <w:rFonts w:ascii="Arial;Helvetica;sans-serif" w:hAnsi="Arial;Helvetica;sans-serif"/>
          <w:caps w:val="false"/>
          <w:smallCaps w:val="false"/>
          <w:sz w:val="20"/>
        </w:rPr>
        <w:t>July 29, 2023, as filed with the Securities and Exchange Commission on the date hereof (the “Report”), Mary N. Dillon, as Chief Executive Officer of the Registrant and Michael Baughn, as Chief Financial Officer of the Registrant, each hereby certifies,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2"/>
        <w:gridCol w:w="9903"/>
      </w:tblGrid>
      <w:tr>
        <w:trPr/>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(1)</w:t>
            </w:r>
          </w:p>
        </w:tc>
        <w:tc>
          <w:tcPr>
            <w:tcW w:w="9903"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(2)</w:t>
            </w:r>
          </w:p>
        </w:tc>
        <w:tc>
          <w:tcPr>
            <w:tcW w:w="9914"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300"/>
        <w:gridCol w:w="4655"/>
      </w:tblGrid>
      <w:tr>
        <w:trPr/>
        <w:tc>
          <w:tcPr>
            <w:tcW w:w="23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Dated: </w:t>
            </w:r>
            <w:bookmarkStart w:id="31" w:name="led391137F20233131681413744665"/>
            <w:bookmarkEnd w:id="31"/>
            <w:r>
              <w:rPr>
                <w:rFonts w:ascii="Arial;Helvetica;sans-serif" w:hAnsi="Arial;Helvetica;sans-serif"/>
                <w:caps w:val="false"/>
                <w:smallCaps w:val="false"/>
                <w:sz w:val="20"/>
              </w:rPr>
              <w:t>September 6, 2023</w:t>
            </w:r>
          </w:p>
        </w:tc>
        <w:tc>
          <w:tcPr>
            <w:tcW w:w="465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465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Mary N. Dillon </w:t>
            </w:r>
          </w:p>
        </w:tc>
      </w:tr>
      <w:tr>
        <w:trPr/>
        <w:tc>
          <w:tcPr>
            <w:tcW w:w="230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Mary N. Dillon</w:t>
            </w:r>
          </w:p>
        </w:tc>
      </w:tr>
      <w:tr>
        <w:trPr/>
        <w:tc>
          <w:tcPr>
            <w:tcW w:w="230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President and Chief Executive Officer </w:t>
            </w:r>
          </w:p>
        </w:tc>
      </w:tr>
      <w:tr>
        <w:trPr/>
        <w:tc>
          <w:tcPr>
            <w:tcW w:w="23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300" w:type="dxa"/>
            <w:tcBorders/>
            <w:vAlign w:val="center"/>
          </w:tcPr>
          <w:p>
            <w:pPr>
              <w:pStyle w:val="TableContents"/>
              <w:bidi w:val="0"/>
              <w:spacing w:before="0" w:after="283"/>
              <w:jc w:val="left"/>
              <w:rPr/>
            </w:pPr>
            <w:r>
              <w:rPr/>
              <w:t> </w:t>
            </w:r>
          </w:p>
        </w:tc>
        <w:tc>
          <w:tcPr>
            <w:tcW w:w="465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Michael Baughn</w:t>
            </w:r>
          </w:p>
        </w:tc>
      </w:tr>
      <w:tr>
        <w:trPr/>
        <w:tc>
          <w:tcPr>
            <w:tcW w:w="230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Michael Baughn</w:t>
            </w:r>
          </w:p>
        </w:tc>
      </w:tr>
      <w:tr>
        <w:trPr/>
        <w:tc>
          <w:tcPr>
            <w:tcW w:w="230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Executive Vice President and 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14175</Words>
  <Characters>74455</Characters>
  <CharactersWithSpaces>91786</CharactersWithSpaces>
  <Paragraphs>9138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