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876935</wp:posOffset>
            </wp:positionH>
            <wp:positionV relativeFrom="page">
              <wp:posOffset>431800</wp:posOffset>
            </wp:positionV>
            <wp:extent cx="579501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95010" cy="34290"/>
                    </a:xfrm>
                    <a:prstGeom prst="rect">
                      <a:avLst/>
                    </a:prstGeom>
                    <a:noFill/>
                  </pic:spPr>
                </pic:pic>
              </a:graphicData>
            </a:graphic>
          </wp:anchor>
        </w:drawing>
        <w:drawing>
          <wp:anchor simplePos="0" relativeHeight="251657728" behindDoc="1" locked="0" layoutInCell="0" allowOverlap="1">
            <wp:simplePos x="0" y="0"/>
            <wp:positionH relativeFrom="page">
              <wp:posOffset>876935</wp:posOffset>
            </wp:positionH>
            <wp:positionV relativeFrom="page">
              <wp:posOffset>500380</wp:posOffset>
            </wp:positionV>
            <wp:extent cx="57950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501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 w:lineRule="exact"/>
        <w:rPr>
          <w:sz w:val="24"/>
          <w:szCs w:val="24"/>
          <w:color w:val="auto"/>
        </w:rPr>
      </w:pPr>
    </w:p>
    <w:p>
      <w:pPr>
        <w:ind w:left="580" w:hanging="356"/>
        <w:spacing w:after="0"/>
        <w:tabs>
          <w:tab w:leader="none" w:pos="58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2" w:lineRule="exact"/>
        <w:rPr>
          <w:rFonts w:ascii="MS PGothic" w:cs="MS PGothic" w:eastAsia="MS PGothic" w:hAnsi="MS PGothic"/>
          <w:sz w:val="16"/>
          <w:szCs w:val="16"/>
          <w:color w:val="auto"/>
          <w:highlight w:val="black"/>
        </w:rPr>
      </w:pPr>
    </w:p>
    <w:p>
      <w:pPr>
        <w:ind w:left="3020"/>
        <w:spacing w:after="0"/>
        <w:rPr>
          <w:rFonts w:ascii="MS PGothic" w:cs="MS PGothic" w:eastAsia="MS PGothic" w:hAnsi="MS PGothic"/>
          <w:sz w:val="16"/>
          <w:szCs w:val="16"/>
          <w:color w:val="auto"/>
          <w:highlight w:val="black"/>
        </w:rPr>
      </w:pPr>
      <w:r>
        <w:rPr>
          <w:rFonts w:ascii="Arial" w:cs="Arial" w:eastAsia="Arial" w:hAnsi="Arial"/>
          <w:sz w:val="16"/>
          <w:szCs w:val="16"/>
          <w:color w:val="auto"/>
        </w:rPr>
        <w:t>For the fiscal year ended January 29, 2022</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7" w:lineRule="exact"/>
        <w:rPr>
          <w:sz w:val="24"/>
          <w:szCs w:val="24"/>
          <w:color w:val="auto"/>
        </w:rPr>
      </w:pPr>
    </w:p>
    <w:p>
      <w:pPr>
        <w:ind w:left="580" w:hanging="356"/>
        <w:spacing w:after="0"/>
        <w:tabs>
          <w:tab w:leader="none" w:pos="5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gridSpan w:val="3"/>
          </w:tcPr>
          <w:p>
            <w:pPr>
              <w:ind w:left="100"/>
              <w:spacing w:after="0"/>
              <w:rPr>
                <w:sz w:val="20"/>
                <w:szCs w:val="20"/>
                <w:color w:val="auto"/>
              </w:rPr>
            </w:pPr>
            <w:r>
              <w:rPr>
                <w:rFonts w:ascii="Arial" w:cs="Arial" w:eastAsia="Arial" w:hAnsi="Arial"/>
                <w:sz w:val="16"/>
                <w:szCs w:val="16"/>
                <w:color w:val="auto"/>
              </w:rPr>
              <w:t>For the transition period from</w:t>
            </w:r>
          </w:p>
        </w:tc>
        <w:tc>
          <w:tcPr>
            <w:tcW w:w="7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to</w:t>
            </w:r>
          </w:p>
        </w:tc>
        <w:tc>
          <w:tcPr>
            <w:tcW w:w="7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4"/>
        </w:trPr>
        <w:tc>
          <w:tcPr>
            <w:tcW w:w="1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320" w:type="dxa"/>
            <w:vAlign w:val="bottom"/>
            <w:gridSpan w:val="7"/>
          </w:tcPr>
          <w:p>
            <w:pPr>
              <w:jc w:val="center"/>
              <w:ind w:right="148"/>
              <w:spacing w:after="0"/>
              <w:rPr>
                <w:sz w:val="20"/>
                <w:szCs w:val="20"/>
                <w:color w:val="auto"/>
              </w:rPr>
            </w:pPr>
            <w:r>
              <w:rPr>
                <w:rFonts w:ascii="Arial" w:cs="Arial" w:eastAsia="Arial" w:hAnsi="Arial"/>
                <w:sz w:val="16"/>
                <w:szCs w:val="16"/>
                <w:color w:val="auto"/>
              </w:rPr>
              <w:t>Commission File No. 1-10299</w:t>
            </w: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09"/>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4"/>
                <w:szCs w:val="14"/>
                <w:color w:val="auto"/>
              </w:rPr>
              <w:t>(Exact name of registrant as specified in its charter)</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0"/>
        </w:trPr>
        <w:tc>
          <w:tcPr>
            <w:tcW w:w="1300" w:type="dxa"/>
            <w:vAlign w:val="bottom"/>
          </w:tcPr>
          <w:p>
            <w:pPr>
              <w:spacing w:after="0"/>
              <w:rPr>
                <w:sz w:val="24"/>
                <w:szCs w:val="24"/>
                <w:color w:val="auto"/>
              </w:rPr>
            </w:pPr>
          </w:p>
        </w:tc>
        <w:tc>
          <w:tcPr>
            <w:tcW w:w="2580" w:type="dxa"/>
            <w:vAlign w:val="bottom"/>
            <w:gridSpan w:val="2"/>
          </w:tcPr>
          <w:p>
            <w:pPr>
              <w:jc w:val="center"/>
              <w:ind w:right="506"/>
              <w:spacing w:after="0"/>
              <w:rPr>
                <w:sz w:val="20"/>
                <w:szCs w:val="20"/>
                <w:color w:val="auto"/>
              </w:rPr>
            </w:pPr>
            <w:r>
              <w:rPr>
                <w:rFonts w:ascii="Arial" w:cs="Arial" w:eastAsia="Arial" w:hAnsi="Arial"/>
                <w:sz w:val="14"/>
                <w:szCs w:val="14"/>
                <w:b w:val="1"/>
                <w:bCs w:val="1"/>
                <w:color w:val="auto"/>
              </w:rPr>
              <w:t>New York</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0" w:type="dxa"/>
            <w:vAlign w:val="bottom"/>
            <w:gridSpan w:val="5"/>
          </w:tcPr>
          <w:p>
            <w:pPr>
              <w:jc w:val="right"/>
              <w:ind w:right="37"/>
              <w:spacing w:after="0"/>
              <w:rPr>
                <w:sz w:val="20"/>
                <w:szCs w:val="20"/>
                <w:color w:val="auto"/>
              </w:rPr>
            </w:pPr>
            <w:r>
              <w:rPr>
                <w:rFonts w:ascii="Arial" w:cs="Arial" w:eastAsia="Arial" w:hAnsi="Arial"/>
                <w:sz w:val="14"/>
                <w:szCs w:val="14"/>
                <w:b w:val="1"/>
                <w:bCs w:val="1"/>
                <w:color w:val="auto"/>
              </w:rPr>
              <w:t>13-3513936</w:t>
            </w:r>
          </w:p>
        </w:tc>
        <w:tc>
          <w:tcPr>
            <w:tcW w:w="1220" w:type="dxa"/>
            <w:vAlign w:val="bottom"/>
          </w:tcPr>
          <w:p>
            <w:pPr>
              <w:spacing w:after="0"/>
              <w:rPr>
                <w:sz w:val="24"/>
                <w:szCs w:val="24"/>
                <w:color w:val="auto"/>
              </w:rPr>
            </w:pPr>
          </w:p>
        </w:tc>
      </w:tr>
      <w:tr>
        <w:trPr>
          <w:trHeight w:val="162"/>
        </w:trPr>
        <w:tc>
          <w:tcPr>
            <w:tcW w:w="1300" w:type="dxa"/>
            <w:vAlign w:val="bottom"/>
          </w:tcPr>
          <w:p>
            <w:pPr>
              <w:spacing w:after="0"/>
              <w:rPr>
                <w:sz w:val="14"/>
                <w:szCs w:val="14"/>
                <w:color w:val="auto"/>
              </w:rPr>
            </w:pPr>
          </w:p>
        </w:tc>
        <w:tc>
          <w:tcPr>
            <w:tcW w:w="2580" w:type="dxa"/>
            <w:vAlign w:val="bottom"/>
            <w:gridSpan w:val="2"/>
          </w:tcPr>
          <w:p>
            <w:pPr>
              <w:jc w:val="center"/>
              <w:ind w:right="506"/>
              <w:spacing w:after="0"/>
              <w:rPr>
                <w:sz w:val="20"/>
                <w:szCs w:val="20"/>
                <w:color w:val="auto"/>
              </w:rPr>
            </w:pPr>
            <w:r>
              <w:rPr>
                <w:rFonts w:ascii="Arial" w:cs="Arial" w:eastAsia="Arial" w:hAnsi="Arial"/>
                <w:sz w:val="14"/>
                <w:szCs w:val="14"/>
                <w:i w:val="1"/>
                <w:iCs w:val="1"/>
                <w:color w:val="auto"/>
              </w:rPr>
              <w:t>(State or other jurisdiction of</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537"/>
              <w:spacing w:after="0"/>
              <w:rPr>
                <w:sz w:val="20"/>
                <w:szCs w:val="20"/>
                <w:color w:val="auto"/>
              </w:rPr>
            </w:pPr>
            <w:r>
              <w:rPr>
                <w:rFonts w:ascii="Arial" w:cs="Arial" w:eastAsia="Arial" w:hAnsi="Arial"/>
                <w:sz w:val="14"/>
                <w:szCs w:val="14"/>
                <w:i w:val="1"/>
                <w:iCs w:val="1"/>
                <w:color w:val="auto"/>
              </w:rPr>
              <w:t>(I.R.S. Employer Identification No.)</w:t>
            </w:r>
          </w:p>
        </w:tc>
      </w:tr>
      <w:tr>
        <w:trPr>
          <w:trHeight w:val="144"/>
        </w:trPr>
        <w:tc>
          <w:tcPr>
            <w:tcW w:w="1300" w:type="dxa"/>
            <w:vAlign w:val="bottom"/>
          </w:tcPr>
          <w:p>
            <w:pPr>
              <w:spacing w:after="0"/>
              <w:rPr>
                <w:sz w:val="12"/>
                <w:szCs w:val="12"/>
                <w:color w:val="auto"/>
              </w:rPr>
            </w:pPr>
          </w:p>
        </w:tc>
        <w:tc>
          <w:tcPr>
            <w:tcW w:w="2580" w:type="dxa"/>
            <w:vAlign w:val="bottom"/>
            <w:gridSpan w:val="2"/>
          </w:tcPr>
          <w:p>
            <w:pPr>
              <w:jc w:val="center"/>
              <w:ind w:right="506"/>
              <w:spacing w:after="0" w:line="145" w:lineRule="exact"/>
              <w:rPr>
                <w:sz w:val="20"/>
                <w:szCs w:val="20"/>
                <w:color w:val="auto"/>
              </w:rPr>
            </w:pPr>
            <w:r>
              <w:rPr>
                <w:rFonts w:ascii="Arial" w:cs="Arial" w:eastAsia="Arial" w:hAnsi="Arial"/>
                <w:sz w:val="14"/>
                <w:szCs w:val="14"/>
                <w:i w:val="1"/>
                <w:iCs w:val="1"/>
                <w:color w:val="auto"/>
              </w:rPr>
              <w:t>incorporation or organization)</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0"/>
        </w:trPr>
        <w:tc>
          <w:tcPr>
            <w:tcW w:w="3880" w:type="dxa"/>
            <w:vAlign w:val="bottom"/>
            <w:gridSpan w:val="3"/>
          </w:tcPr>
          <w:p>
            <w:pPr>
              <w:jc w:val="center"/>
              <w:ind w:left="632"/>
              <w:spacing w:after="0" w:line="180" w:lineRule="exact"/>
              <w:rPr>
                <w:sz w:val="20"/>
                <w:szCs w:val="20"/>
                <w:color w:val="auto"/>
              </w:rPr>
            </w:pPr>
            <w:r>
              <w:rPr>
                <w:rFonts w:ascii="Arial" w:cs="Arial" w:eastAsia="Arial" w:hAnsi="Arial"/>
                <w:sz w:val="14"/>
                <w:szCs w:val="14"/>
                <w:b w:val="1"/>
                <w:bCs w:val="1"/>
                <w:color w:val="auto"/>
              </w:rPr>
              <w:t>330 West 34</w:t>
            </w:r>
            <w:r>
              <w:rPr>
                <w:rFonts w:ascii="Arial" w:cs="Arial" w:eastAsia="Arial" w:hAnsi="Arial"/>
                <w:sz w:val="20"/>
                <w:szCs w:val="20"/>
                <w:b w:val="1"/>
                <w:bCs w:val="1"/>
                <w:color w:val="auto"/>
                <w:vertAlign w:val="superscript"/>
              </w:rPr>
              <w:t>th</w:t>
            </w:r>
            <w:r>
              <w:rPr>
                <w:rFonts w:ascii="Arial" w:cs="Arial" w:eastAsia="Arial" w:hAnsi="Arial"/>
                <w:sz w:val="14"/>
                <w:szCs w:val="14"/>
                <w:b w:val="1"/>
                <w:bCs w:val="1"/>
                <w:color w:val="auto"/>
              </w:rPr>
              <w:t xml:space="preserve"> Street, New York, New York</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0" w:type="dxa"/>
            <w:vAlign w:val="bottom"/>
            <w:gridSpan w:val="5"/>
          </w:tcPr>
          <w:p>
            <w:pPr>
              <w:jc w:val="right"/>
              <w:ind w:right="217"/>
              <w:spacing w:after="0"/>
              <w:rPr>
                <w:sz w:val="20"/>
                <w:szCs w:val="20"/>
                <w:color w:val="auto"/>
              </w:rPr>
            </w:pPr>
            <w:r>
              <w:rPr>
                <w:rFonts w:ascii="Arial" w:cs="Arial" w:eastAsia="Arial" w:hAnsi="Arial"/>
                <w:sz w:val="14"/>
                <w:szCs w:val="14"/>
                <w:b w:val="1"/>
                <w:bCs w:val="1"/>
                <w:color w:val="auto"/>
              </w:rPr>
              <w:t>10001</w:t>
            </w:r>
          </w:p>
        </w:tc>
        <w:tc>
          <w:tcPr>
            <w:tcW w:w="1220" w:type="dxa"/>
            <w:vAlign w:val="bottom"/>
          </w:tcPr>
          <w:p>
            <w:pPr>
              <w:spacing w:after="0"/>
              <w:rPr>
                <w:sz w:val="15"/>
                <w:szCs w:val="15"/>
                <w:color w:val="auto"/>
              </w:rPr>
            </w:pPr>
          </w:p>
        </w:tc>
      </w:tr>
      <w:tr>
        <w:trPr>
          <w:trHeight w:val="186"/>
        </w:trPr>
        <w:tc>
          <w:tcPr>
            <w:tcW w:w="3880" w:type="dxa"/>
            <w:vAlign w:val="bottom"/>
            <w:gridSpan w:val="3"/>
          </w:tcPr>
          <w:p>
            <w:pPr>
              <w:jc w:val="center"/>
              <w:ind w:left="632"/>
              <w:spacing w:after="0"/>
              <w:rPr>
                <w:sz w:val="20"/>
                <w:szCs w:val="20"/>
                <w:color w:val="auto"/>
              </w:rPr>
            </w:pPr>
            <w:r>
              <w:rPr>
                <w:rFonts w:ascii="Arial" w:cs="Arial" w:eastAsia="Arial" w:hAnsi="Arial"/>
                <w:sz w:val="14"/>
                <w:szCs w:val="14"/>
                <w:i w:val="1"/>
                <w:iCs w:val="1"/>
                <w:color w:val="auto"/>
              </w:rPr>
              <w:t>(Address of principal executive offices)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gridSpan w:val="2"/>
          </w:tcPr>
          <w:p>
            <w:pPr>
              <w:jc w:val="center"/>
              <w:ind w:right="57"/>
              <w:spacing w:after="0"/>
              <w:rPr>
                <w:sz w:val="20"/>
                <w:szCs w:val="20"/>
                <w:color w:val="auto"/>
              </w:rPr>
            </w:pPr>
            <w:r>
              <w:rPr>
                <w:rFonts w:ascii="Arial" w:cs="Arial" w:eastAsia="Arial" w:hAnsi="Arial"/>
                <w:sz w:val="14"/>
                <w:szCs w:val="14"/>
                <w:i w:val="1"/>
                <w:iCs w:val="1"/>
                <w:color w:val="auto"/>
              </w:rPr>
              <w:t>(Zip Code)</w:t>
            </w:r>
          </w:p>
        </w:tc>
        <w:tc>
          <w:tcPr>
            <w:tcW w:w="1220" w:type="dxa"/>
            <w:vAlign w:val="bottom"/>
          </w:tcPr>
          <w:p>
            <w:pPr>
              <w:spacing w:after="0"/>
              <w:rPr>
                <w:sz w:val="16"/>
                <w:szCs w:val="16"/>
                <w:color w:val="auto"/>
              </w:rPr>
            </w:pPr>
          </w:p>
        </w:tc>
      </w:tr>
      <w:tr>
        <w:trPr>
          <w:trHeight w:val="296"/>
        </w:trPr>
        <w:tc>
          <w:tcPr>
            <w:tcW w:w="1300" w:type="dxa"/>
            <w:vAlign w:val="bottom"/>
          </w:tcPr>
          <w:p>
            <w:pPr>
              <w:spacing w:after="0"/>
              <w:rPr>
                <w:sz w:val="24"/>
                <w:szCs w:val="24"/>
                <w:color w:val="auto"/>
              </w:rPr>
            </w:pPr>
          </w:p>
        </w:tc>
        <w:tc>
          <w:tcPr>
            <w:tcW w:w="6040" w:type="dxa"/>
            <w:vAlign w:val="bottom"/>
            <w:gridSpan w:val="9"/>
          </w:tcPr>
          <w:p>
            <w:pPr>
              <w:jc w:val="center"/>
              <w:ind w:left="408"/>
              <w:spacing w:after="0"/>
              <w:rPr>
                <w:sz w:val="20"/>
                <w:szCs w:val="20"/>
                <w:color w:val="auto"/>
              </w:rPr>
            </w:pPr>
            <w:r>
              <w:rPr>
                <w:rFonts w:ascii="Arial" w:cs="Arial" w:eastAsia="Arial" w:hAnsi="Arial"/>
                <w:sz w:val="14"/>
                <w:szCs w:val="14"/>
                <w:b w:val="1"/>
                <w:bCs w:val="1"/>
                <w:color w:val="auto"/>
              </w:rPr>
              <w:t>Registrant’s telephone number, including area code: (212) 720-3700</w:t>
            </w:r>
          </w:p>
        </w:tc>
        <w:tc>
          <w:tcPr>
            <w:tcW w:w="122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7"/>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2"/>
        </w:trPr>
        <w:tc>
          <w:tcPr>
            <w:tcW w:w="1300" w:type="dxa"/>
            <w:vAlign w:val="bottom"/>
          </w:tcPr>
          <w:p>
            <w:pPr>
              <w:spacing w:after="0"/>
              <w:rPr>
                <w:sz w:val="14"/>
                <w:szCs w:val="14"/>
                <w:color w:val="auto"/>
              </w:rPr>
            </w:pPr>
          </w:p>
        </w:tc>
        <w:tc>
          <w:tcPr>
            <w:tcW w:w="2580" w:type="dxa"/>
            <w:vAlign w:val="bottom"/>
            <w:gridSpan w:val="2"/>
          </w:tcPr>
          <w:p>
            <w:pPr>
              <w:jc w:val="center"/>
              <w:ind w:right="1286"/>
              <w:spacing w:after="0"/>
              <w:rPr>
                <w:sz w:val="20"/>
                <w:szCs w:val="20"/>
                <w:color w:val="auto"/>
              </w:rPr>
            </w:pPr>
            <w:r>
              <w:rPr>
                <w:rFonts w:ascii="Arial" w:cs="Arial" w:eastAsia="Arial" w:hAnsi="Arial"/>
                <w:sz w:val="14"/>
                <w:szCs w:val="14"/>
                <w:b w:val="1"/>
                <w:bCs w:val="1"/>
                <w:color w:val="auto"/>
              </w:rPr>
              <w:t>Title of each class</w:t>
            </w:r>
          </w:p>
        </w:tc>
        <w:tc>
          <w:tcPr>
            <w:tcW w:w="86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Symbol(s)</w:t>
            </w:r>
          </w:p>
        </w:tc>
        <w:tc>
          <w:tcPr>
            <w:tcW w:w="780" w:type="dxa"/>
            <w:vAlign w:val="bottom"/>
          </w:tcPr>
          <w:p>
            <w:pPr>
              <w:spacing w:after="0"/>
              <w:rPr>
                <w:sz w:val="14"/>
                <w:szCs w:val="14"/>
                <w:color w:val="auto"/>
              </w:rPr>
            </w:pPr>
          </w:p>
        </w:tc>
        <w:tc>
          <w:tcPr>
            <w:tcW w:w="3040" w:type="dxa"/>
            <w:vAlign w:val="bottom"/>
            <w:gridSpan w:val="5"/>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20" w:type="dxa"/>
            <w:vAlign w:val="bottom"/>
            <w:gridSpan w:val="4"/>
            <w:shd w:val="clear" w:color="auto" w:fill="000000"/>
          </w:tcPr>
          <w:p>
            <w:pPr>
              <w:spacing w:after="0" w:line="20" w:lineRule="exact"/>
              <w:rPr>
                <w:sz w:val="1"/>
                <w:szCs w:val="1"/>
                <w:color w:val="auto"/>
              </w:rPr>
            </w:pPr>
          </w:p>
        </w:tc>
      </w:tr>
      <w:tr>
        <w:trPr>
          <w:trHeight w:val="171"/>
        </w:trPr>
        <w:tc>
          <w:tcPr>
            <w:tcW w:w="3880" w:type="dxa"/>
            <w:vAlign w:val="bottom"/>
            <w:gridSpan w:val="3"/>
          </w:tcPr>
          <w:p>
            <w:pPr>
              <w:jc w:val="center"/>
              <w:spacing w:after="0"/>
              <w:rPr>
                <w:sz w:val="20"/>
                <w:szCs w:val="20"/>
                <w:color w:val="auto"/>
              </w:rPr>
            </w:pPr>
            <w:r>
              <w:rPr>
                <w:rFonts w:ascii="Arial" w:cs="Arial" w:eastAsia="Arial" w:hAnsi="Arial"/>
                <w:sz w:val="14"/>
                <w:szCs w:val="14"/>
                <w:color w:val="auto"/>
              </w:rPr>
              <w:t>Common Stock, par value $0.01</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FL</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4"/>
          </w:tcPr>
          <w:p>
            <w:pPr>
              <w:jc w:val="center"/>
              <w:ind w:right="157"/>
              <w:spacing w:after="0"/>
              <w:rPr>
                <w:sz w:val="20"/>
                <w:szCs w:val="20"/>
                <w:color w:val="auto"/>
              </w:rPr>
            </w:pPr>
            <w:r>
              <w:rPr>
                <w:rFonts w:ascii="Arial" w:cs="Arial" w:eastAsia="Arial" w:hAnsi="Arial"/>
                <w:sz w:val="14"/>
                <w:szCs w:val="14"/>
                <w:color w:val="auto"/>
              </w:rPr>
              <w:t>New York Stock Exchange</w:t>
            </w:r>
          </w:p>
        </w:tc>
      </w:tr>
      <w:tr>
        <w:trPr>
          <w:trHeight w:val="388"/>
        </w:trPr>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320" w:type="dxa"/>
            <w:vAlign w:val="bottom"/>
            <w:gridSpan w:val="7"/>
          </w:tcPr>
          <w:p>
            <w:pPr>
              <w:jc w:val="center"/>
              <w:ind w:right="168"/>
              <w:spacing w:after="0"/>
              <w:rPr>
                <w:sz w:val="20"/>
                <w:szCs w:val="20"/>
                <w:color w:val="auto"/>
              </w:rPr>
            </w:pPr>
            <w:r>
              <w:rPr>
                <w:rFonts w:ascii="Arial" w:cs="Arial" w:eastAsia="Arial" w:hAnsi="Arial"/>
                <w:sz w:val="13"/>
                <w:szCs w:val="13"/>
                <w:b w:val="1"/>
                <w:bCs w:val="1"/>
                <w:color w:val="auto"/>
                <w:w w:val="96"/>
              </w:rPr>
              <w:t>Securities registered pursuant to Section 12(g) of the Act: None</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840" w:type="dxa"/>
            <w:vAlign w:val="bottom"/>
            <w:gridSpan w:val="9"/>
          </w:tcPr>
          <w:p>
            <w:pPr>
              <w:spacing w:after="0"/>
              <w:rPr>
                <w:sz w:val="20"/>
                <w:szCs w:val="20"/>
                <w:color w:val="auto"/>
              </w:rPr>
            </w:pPr>
            <w:r>
              <w:rPr>
                <w:rFonts w:ascii="Arial" w:cs="Arial" w:eastAsia="Arial" w:hAnsi="Arial"/>
                <w:sz w:val="13"/>
                <w:szCs w:val="13"/>
                <w:color w:val="auto"/>
                <w:w w:val="97"/>
              </w:rPr>
              <w:t>Indicate by check mark if the registrant is a well-known seasoned issuer, as defined in Rule 405 of the Securities Act. Yes</w:t>
            </w:r>
          </w:p>
        </w:tc>
        <w:tc>
          <w:tcPr>
            <w:tcW w:w="500" w:type="dxa"/>
            <w:vAlign w:val="bottom"/>
          </w:tcPr>
          <w:p>
            <w:pPr>
              <w:jc w:val="center"/>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220" w:type="dxa"/>
            <w:vAlign w:val="bottom"/>
          </w:tcPr>
          <w:p>
            <w:pPr>
              <w:ind w:left="2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257"/>
        </w:trPr>
        <w:tc>
          <w:tcPr>
            <w:tcW w:w="6840" w:type="dxa"/>
            <w:vAlign w:val="bottom"/>
            <w:gridSpan w:val="9"/>
          </w:tcPr>
          <w:p>
            <w:pPr>
              <w:spacing w:after="0"/>
              <w:rPr>
                <w:sz w:val="20"/>
                <w:szCs w:val="20"/>
                <w:color w:val="auto"/>
              </w:rPr>
            </w:pPr>
            <w:r>
              <w:rPr>
                <w:rFonts w:ascii="Arial" w:cs="Arial" w:eastAsia="Arial" w:hAnsi="Arial"/>
                <w:sz w:val="13"/>
                <w:szCs w:val="13"/>
                <w:color w:val="auto"/>
                <w:w w:val="96"/>
              </w:rPr>
              <w:t>Indicate by check mark if the registrant is not required to file reports pursuant to Section 13 or Section 15(d) of the Act. Yes</w:t>
            </w:r>
          </w:p>
        </w:tc>
        <w:tc>
          <w:tcPr>
            <w:tcW w:w="500" w:type="dxa"/>
            <w:vAlign w:val="bottom"/>
          </w:tcPr>
          <w:p>
            <w:pPr>
              <w:ind w:left="80"/>
              <w:spacing w:after="0" w:line="175" w:lineRule="exact"/>
              <w:rPr>
                <w:sz w:val="20"/>
                <w:szCs w:val="20"/>
                <w:color w:val="auto"/>
              </w:rPr>
            </w:pP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p>
        </w:tc>
        <w:tc>
          <w:tcPr>
            <w:tcW w:w="1220" w:type="dxa"/>
            <w:vAlign w:val="bottom"/>
          </w:tcPr>
          <w:p>
            <w:pPr>
              <w:ind w:left="6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-2390140</wp:posOffset>
            </wp:positionV>
            <wp:extent cx="205740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spacing w:after="0" w:line="57" w:lineRule="exact"/>
        <w:rPr>
          <w:sz w:val="24"/>
          <w:szCs w:val="24"/>
          <w:color w:val="auto"/>
        </w:rPr>
      </w:pPr>
    </w:p>
    <w:p>
      <w:pPr>
        <w:jc w:val="both"/>
        <w:spacing w:after="0" w:line="24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69" w:lineRule="exact"/>
        <w:tabs>
          <w:tab w:leader="none" w:pos="1520" w:val="left"/>
        </w:tabs>
        <w:rPr>
          <w:sz w:val="20"/>
          <w:szCs w:val="20"/>
          <w:color w:val="auto"/>
        </w:rPr>
      </w:pPr>
      <w:r>
        <w:rPr>
          <w:rFonts w:ascii="Arial" w:cs="Arial" w:eastAsia="Arial" w:hAnsi="Arial"/>
          <w:sz w:val="13"/>
          <w:szCs w:val="13"/>
          <w:color w:val="auto"/>
        </w:rPr>
        <w:t xml:space="preserve">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w:t>
      </w:r>
      <w:r>
        <w:rPr>
          <w:sz w:val="20"/>
          <w:szCs w:val="20"/>
          <w:color w:val="auto"/>
        </w:rPr>
        <w:tab/>
      </w:r>
      <w:r>
        <w:rPr>
          <w:rFonts w:ascii="Arial Unicode MS" w:cs="Arial Unicode MS" w:eastAsia="Arial Unicode MS" w:hAnsi="Arial Unicode MS"/>
          <w:sz w:val="13"/>
          <w:szCs w:val="13"/>
          <w:color w:val="auto"/>
        </w:rPr>
        <w:t>☐</w:t>
      </w:r>
    </w:p>
    <w:p>
      <w:pPr>
        <w:spacing w:after="0" w:line="78" w:lineRule="exact"/>
        <w:rPr>
          <w:sz w:val="24"/>
          <w:szCs w:val="24"/>
          <w:color w:val="auto"/>
        </w:rPr>
      </w:pPr>
    </w:p>
    <w:p>
      <w:pPr>
        <w:jc w:val="both"/>
        <w:spacing w:after="0" w:line="157"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2"/>
          <w:szCs w:val="12"/>
          <w:color w:val="auto"/>
        </w:rPr>
        <w:t>⌧</w:t>
      </w:r>
      <w:r>
        <w:rPr>
          <w:rFonts w:ascii="Arial" w:cs="Arial" w:eastAsia="Arial" w:hAnsi="Arial"/>
          <w:sz w:val="12"/>
          <w:szCs w:val="12"/>
          <w:color w:val="auto"/>
        </w:rPr>
        <w:t xml:space="preserve"> No </w:t>
      </w:r>
      <w:r>
        <w:rPr>
          <w:rFonts w:ascii="Arial Unicode MS" w:cs="Arial Unicode MS" w:eastAsia="Arial Unicode MS" w:hAnsi="Arial Unicode MS"/>
          <w:sz w:val="12"/>
          <w:szCs w:val="12"/>
          <w:color w:val="auto"/>
        </w:rPr>
        <w:t>☐</w:t>
      </w:r>
    </w:p>
    <w:p>
      <w:pPr>
        <w:spacing w:after="0" w:line="78" w:lineRule="exact"/>
        <w:rPr>
          <w:sz w:val="24"/>
          <w:szCs w:val="24"/>
          <w:color w:val="auto"/>
        </w:rPr>
      </w:pPr>
    </w:p>
    <w:p>
      <w:pPr>
        <w:jc w:val="both"/>
        <w:spacing w:after="0" w:line="22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p>
      <w:pPr>
        <w:ind w:right="500"/>
        <w:spacing w:after="0" w:line="175"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 xml:space="preserve"> Accelerated filer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Non-accelerated filer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Smaller reporting company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Emerging growth company </w:t>
      </w:r>
      <w:r>
        <w:rPr>
          <w:rFonts w:ascii="Arial Unicode MS" w:cs="Arial Unicode MS" w:eastAsia="Arial Unicode MS" w:hAnsi="Arial Unicode MS"/>
          <w:sz w:val="13"/>
          <w:szCs w:val="13"/>
          <w:color w:val="auto"/>
        </w:rPr>
        <w:t>☐</w:t>
      </w:r>
    </w:p>
    <w:p>
      <w:pPr>
        <w:spacing w:after="0" w:line="223" w:lineRule="exact"/>
        <w:rPr>
          <w:sz w:val="24"/>
          <w:szCs w:val="24"/>
          <w:color w:val="auto"/>
        </w:rPr>
      </w:pPr>
    </w:p>
    <w:p>
      <w:pPr>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Arial Unicode MS" w:cs="Arial Unicode MS" w:eastAsia="Arial Unicode MS" w:hAnsi="Arial Unicode MS"/>
          <w:sz w:val="13"/>
          <w:szCs w:val="13"/>
          <w:color w:val="auto"/>
        </w:rPr>
        <w:t>☐</w:t>
      </w:r>
    </w:p>
    <w:p>
      <w:pPr>
        <w:spacing w:after="0" w:line="77" w:lineRule="exact"/>
        <w:rPr>
          <w:sz w:val="24"/>
          <w:szCs w:val="24"/>
          <w:color w:val="auto"/>
        </w:rPr>
      </w:pPr>
    </w:p>
    <w:p>
      <w:pPr>
        <w:spacing w:after="0" w:line="244"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69" w:lineRule="exact"/>
        <w:rPr>
          <w:sz w:val="20"/>
          <w:szCs w:val="20"/>
          <w:color w:val="auto"/>
        </w:rPr>
      </w:pPr>
      <w:r>
        <w:rPr>
          <w:rFonts w:ascii="Arial" w:cs="Arial" w:eastAsia="Arial" w:hAnsi="Arial"/>
          <w:sz w:val="13"/>
          <w:szCs w:val="13"/>
          <w:color w:val="auto"/>
        </w:rPr>
        <w:t xml:space="preserve">report. </w:t>
      </w:r>
      <w:r>
        <w:rPr>
          <w:rFonts w:ascii="Arial Unicode MS" w:cs="Arial Unicode MS" w:eastAsia="Arial Unicode MS" w:hAnsi="Arial Unicode MS"/>
          <w:sz w:val="13"/>
          <w:szCs w:val="13"/>
          <w:color w:val="auto"/>
        </w:rPr>
        <w: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7820" w:type="dxa"/>
            <w:vAlign w:val="bottom"/>
          </w:tcPr>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tc>
        <w:tc>
          <w:tcPr>
            <w:tcW w:w="1300" w:type="dxa"/>
            <w:vAlign w:val="bottom"/>
          </w:tcPr>
          <w:p>
            <w:pPr>
              <w:spacing w:after="0"/>
              <w:rPr>
                <w:sz w:val="17"/>
                <w:szCs w:val="17"/>
                <w:color w:val="auto"/>
              </w:rPr>
            </w:pPr>
          </w:p>
        </w:tc>
      </w:tr>
      <w:tr>
        <w:trPr>
          <w:trHeight w:val="226"/>
        </w:trPr>
        <w:tc>
          <w:tcPr>
            <w:tcW w:w="7820" w:type="dxa"/>
            <w:vAlign w:val="bottom"/>
          </w:tcPr>
          <w:p>
            <w:pPr>
              <w:spacing w:after="0"/>
              <w:rPr>
                <w:sz w:val="20"/>
                <w:szCs w:val="20"/>
                <w:color w:val="auto"/>
              </w:rPr>
            </w:pPr>
            <w:r>
              <w:rPr>
                <w:rFonts w:ascii="Arial" w:cs="Arial" w:eastAsia="Arial" w:hAnsi="Arial"/>
                <w:sz w:val="13"/>
                <w:szCs w:val="13"/>
                <w:color w:val="auto"/>
              </w:rPr>
              <w:t>The number of shares of the registrant’s Common Stock, par value $0.01 per share, outstanding as of March 21, 2022:</w:t>
            </w:r>
          </w:p>
        </w:tc>
        <w:tc>
          <w:tcPr>
            <w:tcW w:w="1300" w:type="dxa"/>
            <w:vAlign w:val="bottom"/>
          </w:tcPr>
          <w:p>
            <w:pPr>
              <w:jc w:val="right"/>
              <w:spacing w:after="0"/>
              <w:rPr>
                <w:sz w:val="20"/>
                <w:szCs w:val="20"/>
                <w:color w:val="auto"/>
              </w:rPr>
            </w:pPr>
            <w:r>
              <w:rPr>
                <w:rFonts w:ascii="Arial" w:cs="Arial" w:eastAsia="Arial" w:hAnsi="Arial"/>
                <w:sz w:val="13"/>
                <w:szCs w:val="13"/>
                <w:color w:val="auto"/>
              </w:rPr>
              <w:t>96,089,997</w:t>
            </w:r>
          </w:p>
        </w:tc>
      </w:tr>
      <w:tr>
        <w:trPr>
          <w:trHeight w:val="135"/>
        </w:trPr>
        <w:tc>
          <w:tcPr>
            <w:tcW w:w="7820" w:type="dxa"/>
            <w:vAlign w:val="bottom"/>
          </w:tcPr>
          <w:p>
            <w:pPr>
              <w:spacing w:after="0" w:line="135" w:lineRule="exact"/>
              <w:rPr>
                <w:sz w:val="20"/>
                <w:szCs w:val="20"/>
                <w:color w:val="auto"/>
              </w:rPr>
            </w:pPr>
            <w:r>
              <w:rPr>
                <w:rFonts w:ascii="Arial" w:cs="Arial" w:eastAsia="Arial" w:hAnsi="Arial"/>
                <w:sz w:val="13"/>
                <w:szCs w:val="13"/>
                <w:color w:val="auto"/>
              </w:rPr>
              <w:t>The aggregate market value of voting stock held by non-affiliates of the registrant computed by reference to the closing price as of the</w:t>
            </w:r>
          </w:p>
        </w:tc>
        <w:tc>
          <w:tcPr>
            <w:tcW w:w="1300" w:type="dxa"/>
            <w:vAlign w:val="bottom"/>
          </w:tcPr>
          <w:p>
            <w:pPr>
              <w:spacing w:after="0"/>
              <w:rPr>
                <w:sz w:val="11"/>
                <w:szCs w:val="11"/>
                <w:color w:val="auto"/>
              </w:rPr>
            </w:pPr>
          </w:p>
        </w:tc>
      </w:tr>
      <w:tr>
        <w:trPr>
          <w:trHeight w:val="152"/>
        </w:trPr>
        <w:tc>
          <w:tcPr>
            <w:tcW w:w="7820" w:type="dxa"/>
            <w:vAlign w:val="bottom"/>
          </w:tcPr>
          <w:p>
            <w:pPr>
              <w:spacing w:after="0"/>
              <w:rPr>
                <w:sz w:val="20"/>
                <w:szCs w:val="20"/>
                <w:color w:val="auto"/>
              </w:rPr>
            </w:pPr>
            <w:r>
              <w:rPr>
                <w:rFonts w:ascii="Arial" w:cs="Arial" w:eastAsia="Arial" w:hAnsi="Arial"/>
                <w:sz w:val="13"/>
                <w:szCs w:val="13"/>
                <w:color w:val="auto"/>
              </w:rPr>
              <w:t>last business day of the Registrant’s most recently completed second fiscal quarter, July 30, 2021 was approximately:</w:t>
            </w:r>
          </w:p>
        </w:tc>
        <w:tc>
          <w:tcPr>
            <w:tcW w:w="1300" w:type="dxa"/>
            <w:vAlign w:val="bottom"/>
          </w:tcPr>
          <w:p>
            <w:pPr>
              <w:jc w:val="right"/>
              <w:spacing w:after="0"/>
              <w:rPr>
                <w:sz w:val="20"/>
                <w:szCs w:val="20"/>
                <w:color w:val="auto"/>
              </w:rPr>
            </w:pPr>
            <w:r>
              <w:rPr>
                <w:rFonts w:ascii="Arial" w:cs="Arial" w:eastAsia="Arial" w:hAnsi="Arial"/>
                <w:sz w:val="13"/>
                <w:szCs w:val="13"/>
                <w:color w:val="auto"/>
              </w:rPr>
              <w:t>$2,827,712,024*</w:t>
            </w:r>
          </w:p>
        </w:tc>
      </w:tr>
    </w:tbl>
    <w:p>
      <w:pPr>
        <w:spacing w:after="0" w:line="118" w:lineRule="exact"/>
        <w:rPr>
          <w:sz w:val="24"/>
          <w:szCs w:val="24"/>
          <w:color w:val="auto"/>
        </w:rPr>
      </w:pPr>
    </w:p>
    <w:p>
      <w:pPr>
        <w:jc w:val="both"/>
        <w:ind w:left="200" w:hanging="195"/>
        <w:spacing w:after="0" w:line="225" w:lineRule="auto"/>
        <w:tabs>
          <w:tab w:leader="none" w:pos="211"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purposes of this calculation only (a) all non-employee directors plus seven executive officers and owners of 5%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110"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Portions of the registrant’s definitive Proxy Statement (the “Proxy Statement”) to be filed in connection with the Annual Meeting of Shareholders to be held on May 18, 2022: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516255</wp:posOffset>
            </wp:positionV>
            <wp:extent cx="57950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5010" cy="25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-6350</wp:posOffset>
            </wp:positionV>
            <wp:extent cx="5795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501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27305</wp:posOffset>
            </wp:positionV>
            <wp:extent cx="579501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34290"/>
                    </a:xfrm>
                    <a:prstGeom prst="rect">
                      <a:avLst/>
                    </a:prstGeom>
                    <a:noFill/>
                  </pic:spPr>
                </pic:pic>
              </a:graphicData>
            </a:graphic>
          </wp:anchor>
        </w:drawing>
      </w:r>
    </w:p>
    <w:p>
      <w:pPr>
        <w:sectPr>
          <w:pgSz w:w="11900" w:h="16838" w:orient="portrait"/>
          <w:cols w:equalWidth="0" w:num="1">
            <w:col w:w="9120"/>
          </w:cols>
          <w:pgMar w:left="1380" w:top="873" w:right="1399" w:bottom="1440" w:gutter="0" w:footer="0" w:header="0"/>
        </w:sectPr>
      </w:pPr>
    </w:p>
    <w:bookmarkStart w:id="1" w:name="page2"/>
    <w:bookmarkEnd w:id="1"/>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2900045</wp:posOffset>
            </wp:positionH>
            <wp:positionV relativeFrom="page">
              <wp:posOffset>817880</wp:posOffset>
            </wp:positionV>
            <wp:extent cx="174879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748790" cy="1885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gridSpan w:val="10"/>
          </w:tcPr>
          <w:p>
            <w:pPr>
              <w:ind w:left="62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900" w:type="dxa"/>
            <w:vAlign w:val="bottom"/>
            <w:gridSpan w:val="7"/>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PART I</w:t>
              </w:r>
            </w:hyperlink>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00" w:type="dxa"/>
            <w:vAlign w:val="bottom"/>
            <w:gridSpan w:val="7"/>
            <w:shd w:val="clear" w:color="auto" w:fill="CCEEFF"/>
          </w:tcPr>
          <w:p>
            <w:pPr>
              <w:spacing w:after="0" w:line="183" w:lineRule="exact"/>
              <w:rPr>
                <w:rFonts w:ascii="Arial" w:cs="Arial" w:eastAsia="Arial" w:hAnsi="Arial"/>
                <w:sz w:val="17"/>
                <w:szCs w:val="17"/>
                <w:color w:val="0000EE"/>
              </w:rPr>
            </w:pPr>
            <w:hyperlink w:anchor="page4">
              <w:r>
                <w:rPr>
                  <w:rFonts w:ascii="Arial" w:cs="Arial" w:eastAsia="Arial" w:hAnsi="Arial"/>
                  <w:sz w:val="17"/>
                  <w:szCs w:val="17"/>
                  <w:color w:val="0000EE"/>
                </w:rPr>
                <w:t>Item 1.</w:t>
              </w:r>
            </w:hyperlink>
          </w:p>
        </w:tc>
        <w:tc>
          <w:tcPr>
            <w:tcW w:w="7620" w:type="dxa"/>
            <w:vAlign w:val="bottom"/>
            <w:gridSpan w:val="24"/>
            <w:shd w:val="clear" w:color="auto" w:fill="CCEEFF"/>
          </w:tcPr>
          <w:p>
            <w:pPr>
              <w:spacing w:after="0" w:line="183"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Item 1A.</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7">
              <w:r>
                <w:rPr>
                  <w:rFonts w:ascii="Arial" w:cs="Arial" w:eastAsia="Arial" w:hAnsi="Arial"/>
                  <w:sz w:val="17"/>
                  <w:szCs w:val="17"/>
                  <w:color w:val="0000EE"/>
                </w:rPr>
                <w:t>Risk Factors</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Item 1B.</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Unresolved Staff Comments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64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Item 2.</w:t>
              </w:r>
            </w:hyperlink>
          </w:p>
        </w:tc>
        <w:tc>
          <w:tcPr>
            <w:tcW w:w="260" w:type="dxa"/>
            <w:vAlign w:val="bottom"/>
            <w:tcBorders>
              <w:top w:val="single" w:sz="8" w:color="CCEEFF"/>
            </w:tcBorders>
            <w:gridSpan w:val="2"/>
          </w:tcPr>
          <w:p>
            <w:pPr>
              <w:spacing w:after="0"/>
              <w:rPr>
                <w:sz w:val="16"/>
                <w:szCs w:val="16"/>
                <w:color w:val="auto"/>
              </w:rPr>
            </w:pPr>
          </w:p>
        </w:tc>
        <w:tc>
          <w:tcPr>
            <w:tcW w:w="2120" w:type="dxa"/>
            <w:vAlign w:val="bottom"/>
            <w:tcBorders>
              <w:top w:val="single" w:sz="8" w:color="0000EE"/>
            </w:tcBorders>
            <w:gridSpan w:val="14"/>
          </w:tcPr>
          <w:p>
            <w:pPr>
              <w:spacing w:after="0" w:line="189" w:lineRule="exact"/>
              <w:rPr>
                <w:rFonts w:ascii="Arial" w:cs="Arial" w:eastAsia="Arial" w:hAnsi="Arial"/>
                <w:sz w:val="17"/>
                <w:szCs w:val="17"/>
                <w:color w:val="0000EE"/>
              </w:rPr>
            </w:pPr>
            <w:hyperlink w:anchor="page18">
              <w:r>
                <w:rPr>
                  <w:rFonts w:ascii="Arial" w:cs="Arial" w:eastAsia="Arial" w:hAnsi="Arial"/>
                  <w:sz w:val="17"/>
                  <w:szCs w:val="17"/>
                  <w:color w:val="0000EE"/>
                </w:rPr>
                <w:t>Properties</w:t>
              </w:r>
            </w:hyperlink>
          </w:p>
        </w:tc>
        <w:tc>
          <w:tcPr>
            <w:tcW w:w="5500" w:type="dxa"/>
            <w:vAlign w:val="bottom"/>
            <w:tcBorders>
              <w:top w:val="single" w:sz="8" w:color="CCEEFF"/>
            </w:tcBorders>
            <w:gridSpan w:val="10"/>
          </w:tcPr>
          <w:p>
            <w:pPr>
              <w:spacing w:after="0"/>
              <w:rPr>
                <w:sz w:val="16"/>
                <w:szCs w:val="16"/>
                <w:color w:val="auto"/>
              </w:rPr>
            </w:pPr>
          </w:p>
        </w:tc>
        <w:tc>
          <w:tcPr>
            <w:tcW w:w="600" w:type="dxa"/>
            <w:vAlign w:val="bottom"/>
            <w:tcBorders>
              <w:top w:val="single" w:sz="8" w:color="CCEEFF"/>
            </w:tcBorders>
          </w:tcPr>
          <w:p>
            <w:pPr>
              <w:jc w:val="right"/>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Item 3.</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Legal Proceedings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Item 4.</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Mine Safety Disclosures</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Item 4A.</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19">
              <w:r>
                <w:rPr>
                  <w:rFonts w:ascii="Arial" w:cs="Arial" w:eastAsia="Arial" w:hAnsi="Arial"/>
                  <w:sz w:val="17"/>
                  <w:szCs w:val="17"/>
                  <w:color w:val="0000EE"/>
                </w:rPr>
                <w:t>Information about our Executive Officers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Borders>
              <w:bottom w:val="single" w:sz="8" w:color="auto"/>
            </w:tcBorders>
            <w:gridSpan w:val="7"/>
            <w:shd w:val="clear" w:color="auto" w:fill="CCEEFF"/>
          </w:tcPr>
          <w:p>
            <w:pPr>
              <w:spacing w:after="0" w:line="189"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PART II</w:t>
              </w:r>
            </w:hyperlink>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Item 5.</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Market for the Company’s Common Equity, Related Shareholder Matters and Issuer Purchases of</w:t>
              </w:r>
            </w:hyperlink>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7620" w:type="dxa"/>
            <w:vAlign w:val="bottom"/>
            <w:tcBorders>
              <w:top w:val="single" w:sz="8" w:color="0000EE"/>
            </w:tcBorders>
            <w:gridSpan w:val="24"/>
            <w:shd w:val="clear" w:color="auto" w:fill="CCEEFF"/>
          </w:tcPr>
          <w:p>
            <w:pPr>
              <w:spacing w:after="0" w:line="169" w:lineRule="exact"/>
              <w:rPr>
                <w:rFonts w:ascii="Arial" w:cs="Arial" w:eastAsia="Arial" w:hAnsi="Arial"/>
                <w:sz w:val="17"/>
                <w:szCs w:val="17"/>
                <w:color w:val="0000EE"/>
              </w:rPr>
            </w:pPr>
            <w:hyperlink w:anchor="page20">
              <w:r>
                <w:rPr>
                  <w:rFonts w:ascii="Arial" w:cs="Arial" w:eastAsia="Arial" w:hAnsi="Arial"/>
                  <w:sz w:val="17"/>
                  <w:szCs w:val="17"/>
                  <w:color w:val="0000EE"/>
                </w:rPr>
                <w:t>Equity Securities</w:t>
              </w:r>
            </w:hyperlink>
          </w:p>
        </w:tc>
        <w:tc>
          <w:tcPr>
            <w:tcW w:w="600" w:type="dxa"/>
            <w:vAlign w:val="bottom"/>
            <w:tcBorders>
              <w:top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22">
              <w:r>
                <w:rPr>
                  <w:rFonts w:ascii="Arial" w:cs="Arial" w:eastAsia="Arial" w:hAnsi="Arial"/>
                  <w:sz w:val="17"/>
                  <w:szCs w:val="17"/>
                  <w:color w:val="0000EE"/>
                </w:rPr>
                <w:t>Item 6.</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22">
              <w:r>
                <w:rPr>
                  <w:rFonts w:ascii="Arial" w:cs="Arial" w:eastAsia="Arial" w:hAnsi="Arial"/>
                  <w:sz w:val="17"/>
                  <w:szCs w:val="17"/>
                  <w:color w:val="0000EE"/>
                </w:rPr>
                <w:t>Selected Financial Data</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Item 7.</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23">
              <w:r>
                <w:rPr>
                  <w:rFonts w:ascii="Arial" w:cs="Arial" w:eastAsia="Arial" w:hAnsi="Arial"/>
                  <w:sz w:val="17"/>
                  <w:szCs w:val="17"/>
                  <w:color w:val="0000EE"/>
                </w:rPr>
                <w:t>Management’s Discussion and Analysis of Financial Condition and Results of Operations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Item 7A.</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Quantitative and Qualitative Disclosures About Market Risk</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Item 8.</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Consolidated Financial Statements and Supplementary Data</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Item 9.</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Changes in and Disagreements with Accountants on Accounting and Financial Disclosure</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Item 9A.</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Controls and Procedures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9B.</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Other Information</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b w:val="1"/>
                <w:bCs w:val="1"/>
                <w:color w:val="0000EE"/>
              </w:rPr>
            </w:pPr>
            <w:hyperlink w:anchor="page82">
              <w:r>
                <w:rPr>
                  <w:rFonts w:ascii="Arial" w:cs="Arial" w:eastAsia="Arial" w:hAnsi="Arial"/>
                  <w:sz w:val="17"/>
                  <w:szCs w:val="17"/>
                  <w:b w:val="1"/>
                  <w:bCs w:val="1"/>
                  <w:color w:val="0000EE"/>
                </w:rPr>
                <w:t>PART III</w:t>
              </w:r>
            </w:hyperlink>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10.</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Directors, Executive Officers, and Corporate Governance</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11.</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Executive Compensation</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12.</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Security Ownership of Certain Beneficial Owners and Management and Related Shareholder</w:t>
              </w:r>
            </w:hyperlink>
          </w:p>
        </w:tc>
        <w:tc>
          <w:tcPr>
            <w:tcW w:w="600" w:type="dxa"/>
            <w:vAlign w:val="bottom"/>
            <w:vMerge w:val="restart"/>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20" w:type="dxa"/>
            <w:vAlign w:val="bottom"/>
            <w:tcBorders>
              <w:top w:val="single" w:sz="8" w:color="0000EE"/>
            </w:tcBorders>
            <w:gridSpan w:val="24"/>
          </w:tcPr>
          <w:p>
            <w:pPr>
              <w:spacing w:after="0" w:line="169" w:lineRule="exact"/>
              <w:rPr>
                <w:rFonts w:ascii="Arial" w:cs="Arial" w:eastAsia="Arial" w:hAnsi="Arial"/>
                <w:sz w:val="17"/>
                <w:szCs w:val="17"/>
                <w:color w:val="0000EE"/>
              </w:rPr>
            </w:pPr>
            <w:hyperlink w:anchor="page82">
              <w:r>
                <w:rPr>
                  <w:rFonts w:ascii="Arial" w:cs="Arial" w:eastAsia="Arial" w:hAnsi="Arial"/>
                  <w:sz w:val="17"/>
                  <w:szCs w:val="17"/>
                  <w:color w:val="0000EE"/>
                </w:rPr>
                <w:t>Matters</w:t>
              </w:r>
            </w:hyperlink>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13.</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Certain Relationships and Related Transactions, and Director Independence</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14.</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Principal Accounting Fees and Services</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b w:val="1"/>
                <w:bCs w:val="1"/>
                <w:color w:val="0000EE"/>
              </w:rPr>
            </w:pPr>
            <w:hyperlink w:anchor="page82">
              <w:r>
                <w:rPr>
                  <w:rFonts w:ascii="Arial" w:cs="Arial" w:eastAsia="Arial" w:hAnsi="Arial"/>
                  <w:sz w:val="17"/>
                  <w:szCs w:val="17"/>
                  <w:b w:val="1"/>
                  <w:bCs w:val="1"/>
                  <w:color w:val="0000EE"/>
                </w:rPr>
                <w:t>PART IV</w:t>
              </w:r>
            </w:hyperlink>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00" w:type="dxa"/>
            <w:vAlign w:val="bottom"/>
            <w:gridSpan w:val="7"/>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15.</w:t>
              </w:r>
            </w:hyperlink>
          </w:p>
        </w:tc>
        <w:tc>
          <w:tcPr>
            <w:tcW w:w="7620" w:type="dxa"/>
            <w:vAlign w:val="bottom"/>
            <w:gridSpan w:val="24"/>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Exhibits and Financial Statement Schedules</w:t>
              </w:r>
            </w:hyperlink>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7"/>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Item 16.</w:t>
              </w:r>
            </w:hyperlink>
          </w:p>
        </w:tc>
        <w:tc>
          <w:tcPr>
            <w:tcW w:w="7620" w:type="dxa"/>
            <w:vAlign w:val="bottom"/>
            <w:gridSpan w:val="24"/>
            <w:shd w:val="clear" w:color="auto" w:fill="CCEEFF"/>
          </w:tcPr>
          <w:p>
            <w:pPr>
              <w:spacing w:after="0" w:line="189" w:lineRule="exact"/>
              <w:rPr>
                <w:rFonts w:ascii="Arial" w:cs="Arial" w:eastAsia="Arial" w:hAnsi="Arial"/>
                <w:sz w:val="17"/>
                <w:szCs w:val="17"/>
                <w:color w:val="0000EE"/>
              </w:rPr>
            </w:pPr>
            <w:hyperlink w:anchor="page82">
              <w:r>
                <w:rPr>
                  <w:rFonts w:ascii="Arial" w:cs="Arial" w:eastAsia="Arial" w:hAnsi="Arial"/>
                  <w:sz w:val="17"/>
                  <w:szCs w:val="17"/>
                  <w:color w:val="0000EE"/>
                </w:rPr>
                <w:t>Form 10-K Summary</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20" w:type="dxa"/>
            <w:vAlign w:val="bottom"/>
            <w:gridSpan w:val="31"/>
            <w:shd w:val="clear" w:color="auto" w:fill="CCEEFF"/>
          </w:tcPr>
          <w:p>
            <w:pPr>
              <w:spacing w:after="0" w:line="189" w:lineRule="exact"/>
              <w:rPr>
                <w:rFonts w:ascii="Arial" w:cs="Arial" w:eastAsia="Arial" w:hAnsi="Arial"/>
                <w:sz w:val="17"/>
                <w:szCs w:val="17"/>
                <w:color w:val="0000EE"/>
              </w:rPr>
            </w:pPr>
            <w:hyperlink w:anchor="page83">
              <w:r>
                <w:rPr>
                  <w:rFonts w:ascii="Arial" w:cs="Arial" w:eastAsia="Arial" w:hAnsi="Arial"/>
                  <w:sz w:val="17"/>
                  <w:szCs w:val="17"/>
                  <w:color w:val="0000EE"/>
                </w:rPr>
                <w:t>INDEX OF EXHIBITS</w:t>
              </w:r>
            </w:hyperlink>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gridSpan w:val="2"/>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9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Borders>
              <w:bottom w:val="single" w:sz="8" w:color="auto"/>
            </w:tcBorders>
            <w:gridSpan w:val="31"/>
            <w:shd w:val="clear" w:color="auto" w:fill="CCEEFF"/>
          </w:tcPr>
          <w:p>
            <w:pPr>
              <w:spacing w:after="0" w:line="189" w:lineRule="exact"/>
              <w:rPr>
                <w:rFonts w:ascii="Arial" w:cs="Arial" w:eastAsia="Arial" w:hAnsi="Arial"/>
                <w:sz w:val="17"/>
                <w:szCs w:val="17"/>
                <w:color w:val="0000EE"/>
              </w:rPr>
            </w:pPr>
            <w:hyperlink w:anchor="page86">
              <w:r>
                <w:rPr>
                  <w:rFonts w:ascii="Arial" w:cs="Arial" w:eastAsia="Arial" w:hAnsi="Arial"/>
                  <w:sz w:val="17"/>
                  <w:szCs w:val="17"/>
                  <w:color w:val="0000EE"/>
                </w:rPr>
                <w:t>SIGNATURES</w:t>
              </w:r>
            </w:hyperlink>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337"/>
        </w:trPr>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440" w:right="1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This Annual Report on Form 10-K (“Annual Report”)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Statements may be forward looking even in the absence of these particular words.</w:t>
      </w:r>
    </w:p>
    <w:p>
      <w:pPr>
        <w:spacing w:after="0" w:line="161"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Examples of forward-looking statements include, but are not limited to, statements regarding our financial position, business strategy, and other plans and objectives for our future operations, and generation of free cash flow. These forward-looking statements are based on our current expectations and beliefs concerning future developments and their potential effect on us. The forward-looking statements contained in this Annual Report are largely based on our expectations for the future, which reflect certain estimates and assumptions made by our management. These estimates and assumptions reflect our best judgment based on currently known market conditions, operating trends, and other factors. Although we believe such estimates and assumptions to be reasonable, they are inherently uncertain and involve a number of risks and uncertainties that are beyond our control. As such, management’s assumptions about future events may prove to be inaccurate. For a more detailed description of the risks and uncertainties involved, see “Risk Factors” and “Management’s Discussion and Analysis of Financial Condition and Results of Operations.”</w:t>
      </w:r>
    </w:p>
    <w:p>
      <w:pPr>
        <w:spacing w:after="0" w:line="167"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We do not intend to publicly update or revise any forward-looking statements as a result of new information, future events, changes in circumstances, or otherwise. These cautionary statements qualify all forward-looking statements attributable to us, or persons acting on our behalf. Management cautions you that the forward-looking statements contained herein are not guarantees of future performance, and we cannot assure you that such statements will be realized or that the events and circumstances they describe will occur. Factors that could cause actual results to differ materially from those anticipated or implied in the forward-looking statements herein include, but are not limited to a change in the relationship with any of our key suppliers, including the unavailability of premium products at competitive prices, a change in negotiated volume discounts, cooperative advertising, markdown allowances, or the ability to cancel orders and return excess or unneeded merchandise; our ability to fund our planned capital investments; volatility in the financial markets or other global economic factors; difficulties in appropriately allocating capital and resources among our strategic opportunities; our ability to realize the expected benefits from recent or future acquisitions; business opportunities and expansion; investments; expenses; dividends; share repurchases; liquidity; cash flow from operations; use of cash and cash requirements; borrowing capacity and use of proceeds; repatriation of cash to the United States; supply chain issues, including delays in merchandise receipts and increasing cost pressure caused by higher oceanic shipping and freight costs; labor shortages; expectations regarding increased wages; inflation; consumer spending levels; the effect of governmental assistance programs; social unrest; the direct and indirect effects of all variants of the coronavirus pandemic (COVID-19) on our business, including any adverse effects of COVID-19 vaccine mandates or other safety protocols; expectations regarding increasing global taxes; the effect of government regulation, including changes in law; the effect of the adverse outcome of any material litigation against us or judicial decisions that affect us or our industry generally; the effects of weather; climate change; increased competition; the financial effect of accounting regulations and critical accounting policies; credit risk relating to the risk of loss as a result of non-performance by our counterparties; and any other factors set forth in the section entitled “Risk Factors” in this Annual Report.</w:t>
      </w:r>
    </w:p>
    <w:p>
      <w:pPr>
        <w:spacing w:after="0" w:line="16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All written and oral forward-looking statements attributable to us are expressly qualified in their entirety by this cautionary statement. A forward-looking statement is neither a prediction nor a guarantee of future events or circumstances, and those future events or circumstances may not occur. You should not place undue reliance on forward-looking statements, which speak to our views only as of the date of this filing. Additional risks and uncertainties that we do not presently know about or that we currently consider to be insignificant may also affect our business operations and financial performance. The Company does not undertake to update any particular forward-looking statement included in this document. See “Risk Factors” included in this Annual Report for discussion of certain risks relating to our businesses and investment in our securities. We are including this cautionary note to make applicable, and take advantage of, the safe harbor provisions of the Private Securities Litigation Reform Act of 1995 for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1122045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18" w:right="1440"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PART I</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Foot Locker, Inc., incorporated under the laws of the State of New York in 1989, is a leading global retailer. Foot Locker, Inc. leads the celebration of sneaker and youth culture around the globe through a portfolio of brands including Foot Locker, Lady Foot Locker, Kids Foot Locker, Champs Sports, Eastbay, atmos, WSS, Footaction, and Sidestep. As of January 29, 2022, we operated 2,858 primarily mall-based stores, as well as stores in high-traffic urban retail areas and high streets, in 28 countries across the United States, Canada, Europe, Australia, New Zealand, and Asia, as well as websites and mobile apps. Our purpose is to inspire and empower youth culture around the world, by fueling a shared passion for self-expression and creating unrivaled experiences at the heart of the global sneaker community.</w:t>
      </w:r>
    </w:p>
    <w:p>
      <w:pPr>
        <w:spacing w:after="0" w:line="15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kidsfootlocker.com, champssports.com, atmosusa.com, shopwss.com and related e-commerce sites in the various international countries that we operate. These sites offer some of the largest online product selections and provide a seamless link between e-commerce and physical stores. We also operate the websites for eastbay.com and eastbayteamsales.com.</w:t>
      </w:r>
    </w:p>
    <w:p>
      <w:pPr>
        <w:spacing w:after="0" w:line="161"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Foot Locker, Inc. and its subsidiaries hereafter are referred to as the “Registrant,” “Company,” “we,” “our,” or “us.” Foot Locker, Inc. has its corporate headquarters in New York. The service marks, tradenames, and trademarks appearing in this report (except for Nike, Jordan, adidas, and Puma) are owned by Foot Locker, Inc. or its subsidiaries.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and Operations Profile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1280" w:type="dxa"/>
            <w:vAlign w:val="bottom"/>
            <w:vMerge w:val="restart"/>
          </w:tcPr>
          <w:p>
            <w:pPr>
              <w:jc w:val="right"/>
              <w:ind w:right="35"/>
              <w:spacing w:after="0"/>
              <w:rPr>
                <w:sz w:val="20"/>
                <w:szCs w:val="20"/>
                <w:color w:val="auto"/>
              </w:rPr>
            </w:pPr>
            <w:r>
              <w:rPr>
                <w:rFonts w:ascii="Arial" w:cs="Arial" w:eastAsia="Arial" w:hAnsi="Arial"/>
                <w:sz w:val="17"/>
                <w:szCs w:val="17"/>
                <w:color w:val="auto"/>
              </w:rPr>
              <w:t>January 30,</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January 29,</w:t>
            </w:r>
          </w:p>
        </w:tc>
        <w:tc>
          <w:tcPr>
            <w:tcW w:w="134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Relocations/</w:t>
            </w:r>
          </w:p>
        </w:tc>
        <w:tc>
          <w:tcPr>
            <w:tcW w:w="168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b w:val="1"/>
                <w:bCs w:val="1"/>
                <w:color w:val="auto"/>
              </w:rPr>
              <w:t>Square Footage</w:t>
            </w: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80" w:type="dxa"/>
            <w:vAlign w:val="bottom"/>
            <w:gridSpan w:val="2"/>
          </w:tcPr>
          <w:p>
            <w:pPr>
              <w:jc w:val="right"/>
              <w:ind w:right="175"/>
              <w:spacing w:after="0" w:line="156" w:lineRule="exact"/>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15"/>
        </w:trPr>
        <w:tc>
          <w:tcPr>
            <w:tcW w:w="18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2021</w:t>
            </w:r>
          </w:p>
        </w:tc>
        <w:tc>
          <w:tcPr>
            <w:tcW w:w="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Opened</w:t>
            </w: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Closed</w:t>
            </w: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Remodels</w:t>
            </w: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Selling</w:t>
            </w:r>
          </w:p>
        </w:tc>
        <w:tc>
          <w:tcPr>
            <w:tcW w:w="8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Gross</w:t>
            </w:r>
          </w:p>
        </w:tc>
        <w:tc>
          <w:tcPr>
            <w:tcW w:w="0" w:type="dxa"/>
            <w:vAlign w:val="bottom"/>
          </w:tcPr>
          <w:p>
            <w:pPr>
              <w:spacing w:after="0"/>
              <w:rPr>
                <w:sz w:val="1"/>
                <w:szCs w:val="1"/>
                <w:color w:val="auto"/>
              </w:rPr>
            </w:pPr>
          </w:p>
        </w:tc>
      </w:tr>
      <w:tr>
        <w:trPr>
          <w:trHeight w:val="183"/>
        </w:trPr>
        <w:tc>
          <w:tcPr>
            <w:tcW w:w="1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Foot Locker U.S.</w:t>
            </w:r>
          </w:p>
        </w:tc>
        <w:tc>
          <w:tcPr>
            <w:tcW w:w="128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848</w:t>
            </w:r>
          </w:p>
        </w:tc>
        <w:tc>
          <w:tcPr>
            <w:tcW w:w="9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24</w:t>
            </w:r>
          </w:p>
        </w:tc>
        <w:tc>
          <w:tcPr>
            <w:tcW w:w="9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70</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802</w:t>
            </w:r>
          </w:p>
        </w:tc>
        <w:tc>
          <w:tcPr>
            <w:tcW w:w="13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63</w:t>
            </w:r>
          </w:p>
        </w:tc>
        <w:tc>
          <w:tcPr>
            <w:tcW w:w="8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2,402</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4,155</w:t>
            </w:r>
          </w:p>
        </w:tc>
        <w:tc>
          <w:tcPr>
            <w:tcW w:w="0" w:type="dxa"/>
            <w:vAlign w:val="bottom"/>
          </w:tcPr>
          <w:p>
            <w:pPr>
              <w:spacing w:after="0"/>
              <w:rPr>
                <w:sz w:val="1"/>
                <w:szCs w:val="1"/>
                <w:color w:val="auto"/>
              </w:rPr>
            </w:pPr>
          </w:p>
        </w:tc>
      </w:tr>
      <w:tr>
        <w:trPr>
          <w:trHeight w:val="189"/>
        </w:trPr>
        <w:tc>
          <w:tcPr>
            <w:tcW w:w="1800" w:type="dxa"/>
            <w:vAlign w:val="bottom"/>
          </w:tcPr>
          <w:p>
            <w:pPr>
              <w:spacing w:after="0" w:line="189" w:lineRule="exact"/>
              <w:rPr>
                <w:sz w:val="20"/>
                <w:szCs w:val="20"/>
                <w:color w:val="auto"/>
              </w:rPr>
            </w:pPr>
            <w:r>
              <w:rPr>
                <w:rFonts w:ascii="Arial" w:cs="Arial" w:eastAsia="Arial" w:hAnsi="Arial"/>
                <w:sz w:val="17"/>
                <w:szCs w:val="17"/>
                <w:color w:val="auto"/>
              </w:rPr>
              <w:t>Foot Locker Europe</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624</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29</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27</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626</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32</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1,074</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2,249</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 Locker Canada</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101</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95</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253</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416</w:t>
            </w:r>
          </w:p>
        </w:tc>
        <w:tc>
          <w:tcPr>
            <w:tcW w:w="0" w:type="dxa"/>
            <w:vAlign w:val="bottom"/>
          </w:tcPr>
          <w:p>
            <w:pPr>
              <w:spacing w:after="0"/>
              <w:rPr>
                <w:sz w:val="1"/>
                <w:szCs w:val="1"/>
                <w:color w:val="auto"/>
              </w:rPr>
            </w:pPr>
          </w:p>
        </w:tc>
      </w:tr>
      <w:tr>
        <w:trPr>
          <w:trHeight w:val="189"/>
        </w:trPr>
        <w:tc>
          <w:tcPr>
            <w:tcW w:w="1800" w:type="dxa"/>
            <w:vAlign w:val="bottom"/>
          </w:tcPr>
          <w:p>
            <w:pPr>
              <w:spacing w:after="0" w:line="189" w:lineRule="exact"/>
              <w:rPr>
                <w:sz w:val="20"/>
                <w:szCs w:val="20"/>
                <w:color w:val="auto"/>
              </w:rPr>
            </w:pPr>
            <w:r>
              <w:rPr>
                <w:rFonts w:ascii="Arial" w:cs="Arial" w:eastAsia="Arial" w:hAnsi="Arial"/>
                <w:sz w:val="17"/>
                <w:szCs w:val="17"/>
                <w:color w:val="auto"/>
              </w:rPr>
              <w:t>Foot Locker Pacific</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93</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94</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13</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188</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294</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 Locker Asia</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20</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114</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199</w:t>
            </w:r>
          </w:p>
        </w:tc>
        <w:tc>
          <w:tcPr>
            <w:tcW w:w="0" w:type="dxa"/>
            <w:vAlign w:val="bottom"/>
          </w:tcPr>
          <w:p>
            <w:pPr>
              <w:spacing w:after="0"/>
              <w:rPr>
                <w:sz w:val="1"/>
                <w:szCs w:val="1"/>
                <w:color w:val="auto"/>
              </w:rPr>
            </w:pPr>
          </w:p>
        </w:tc>
      </w:tr>
      <w:tr>
        <w:trPr>
          <w:trHeight w:val="189"/>
        </w:trPr>
        <w:tc>
          <w:tcPr>
            <w:tcW w:w="1800" w:type="dxa"/>
            <w:vAlign w:val="bottom"/>
          </w:tcPr>
          <w:p>
            <w:pPr>
              <w:spacing w:after="0" w:line="189" w:lineRule="exact"/>
              <w:rPr>
                <w:sz w:val="20"/>
                <w:szCs w:val="20"/>
                <w:color w:val="auto"/>
              </w:rPr>
            </w:pPr>
            <w:r>
              <w:rPr>
                <w:rFonts w:ascii="Arial" w:cs="Arial" w:eastAsia="Arial" w:hAnsi="Arial"/>
                <w:sz w:val="17"/>
                <w:szCs w:val="17"/>
                <w:color w:val="auto"/>
              </w:rPr>
              <w:t>Kids Foot Locker</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422</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18</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410</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37</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748</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1,274</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Lady Foot Locker</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35</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21</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14</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15</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38</w:t>
            </w:r>
          </w:p>
        </w:tc>
        <w:tc>
          <w:tcPr>
            <w:tcW w:w="0" w:type="dxa"/>
            <w:vAlign w:val="bottom"/>
          </w:tcPr>
          <w:p>
            <w:pPr>
              <w:spacing w:after="0"/>
              <w:rPr>
                <w:sz w:val="1"/>
                <w:szCs w:val="1"/>
                <w:color w:val="auto"/>
              </w:rPr>
            </w:pPr>
          </w:p>
        </w:tc>
      </w:tr>
      <w:tr>
        <w:trPr>
          <w:trHeight w:val="189"/>
        </w:trPr>
        <w:tc>
          <w:tcPr>
            <w:tcW w:w="1800" w:type="dxa"/>
            <w:vAlign w:val="bottom"/>
          </w:tcPr>
          <w:p>
            <w:pPr>
              <w:spacing w:after="0" w:line="189" w:lineRule="exact"/>
              <w:rPr>
                <w:sz w:val="20"/>
                <w:szCs w:val="20"/>
                <w:color w:val="auto"/>
              </w:rPr>
            </w:pPr>
            <w:r>
              <w:rPr>
                <w:rFonts w:ascii="Arial" w:cs="Arial" w:eastAsia="Arial" w:hAnsi="Arial"/>
                <w:sz w:val="17"/>
                <w:szCs w:val="17"/>
                <w:color w:val="auto"/>
              </w:rPr>
              <w:t>Champs Sports</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539</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12</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26</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525</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23</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1,905</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2,985</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Footaction</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240</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199</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41</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113</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190</w:t>
            </w:r>
          </w:p>
        </w:tc>
        <w:tc>
          <w:tcPr>
            <w:tcW w:w="0" w:type="dxa"/>
            <w:vAlign w:val="bottom"/>
          </w:tcPr>
          <w:p>
            <w:pPr>
              <w:spacing w:after="0"/>
              <w:rPr>
                <w:sz w:val="1"/>
                <w:szCs w:val="1"/>
                <w:color w:val="auto"/>
              </w:rPr>
            </w:pPr>
          </w:p>
        </w:tc>
      </w:tr>
      <w:tr>
        <w:trPr>
          <w:trHeight w:val="189"/>
        </w:trPr>
        <w:tc>
          <w:tcPr>
            <w:tcW w:w="1800" w:type="dxa"/>
            <w:vAlign w:val="bottom"/>
          </w:tcPr>
          <w:p>
            <w:pPr>
              <w:spacing w:after="0" w:line="189" w:lineRule="exact"/>
              <w:rPr>
                <w:sz w:val="20"/>
                <w:szCs w:val="20"/>
                <w:color w:val="auto"/>
              </w:rPr>
            </w:pPr>
            <w:r>
              <w:rPr>
                <w:rFonts w:ascii="Arial" w:cs="Arial" w:eastAsia="Arial" w:hAnsi="Arial"/>
                <w:sz w:val="17"/>
                <w:szCs w:val="17"/>
                <w:color w:val="auto"/>
              </w:rPr>
              <w:t>Sidestep</w:t>
            </w:r>
          </w:p>
        </w:tc>
        <w:tc>
          <w:tcPr>
            <w:tcW w:w="12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76</w:t>
            </w:r>
          </w:p>
        </w:tc>
        <w:tc>
          <w:tcPr>
            <w:tcW w:w="9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16</w:t>
            </w:r>
          </w:p>
        </w:tc>
        <w:tc>
          <w:tcPr>
            <w:tcW w:w="9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w:t>
            </w:r>
          </w:p>
        </w:tc>
        <w:tc>
          <w:tcPr>
            <w:tcW w:w="13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5</w:t>
            </w:r>
          </w:p>
        </w:tc>
        <w:tc>
          <w:tcPr>
            <w:tcW w:w="8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104</w:t>
            </w:r>
          </w:p>
        </w:tc>
        <w:tc>
          <w:tcPr>
            <w:tcW w:w="8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196</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WSS</w:t>
            </w:r>
          </w:p>
        </w:tc>
        <w:tc>
          <w:tcPr>
            <w:tcW w:w="12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100</w:t>
            </w:r>
          </w:p>
        </w:tc>
        <w:tc>
          <w:tcPr>
            <w:tcW w:w="9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98</w:t>
            </w:r>
          </w:p>
        </w:tc>
        <w:tc>
          <w:tcPr>
            <w:tcW w:w="13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958</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1,217</w:t>
            </w:r>
          </w:p>
        </w:tc>
        <w:tc>
          <w:tcPr>
            <w:tcW w:w="0" w:type="dxa"/>
            <w:vAlign w:val="bottom"/>
          </w:tcPr>
          <w:p>
            <w:pPr>
              <w:spacing w:after="0"/>
              <w:rPr>
                <w:sz w:val="1"/>
                <w:szCs w:val="1"/>
                <w:color w:val="auto"/>
              </w:rPr>
            </w:pPr>
          </w:p>
        </w:tc>
      </w:tr>
      <w:tr>
        <w:trPr>
          <w:trHeight w:val="189"/>
        </w:trPr>
        <w:tc>
          <w:tcPr>
            <w:tcW w:w="18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atmos</w:t>
            </w:r>
          </w:p>
        </w:tc>
        <w:tc>
          <w:tcPr>
            <w:tcW w:w="128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38</w:t>
            </w:r>
          </w:p>
        </w:tc>
        <w:tc>
          <w:tcPr>
            <w:tcW w:w="9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37</w:t>
            </w:r>
          </w:p>
        </w:tc>
        <w:tc>
          <w:tcPr>
            <w:tcW w:w="13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8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36</w:t>
            </w: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63</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2,998</w:t>
            </w:r>
          </w:p>
        </w:tc>
        <w:tc>
          <w:tcPr>
            <w:tcW w:w="9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251</w:t>
            </w:r>
          </w:p>
        </w:tc>
        <w:tc>
          <w:tcPr>
            <w:tcW w:w="9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391</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2,858</w:t>
            </w:r>
          </w:p>
        </w:tc>
        <w:tc>
          <w:tcPr>
            <w:tcW w:w="13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182</w:t>
            </w:r>
          </w:p>
        </w:tc>
        <w:tc>
          <w:tcPr>
            <w:tcW w:w="8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7,910</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13,276</w:t>
            </w:r>
          </w:p>
        </w:tc>
        <w:tc>
          <w:tcPr>
            <w:tcW w:w="0" w:type="dxa"/>
            <w:vAlign w:val="bottom"/>
          </w:tcPr>
          <w:p>
            <w:pPr>
              <w:spacing w:after="0"/>
              <w:rPr>
                <w:sz w:val="1"/>
                <w:szCs w:val="1"/>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As of January 29, 2022, we operate 62 Community and Power Stores across the geographies that we operate in. Community Stores are off-mall stores that focus on creating authentic trust with local consumers and provide elevated shopping experiences with community spaces. Power Stores are stores that provide a seamless and convenient shopping journey for the full family. Both Community and Power Stores provide pinnacle retail experiences that deliver connected customer interactions through service, experience, product, and a sense of community. The following is a brief description of each of our banners:</w:t>
      </w:r>
    </w:p>
    <w:p>
      <w:pPr>
        <w:spacing w:after="0" w:line="143"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i w:val="1"/>
          <w:iCs w:val="1"/>
          <w:color w:val="auto"/>
        </w:rPr>
        <w:t xml:space="preserve">Foot Locker — </w:t>
      </w:r>
      <w:r>
        <w:rPr>
          <w:rFonts w:ascii="Arial" w:cs="Arial" w:eastAsia="Arial" w:hAnsi="Arial"/>
          <w:sz w:val="17"/>
          <w:szCs w:val="17"/>
          <w:color w:val="auto"/>
        </w:rPr>
        <w:t>Foot Locker is a leading global youth culture brand that connects the sneaker obsessed consumer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innovative and culturally relevant sneakers and apparel. Across all our consumer touchpoints, Foot Locker enables consumers to fulfill their desire to be part of sneaker and youth culture. We curate special product assortments and marketing content that supports our premium position, from leading global brands such as Nike, Jordan, adidas, and Puma, as well as new and emerging brands in the athletic and lifestyle space. We connect emotionally with our consumers through a combination of global brand events, highly targeted and personalized experiences in local markets, and through our social and digital channels. Foot Locker’s 1,647 stores are located in 28 countries including 802 in the United States, Puerto Rico, U.S. Virgin Islands, and Guam, 95 in Canada, 626 in Europe, a combined 94 in Australia and New Zealand, and 30 in Asia. Our domestic stores have an average of 3,000 selling square feet and our international stores have an average of 1,900 selling square feet.</w:t>
      </w:r>
    </w:p>
    <w:p>
      <w:pPr>
        <w:spacing w:after="0" w:line="15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4" w:name="page5"/>
    <w:bookmarkEnd w:id="4"/>
    <w:p>
      <w:pPr>
        <w:jc w:val="both"/>
        <w:ind w:right="59"/>
        <w:spacing w:after="0" w:line="237" w:lineRule="auto"/>
        <w:rPr>
          <w:sz w:val="20"/>
          <w:szCs w:val="20"/>
          <w:color w:val="auto"/>
        </w:rPr>
      </w:pPr>
      <w:r>
        <w:rPr>
          <w:rFonts w:ascii="Arial" w:cs="Arial" w:eastAsia="Arial" w:hAnsi="Arial"/>
          <w:sz w:val="17"/>
          <w:szCs w:val="17"/>
          <w:i w:val="1"/>
          <w:iCs w:val="1"/>
          <w:color w:val="auto"/>
        </w:rPr>
        <w:t xml:space="preserve">Kids Foot Locker — </w:t>
      </w:r>
      <w:r>
        <w:rPr>
          <w:rFonts w:ascii="Arial" w:cs="Arial" w:eastAsia="Arial" w:hAnsi="Arial"/>
          <w:sz w:val="17"/>
          <w:szCs w:val="17"/>
          <w:color w:val="auto"/>
        </w:rPr>
        <w:t>Kids Foot Locker offers a large selection of premium brand-name athletic footwear, apparel, and</w:t>
      </w:r>
      <w:r>
        <w:rPr>
          <w:rFonts w:ascii="Arial" w:cs="Arial" w:eastAsia="Arial" w:hAnsi="Arial"/>
          <w:sz w:val="17"/>
          <w:szCs w:val="17"/>
          <w:i w:val="1"/>
          <w:iCs w:val="1"/>
          <w:color w:val="auto"/>
        </w:rPr>
        <w:t xml:space="preserve"> </w:t>
      </w:r>
      <w:r>
        <w:rPr>
          <w:rFonts w:ascii="Arial" w:cs="Arial" w:eastAsia="Arial" w:hAnsi="Arial"/>
          <w:sz w:val="17"/>
          <w:szCs w:val="17"/>
          <w:color w:val="auto"/>
        </w:rPr>
        <w:t>accessories for children. Kids Foot Locker enables youth of all ages to participate in sneaker culture and helps their parents shop in a curated environment with only the best assortment in stores and online. We drive a sense of community in local markets through our newly-launched "House of Play" Community Store concept, which connects with kids, parents, and caregivers through the power of play –– offering experiences and products that celebrate the wonder and fun of childhood. Of our 410 stores, 373 are located in the United States, and Puerto Rico, 20 in Europe, 15 in Canada, 1 in Australia, and 1 in New Zealand. These stores have an average of 1,800 selling square feet.</w:t>
      </w:r>
    </w:p>
    <w:p>
      <w:pPr>
        <w:spacing w:after="0" w:line="134"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Lady Foot Locker — </w:t>
      </w:r>
      <w:r>
        <w:rPr>
          <w:rFonts w:ascii="Arial" w:cs="Arial" w:eastAsia="Arial" w:hAnsi="Arial"/>
          <w:sz w:val="17"/>
          <w:szCs w:val="17"/>
          <w:color w:val="auto"/>
        </w:rPr>
        <w:t>Lady Foot Locker is a U.S. retailer of athletic footwear, apparel, and accessories dedicated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sneaker-obsessed young women. Our stores provide premium sneakers and apparel, carefully selected to reflect the latest styles. Lady Foot Locker operates 14 stores that are located in the United States and Puerto Rico. These stores have an average of 1,100 selling square feet.</w:t>
      </w:r>
    </w:p>
    <w:p>
      <w:pPr>
        <w:spacing w:after="0" w:line="140"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i w:val="1"/>
          <w:iCs w:val="1"/>
          <w:color w:val="auto"/>
        </w:rPr>
        <w:t xml:space="preserve">Champs Sports — </w:t>
      </w:r>
      <w:r>
        <w:rPr>
          <w:rFonts w:ascii="Arial" w:cs="Arial" w:eastAsia="Arial" w:hAnsi="Arial"/>
          <w:sz w:val="17"/>
          <w:szCs w:val="17"/>
          <w:color w:val="auto"/>
        </w:rPr>
        <w:t>Champs Sports is one of the largest primarily mall-based specialty athletic footwear and apparel</w:t>
      </w:r>
      <w:r>
        <w:rPr>
          <w:rFonts w:ascii="Arial" w:cs="Arial" w:eastAsia="Arial" w:hAnsi="Arial"/>
          <w:sz w:val="17"/>
          <w:szCs w:val="17"/>
          <w:i w:val="1"/>
          <w:iCs w:val="1"/>
          <w:color w:val="auto"/>
        </w:rPr>
        <w:t xml:space="preserve"> </w:t>
      </w:r>
      <w:r>
        <w:rPr>
          <w:rFonts w:ascii="Arial" w:cs="Arial" w:eastAsia="Arial" w:hAnsi="Arial"/>
          <w:sz w:val="17"/>
          <w:szCs w:val="17"/>
          <w:color w:val="auto"/>
        </w:rPr>
        <w:t>retailers in North America. With a focus on the lifestyle expression of sport, Champs Sports’ product categories include athletic footwear and apparel, and sport-lifestyle inspired accessories. This assortment allows Champs Sports to offer the best head-to-toe fashion stories representing the most powerful athletic brands, sports teams, and athletes in North America. Of our 525 stores, 492 are located in the United States, Puerto Rico, and the U.S. Virgin Islands and 33 in Canada. The Champs Sports stores have an average of 3,600 selling square feet.</w:t>
      </w:r>
    </w:p>
    <w:p>
      <w:pPr>
        <w:spacing w:after="0" w:line="146" w:lineRule="exact"/>
        <w:rPr>
          <w:sz w:val="20"/>
          <w:szCs w:val="20"/>
          <w:color w:val="auto"/>
        </w:rPr>
      </w:pPr>
    </w:p>
    <w:p>
      <w:pPr>
        <w:jc w:val="both"/>
        <w:ind w:right="59"/>
        <w:spacing w:after="0" w:line="237" w:lineRule="auto"/>
        <w:rPr>
          <w:sz w:val="20"/>
          <w:szCs w:val="20"/>
          <w:color w:val="auto"/>
        </w:rPr>
      </w:pPr>
      <w:r>
        <w:rPr>
          <w:rFonts w:ascii="Arial" w:cs="Arial" w:eastAsia="Arial" w:hAnsi="Arial"/>
          <w:sz w:val="17"/>
          <w:szCs w:val="17"/>
          <w:i w:val="1"/>
          <w:iCs w:val="1"/>
          <w:color w:val="auto"/>
        </w:rPr>
        <w:t xml:space="preserve">Footaction — </w:t>
      </w:r>
      <w:r>
        <w:rPr>
          <w:rFonts w:ascii="Arial" w:cs="Arial" w:eastAsia="Arial" w:hAnsi="Arial"/>
          <w:sz w:val="17"/>
          <w:szCs w:val="17"/>
          <w:color w:val="auto"/>
        </w:rPr>
        <w:t>During the second quarter of 2021, we announced that in order to position our fleet for the future, we</w:t>
      </w:r>
      <w:r>
        <w:rPr>
          <w:rFonts w:ascii="Arial" w:cs="Arial" w:eastAsia="Arial" w:hAnsi="Arial"/>
          <w:sz w:val="17"/>
          <w:szCs w:val="17"/>
          <w:i w:val="1"/>
          <w:iCs w:val="1"/>
          <w:color w:val="auto"/>
        </w:rPr>
        <w:t xml:space="preserve"> </w:t>
      </w:r>
      <w:r>
        <w:rPr>
          <w:rFonts w:ascii="Arial" w:cs="Arial" w:eastAsia="Arial" w:hAnsi="Arial"/>
          <w:sz w:val="17"/>
          <w:szCs w:val="17"/>
          <w:color w:val="auto"/>
        </w:rPr>
        <w:t>planned to convert approximately one third of the approximately 200 Footaction stores into new Foot Locker stores, enabling us to elevate our women’s, kids’ and apparel presence, as well as new Champs Sports and Kids Foot Locker stores. Of our 41 remaining stores, 40 are located in the United States and Puerto Rico and 1 is in Canada. We plan to close the remaining stores, either through natural lease expiration or early termination by the end of 2022. The e-commerce site will be closed down during the early part of 2022 with the traffic re-directed to our other e-commerce sites.</w:t>
      </w:r>
    </w:p>
    <w:p>
      <w:pPr>
        <w:spacing w:after="0" w:line="134" w:lineRule="exact"/>
        <w:rPr>
          <w:sz w:val="20"/>
          <w:szCs w:val="20"/>
          <w:color w:val="auto"/>
        </w:rPr>
      </w:pPr>
    </w:p>
    <w:p>
      <w:pPr>
        <w:jc w:val="both"/>
        <w:ind w:right="59"/>
        <w:spacing w:after="0" w:line="248" w:lineRule="auto"/>
        <w:rPr>
          <w:sz w:val="20"/>
          <w:szCs w:val="20"/>
          <w:color w:val="auto"/>
        </w:rPr>
      </w:pPr>
      <w:r>
        <w:rPr>
          <w:rFonts w:ascii="Arial" w:cs="Arial" w:eastAsia="Arial" w:hAnsi="Arial"/>
          <w:sz w:val="17"/>
          <w:szCs w:val="17"/>
          <w:i w:val="1"/>
          <w:iCs w:val="1"/>
          <w:color w:val="auto"/>
        </w:rPr>
        <w:t xml:space="preserve">Sidestep — </w:t>
      </w:r>
      <w:r>
        <w:rPr>
          <w:rFonts w:ascii="Arial" w:cs="Arial" w:eastAsia="Arial" w:hAnsi="Arial"/>
          <w:sz w:val="17"/>
          <w:szCs w:val="17"/>
          <w:color w:val="auto"/>
        </w:rPr>
        <w:t>Sidestep is a predominantly athletic fashion footwear banner. Our 86 stores are located in Germany,</w:t>
      </w:r>
      <w:r>
        <w:rPr>
          <w:rFonts w:ascii="Arial" w:cs="Arial" w:eastAsia="Arial" w:hAnsi="Arial"/>
          <w:sz w:val="17"/>
          <w:szCs w:val="17"/>
          <w:i w:val="1"/>
          <w:iCs w:val="1"/>
          <w:color w:val="auto"/>
        </w:rPr>
        <w:t xml:space="preserve"> </w:t>
      </w:r>
      <w:r>
        <w:rPr>
          <w:rFonts w:ascii="Arial" w:cs="Arial" w:eastAsia="Arial" w:hAnsi="Arial"/>
          <w:sz w:val="17"/>
          <w:szCs w:val="17"/>
          <w:color w:val="auto"/>
        </w:rPr>
        <w:t>Netherlands, Spain, Belgium, Luxembourg, and Switzerland. Sidestep caters to a more discerning, fashion-forward consumer. Sidestep stores have an average of 1,200 selling square feet.</w:t>
      </w:r>
    </w:p>
    <w:p>
      <w:pPr>
        <w:spacing w:after="0" w:line="137" w:lineRule="exact"/>
        <w:rPr>
          <w:sz w:val="20"/>
          <w:szCs w:val="20"/>
          <w:color w:val="auto"/>
        </w:rPr>
      </w:pPr>
    </w:p>
    <w:p>
      <w:pPr>
        <w:jc w:val="both"/>
        <w:ind w:right="59"/>
        <w:spacing w:after="0"/>
        <w:rPr>
          <w:sz w:val="20"/>
          <w:szCs w:val="20"/>
          <w:color w:val="auto"/>
        </w:rPr>
      </w:pPr>
      <w:r>
        <w:rPr>
          <w:rFonts w:ascii="Arial" w:cs="Arial" w:eastAsia="Arial" w:hAnsi="Arial"/>
          <w:sz w:val="17"/>
          <w:szCs w:val="17"/>
          <w:i w:val="1"/>
          <w:iCs w:val="1"/>
          <w:color w:val="auto"/>
        </w:rPr>
        <w:t xml:space="preserve">Eastbay — </w:t>
      </w:r>
      <w:r>
        <w:rPr>
          <w:rFonts w:ascii="Arial" w:cs="Arial" w:eastAsia="Arial" w:hAnsi="Arial"/>
          <w:sz w:val="17"/>
          <w:szCs w:val="17"/>
          <w:color w:val="auto"/>
        </w:rPr>
        <w:t>Eastbay is a sporting goods direct-to-customer business operating in the United States, providing high</w:t>
      </w:r>
      <w:r>
        <w:rPr>
          <w:rFonts w:ascii="Arial" w:cs="Arial" w:eastAsia="Arial" w:hAnsi="Arial"/>
          <w:sz w:val="17"/>
          <w:szCs w:val="17"/>
          <w:i w:val="1"/>
          <w:iCs w:val="1"/>
          <w:color w:val="auto"/>
        </w:rPr>
        <w:t xml:space="preserve"> </w:t>
      </w:r>
      <w:r>
        <w:rPr>
          <w:rFonts w:ascii="Arial" w:cs="Arial" w:eastAsia="Arial" w:hAnsi="Arial"/>
          <w:sz w:val="17"/>
          <w:szCs w:val="17"/>
          <w:color w:val="auto"/>
        </w:rPr>
        <w:t>school and other athletes with a complete sports solution including athletic footwear, apparel, equipment, and team licensed merchandise for a broad range of sports. With over 100 sales professionals, Eastbay Team Sales connects directly with thousands of high school coaches and athletic directors in the United States to offer the best performance product and a premium service level.</w:t>
      </w:r>
    </w:p>
    <w:p>
      <w:pPr>
        <w:spacing w:after="0" w:line="143"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WSS — </w:t>
      </w:r>
      <w:r>
        <w:rPr>
          <w:rFonts w:ascii="Arial" w:cs="Arial" w:eastAsia="Arial" w:hAnsi="Arial"/>
          <w:sz w:val="17"/>
          <w:szCs w:val="17"/>
          <w:color w:val="auto"/>
        </w:rPr>
        <w:t>Acquired in 2021, WSS is an athletic-inspired retailer focused on the large and rapidly growing Hispanic</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demographic, operating a fleet of 98 off-mall stores in key markets across California, Texas, Arizona, and Nevada. WSS’s community-driven business benefits from deep relationships with customers. WSS stores have an average of 9,800 selling square feet.</w:t>
      </w:r>
    </w:p>
    <w:p>
      <w:pPr>
        <w:spacing w:after="0" w:line="126"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atmos — </w:t>
      </w:r>
      <w:r>
        <w:rPr>
          <w:rFonts w:ascii="Arial" w:cs="Arial" w:eastAsia="Arial" w:hAnsi="Arial"/>
          <w:sz w:val="17"/>
          <w:szCs w:val="17"/>
          <w:color w:val="auto"/>
        </w:rPr>
        <w:t>Acquired in 2021, atmos is a digitally-led, culturally-connected global brand featuring premium sneakers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apparel, an exclusive in-house label, collaborative relationships with leading vendors in the sneaker ecosystem, experiential stores, and a robust omni-channel platform. atmos operates 34 stores in Japan and 3 stores in the United States, with an average of 1,000 selling square feet. The brand is also licensed to various entities across Asia.</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Franchise/Licensed Operations</w:t>
      </w:r>
    </w:p>
    <w:p>
      <w:pPr>
        <w:spacing w:after="0" w:line="187"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We have a total of 142 franchised/licensed Foot Locker stores located within the Middle East and Asia as of January 29, 2022. These amounts are not included in the store counts in the table on the prior page.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athletic footwear and apparel industry is highly competitive. We compete primarily with athletic footwear specialty stores, sporting goods stores, department stores, traditional shoe stores, mass merchandisers, and online retailers, some of which are our suppliers.</w:t>
      </w:r>
    </w:p>
    <w:p>
      <w:pPr>
        <w:spacing w:after="0" w:line="16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31"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Merchandise Purchases</w:t>
      </w:r>
    </w:p>
    <w:p>
      <w:pPr>
        <w:spacing w:after="0" w:line="17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note in “Item 8. Consolidated Financial Statements and Supplementary Data.”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89"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We had 16,555 full-time and 33,378 part-time employees as of January 29, 2022, and we consider employee relations to be satisfactory.</w:t>
      </w:r>
    </w:p>
    <w:p>
      <w:pPr>
        <w:spacing w:after="0" w:line="14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Our purpose is to inspire and empower youth culture around the world, by fueling a shared passion for self-expression and creating unrivaled experiences at the heart of the global sneaker community. We believe the strength of our workforce is a significant contributor to our success as a global brand that leads with purpose. We seek to be a great place to work by cultivating and celebrating a culture that promotes diversity, inclusion, and belonging (DIBs). Our </w:t>
      </w:r>
      <w:r>
        <w:rPr>
          <w:rFonts w:ascii="Arial" w:cs="Arial" w:eastAsia="Arial" w:hAnsi="Arial"/>
          <w:sz w:val="17"/>
          <w:szCs w:val="17"/>
          <w:i w:val="1"/>
          <w:iCs w:val="1"/>
          <w:color w:val="auto"/>
        </w:rPr>
        <w:t>“Live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Well. Work Well.” </w:t>
      </w:r>
      <w:r>
        <w:rPr>
          <w:rFonts w:ascii="Arial" w:cs="Arial" w:eastAsia="Arial" w:hAnsi="Arial"/>
          <w:sz w:val="17"/>
          <w:szCs w:val="17"/>
          <w:color w:val="auto"/>
        </w:rPr>
        <w:t>framework enables us to provide support and resources for a variety of needs to help our team</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reach their fullest potential.</w:t>
      </w:r>
    </w:p>
    <w:p>
      <w:pPr>
        <w:spacing w:after="0" w:line="161"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Our People Strategy includes actions surrounding “Uniting our Communities of Talent” around the world to achieve focus and drive results as a more agile and dynamic organization. By following our DIBs strategy as part of our people processes, we are able to attract, select, hire, grow, develop, promote, and retain valued team members with diverse backgrounds, perspectives, and experiences. We are relentless in creating a work environment that celebrates the differences that make us even stronger. We provide career growth and professional development through formal learning and on-the-job experiences to advance our team members’ capabilities, confidence, and contributions.</w:t>
      </w:r>
    </w:p>
    <w:p>
      <w:pPr>
        <w:spacing w:after="0" w:line="160"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offer competitive compensation (including salary, incentive bonus, and equity) and benefits packages to eligible employees in each of our locations around the globe. Our compensation program is designed to attract, retain, and reward talented individuals who possess the skills necessary to lead and support our business objectives, achieve our strategic goals, and create long-term value for our shareholders. To support our team members, we provide competitive compensation and benefits, including:</w:t>
      </w:r>
    </w:p>
    <w:p>
      <w:pPr>
        <w:spacing w:after="0" w:line="150" w:lineRule="exact"/>
        <w:rPr>
          <w:sz w:val="20"/>
          <w:szCs w:val="20"/>
          <w:color w:val="auto"/>
        </w:rPr>
      </w:pPr>
    </w:p>
    <w:p>
      <w:pPr>
        <w:ind w:left="680" w:hanging="33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Health and wellness benefits (medical, dental, vision, and behavioral health coverage)</w:t>
      </w:r>
    </w:p>
    <w:p>
      <w:pPr>
        <w:spacing w:after="0" w:line="7" w:lineRule="exact"/>
        <w:rPr>
          <w:rFonts w:ascii="Arial" w:cs="Arial" w:eastAsia="Arial" w:hAnsi="Arial"/>
          <w:sz w:val="17"/>
          <w:szCs w:val="17"/>
          <w:color w:val="auto"/>
        </w:rPr>
      </w:pPr>
    </w:p>
    <w:p>
      <w:pPr>
        <w:ind w:left="680" w:right="79" w:hanging="330"/>
        <w:spacing w:after="0" w:line="232"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Financial benefits (401(k) Plan with Company matching contribution, life and disability coverage, Employee Stock Purchase Plan at a 15% discount, and commuter benefits)</w:t>
      </w:r>
    </w:p>
    <w:p>
      <w:pPr>
        <w:ind w:left="680" w:right="79" w:hanging="330"/>
        <w:spacing w:after="0" w:line="232"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Work-life balance and lifestyle benefits (such as paid time off for full-time team members and Employee Discount Program for all team members)</w:t>
      </w:r>
    </w:p>
    <w:p>
      <w:pPr>
        <w:ind w:left="680" w:hanging="330"/>
        <w:spacing w:after="0"/>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the United States and EMEA, we provide tuition reimbursement</w:t>
      </w:r>
    </w:p>
    <w:p>
      <w:pPr>
        <w:spacing w:after="0" w:line="7" w:lineRule="exact"/>
        <w:rPr>
          <w:rFonts w:ascii="Arial" w:cs="Arial" w:eastAsia="Arial" w:hAnsi="Arial"/>
          <w:sz w:val="17"/>
          <w:szCs w:val="17"/>
          <w:color w:val="auto"/>
        </w:rPr>
      </w:pPr>
    </w:p>
    <w:p>
      <w:pPr>
        <w:ind w:left="680" w:right="79" w:hanging="330"/>
        <w:spacing w:after="0" w:line="243"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Outside the United States, we may offer supplemental Health and Wellness benefits, as well as retirement benefits for eligible employees, based on local competitive practices.</w:t>
      </w:r>
    </w:p>
    <w:p>
      <w:pPr>
        <w:spacing w:after="0" w:line="158"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Through our listening session communication strategy, we are committed to listening to and learning from our team members. For many years, we have tracked engagement and leadership effectiveness through our engagement surveys. We have improved our overall engagement, with 79% overall favorable rating and 96% response rate in 2021. We use insights from these surveys to assess our culture, evaluate our leaders, adjust our plans, and evolve our culture.</w:t>
      </w:r>
    </w:p>
    <w:p>
      <w:pPr>
        <w:spacing w:after="0" w:line="33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strive to provide a safe and healthy workplace for all team members and drive a culture of safe practices and continuous improvement. In response to the COVID-19 pandemic, we implemented enhanced cleaning standards, adapted to the evolving public health guidance in our workplaces, and provided training and education to our team members. We continually monitor and adapt our safety practices as the COVID-19 pandemic continues and evolves.</w:t>
      </w:r>
    </w:p>
    <w:p>
      <w:pPr>
        <w:spacing w:after="0" w:line="149"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 xml:space="preserve">We are committed to engaging in environmental, social, and governance (ESG) initiatives that support our communities and help us develop trusted relationships with our stakeholders. Our ESG disclosure is available at </w:t>
      </w:r>
      <w:r>
        <w:rPr>
          <w:rFonts w:ascii="Arial" w:cs="Arial" w:eastAsia="Arial" w:hAnsi="Arial"/>
          <w:sz w:val="17"/>
          <w:szCs w:val="17"/>
          <w:i w:val="1"/>
          <w:iCs w:val="1"/>
          <w:color w:val="auto"/>
        </w:rPr>
        <w:t>investors.footlocker-inc.com/impactreport</w:t>
      </w:r>
      <w:r>
        <w:rPr>
          <w:rFonts w:ascii="Arial" w:cs="Arial" w:eastAsia="Arial" w:hAnsi="Arial"/>
          <w:sz w:val="17"/>
          <w:szCs w:val="17"/>
          <w:color w:val="auto"/>
        </w:rPr>
        <w:t>.</w:t>
      </w:r>
    </w:p>
    <w:p>
      <w:pPr>
        <w:spacing w:after="0" w:line="200" w:lineRule="exact"/>
        <w:rPr>
          <w:sz w:val="20"/>
          <w:szCs w:val="20"/>
          <w:color w:val="auto"/>
        </w:rPr>
      </w:pPr>
    </w:p>
    <w:p>
      <w:pPr>
        <w:spacing w:after="0" w:line="325"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Available Information</w:t>
      </w:r>
    </w:p>
    <w:p>
      <w:pPr>
        <w:spacing w:after="0" w:line="158" w:lineRule="exact"/>
        <w:rPr>
          <w:sz w:val="20"/>
          <w:szCs w:val="20"/>
          <w:color w:val="auto"/>
        </w:rPr>
      </w:pPr>
    </w:p>
    <w:p>
      <w:pPr>
        <w:jc w:val="both"/>
        <w:ind w:right="59"/>
        <w:spacing w:after="0" w:line="241" w:lineRule="auto"/>
        <w:rPr>
          <w:sz w:val="20"/>
          <w:szCs w:val="20"/>
          <w:color w:val="auto"/>
        </w:rPr>
      </w:pPr>
      <w:r>
        <w:rPr>
          <w:rFonts w:ascii="Arial" w:cs="Arial" w:eastAsia="Arial" w:hAnsi="Arial"/>
          <w:sz w:val="17"/>
          <w:szCs w:val="17"/>
          <w:color w:val="auto"/>
        </w:rPr>
        <w:t xml:space="preserve">We maintain a corporate website at </w:t>
      </w:r>
      <w:r>
        <w:rPr>
          <w:rFonts w:ascii="Arial" w:cs="Arial" w:eastAsia="Arial" w:hAnsi="Arial"/>
          <w:sz w:val="17"/>
          <w:szCs w:val="17"/>
          <w:i w:val="1"/>
          <w:iCs w:val="1"/>
          <w:color w:val="auto"/>
        </w:rPr>
        <w:t>www.footlocker.com/corp</w:t>
      </w:r>
      <w:r>
        <w:rPr>
          <w:rFonts w:ascii="Arial" w:cs="Arial" w:eastAsia="Arial" w:hAnsi="Arial"/>
          <w:sz w:val="17"/>
          <w:szCs w:val="17"/>
          <w:color w:val="auto"/>
        </w:rPr>
        <w:t>. Our filings with the U.S. Securities and Exchange Commission (the “SEC”), including our annual report on Form 10-K, quarterly reports on Form 10-Q, current reports on Form 8-K, and all amendments to those reports are available free of charge through this website as soon as reasonably practicable after they are filed with or furnished to the SEC. The Corporate Governance section of our corporate website contains our Corporate Governance Guidelines, Committee Charters, and the Code of Business Conduct for directors, officers, and employees, including the Chief Executive Officer, Chief Financial Officer, and Chief Accounting Officer. Copies of these documents may also be obtained free of charge upon written request to our Corporate Secretary at 330 West 34</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Street, New York, NY 10001.</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inability to implement our long-range strategic plan may adversely affect our future results.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the ability to attract and retain qualified personnel, and our ability to successfully integrate our acquisitions and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supplier diversification, cost-cutting programs, operating margins, and earnings per share, would likely result in volatility in the market value of our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retail athletic footwear and apparel business is highly competitive.</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athletic footwear and apparel operations compete primarily with athletic footwear specialty stores, sporting goods stores, department stores, traditional shoe stores, mass merchandisers, and online retailers, as well as our merchandise vendor suppliers direct-to-customers channels. 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A change in the relationship with any of our key suppliers or the unavailability of key products at competitive prices could affect our financial health.</w:t>
      </w:r>
    </w:p>
    <w:p>
      <w:pPr>
        <w:spacing w:after="0" w:line="12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business is dependent to a significant degree upon our ability to obtain premium product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purchased 87% of our merchandise in 2021 from our top five suppliers and we expect to continue to obtain a significant percentage of our athletic product from these suppliers in future periods. Approximately 68% of all merchandise purchased in 2021 was purchased from one supplier — Nike, Inc. (“Nike”). Each of our banners are highly dependent on Nike. Individually, they purchased between 50% and 75% of their merchandise from Nike during the year. Merchandise that is high profile and in high demand is allocated by our suppliers based upon their own criteria. Beginning with the fourth quarter of 2022, we do not expect any one supplier to represent more than 55% of merchandise purchases. We cannot be certain that our suppliers will allocate sufficient amounts to us in the future or whether our suppliers will choose to further sell such merchandise through their own direct-to-customers channel.</w:t>
      </w:r>
    </w:p>
    <w:p>
      <w:pPr>
        <w:spacing w:after="0" w:line="1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7" w:name="page8"/>
    <w:bookmarkEnd w:id="7"/>
    <w:p>
      <w:pPr>
        <w:jc w:val="both"/>
        <w:ind w:right="59"/>
        <w:spacing w:after="0" w:line="234" w:lineRule="auto"/>
        <w:rPr>
          <w:sz w:val="20"/>
          <w:szCs w:val="20"/>
          <w:color w:val="auto"/>
        </w:rPr>
      </w:pPr>
      <w:r>
        <w:rPr>
          <w:rFonts w:ascii="Arial" w:cs="Arial" w:eastAsia="Arial" w:hAnsi="Arial"/>
          <w:sz w:val="17"/>
          <w:szCs w:val="17"/>
          <w:color w:val="auto"/>
        </w:rPr>
        <w:t>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29"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The industry in which we operate is dependent upon fashion trends, customer preferences, product innovations, and other fashion-related factors.</w:t>
      </w:r>
    </w:p>
    <w:p>
      <w:pPr>
        <w:spacing w:after="0" w:line="13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successfully manage our inventory levels, our operating results will be adversely affected.</w:t>
      </w:r>
    </w:p>
    <w:p>
      <w:pPr>
        <w:spacing w:after="0" w:line="176"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must maintain sufficient inventory levels to operate our business successfully. However, we also must guard against accumulating excess inventory. For example, we order most of our athletic footwear four to six months prior to delivery to us. If we fail to anticipate accurately either the market for the merchandise or our customers’ purchasing habits, we may be forced to rely on markdowns or promotional sales to dispose of excess or slow-moving inventory, which could have a material adverse effect on our business, financial condition, and results of operations.</w:t>
      </w:r>
    </w:p>
    <w:p>
      <w:pPr>
        <w:spacing w:after="0" w:line="143" w:lineRule="exact"/>
        <w:rPr>
          <w:sz w:val="20"/>
          <w:szCs w:val="20"/>
          <w:color w:val="auto"/>
        </w:rPr>
      </w:pPr>
    </w:p>
    <w:p>
      <w:pPr>
        <w:jc w:val="both"/>
        <w:ind w:right="79"/>
        <w:spacing w:after="0" w:line="249" w:lineRule="auto"/>
        <w:rPr>
          <w:sz w:val="20"/>
          <w:szCs w:val="20"/>
          <w:color w:val="auto"/>
        </w:rPr>
      </w:pPr>
      <w:r>
        <w:rPr>
          <w:rFonts w:ascii="Arial" w:cs="Arial" w:eastAsia="Arial" w:hAnsi="Arial"/>
          <w:sz w:val="17"/>
          <w:szCs w:val="17"/>
          <w:b w:val="1"/>
          <w:bCs w:val="1"/>
          <w:color w:val="auto"/>
        </w:rPr>
        <w:t>The COVID-19 pandemic has disrupted and is expected to continue to disrupt our business, which could have a material adverse effect on our results of operations, liquidity, and financial condition for an extended period of time.</w:t>
      </w:r>
    </w:p>
    <w:p>
      <w:pPr>
        <w:spacing w:after="0" w:line="154"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COVID-19 pandemic significantly affected our business as the uncertainty, volatility, and disruption of a new public health crisis emerged in 2020. We experienced disruption to our normal business operations from a number of factors, including stay at home orders, fully closing our stores, rapidly adopting new health and safety measures, and uncertainty around regulatory, economic, and market conditions.</w:t>
      </w:r>
    </w:p>
    <w:p>
      <w:pPr>
        <w:spacing w:after="0" w:line="14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continue to monitor COVID-19, as well as new strains of the virus, and other closures, capacity limitations, social distancing requirements, and reduced operating hours which may be required to help ensure the health and safety of our team members and our customers. Businesses and consumers have been adjusting their plans to comply with renewed and evolving mask and vaccine mandates, symptom and temperature check requirements, travel restrictions, and delayed office reopenings. We are also continuing to communicate with our suppliers regarding the flow of product. To the extent one or more of our suppliers is negatively affected by COVID-19, including due to the closure of their distribution centers or manufacturing facilities, we may be unable to maintain adequate inventory in our stores or distribution centers. COVID-19 has also caused disruption in transportation, such as shipping port congestion, which has adversely affected our ability to receive merchandise on a timely basis.</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full extent of the COVID-19 pandemic on our operational and financial performance is uncertain and will depend on many factors beyond our control, including, without limitation, the timing, extent, trajectory and duration of the pandemic; the availability, distribution and effectiveness of vaccines; the spread of new variants of COVID-19; the continued and renewed imposition of protective public safety measures such as masks and vaccine mandates; and the continuing global disruption in supply chains in our industries and the effect of the pandemic on the global economy, inflation, and demand for consumer products. Even after the pandemic has subsided, we may continue to experience material and adverse effects to our business, operating results, and financial condition as a result of the pandemic’s lasting global economic effect, including any recession that has occurred or may occur in the future in our industries or continuing inflationary concerns.</w:t>
      </w:r>
    </w:p>
    <w:p>
      <w:pPr>
        <w:spacing w:after="0" w:line="161"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We are affected by mall traffic and our ability to secure suitable store locations, both in malls and off-malls.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Many of our stores, especially in North America where only 21% of our locations are off-mall,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Further, any terrorist act, natural disaster, public health issue, such as COVID-19, flu or other pandemics, or safety concern that decreases the level of mall traffic, or that affects our ability to open and operate stores in such locations, could have a material adverse effect on our business.</w:t>
      </w:r>
    </w:p>
    <w:p>
      <w:pPr>
        <w:spacing w:after="0" w:line="16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public health issues,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w:t>
      </w:r>
    </w:p>
    <w:p>
      <w:pPr>
        <w:spacing w:after="0" w:line="164" w:lineRule="exact"/>
        <w:rPr>
          <w:sz w:val="20"/>
          <w:szCs w:val="20"/>
          <w:color w:val="auto"/>
        </w:rPr>
      </w:pPr>
    </w:p>
    <w:p>
      <w:pPr>
        <w:jc w:val="both"/>
        <w:ind w:right="79"/>
        <w:spacing w:after="0" w:line="236" w:lineRule="auto"/>
        <w:rPr>
          <w:sz w:val="20"/>
          <w:szCs w:val="20"/>
          <w:color w:val="auto"/>
        </w:rPr>
      </w:pPr>
      <w:r>
        <w:rPr>
          <w:rFonts w:ascii="Arial" w:cs="Arial" w:eastAsia="Arial" w:hAnsi="Arial"/>
          <w:sz w:val="17"/>
          <w:szCs w:val="17"/>
          <w:color w:val="auto"/>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spacing w:after="0" w:line="129"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Our business could be materially harmed if we fail to adequately integrate the operations of the businesses we have acquired, or may acquire.</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have recently made, and may continue to make, acquisitions in the future based on available opportunities in the market. Acquisitions involve numerous inherent challenges, such as properly evaluating acquisition opportunities, properly evaluating risks and other diligence matters, ensuring adequate capital availability, and balancing other resource constraints. There are risks and uncertainties related to acquisitions, including difficulties integrating operations, personnel, and financial and other systems; unrealized sales expectations from the acquired business; unrealized synergies and cost savings; unknown or underestimated liabilities; diversion of management attention from running our existing businesses; and potential loss of key management or customers of the acquired business.</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During the third quarter of 2021, we acquired Eurostar, Inc., a Delaware corporation, operating as WSS, a U.S.-based athletic footwear and apparel retailer. During the fourth quarter of 2021, we acquired certain entities collectively operated as atmos, primarily based in Japan. The acquisitions of WSS and atmos involve a number of risks, which could significantly and adversely affect our business, financial condition, and results of operations, including failure of the acquired businesses to achieve the results that we expect; diversion of management’s attention from existing operational matters; difficulties integrating the operations and personnel; and failure to retain key personnel.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future growth may depend on our ability to expand operations in international markets.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future growth will depend, in part, on our ability to expand our business in additional international markets. As we expand into new international markets, we may have only limited experience in operating our business in such markets. In other instances, we may have to rely on the efforts and abilities of foreign business partners in such markets.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 Our inability to expand in international markets could have a material adverse effect on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experience fluctuations in, and cyclicality of, our comparable-store sales results.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 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1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9" w:name="page10"/>
    <w:bookmarkEnd w:id="9"/>
    <w:p>
      <w:pPr>
        <w:jc w:val="both"/>
        <w:ind w:right="79"/>
        <w:spacing w:after="0" w:line="267" w:lineRule="auto"/>
        <w:rPr>
          <w:sz w:val="20"/>
          <w:szCs w:val="20"/>
          <w:color w:val="auto"/>
        </w:rPr>
      </w:pPr>
      <w:r>
        <w:rPr>
          <w:rFonts w:ascii="Arial" w:cs="Arial" w:eastAsia="Arial" w:hAnsi="Arial"/>
          <w:sz w:val="17"/>
          <w:szCs w:val="17"/>
          <w:b w:val="1"/>
          <w:bCs w:val="1"/>
          <w:color w:val="auto"/>
        </w:rPr>
        <w:t>The effects of natural disasters, terrorism, acts of war, acts of violence, and public health issues may adversely affect our business.</w:t>
      </w:r>
    </w:p>
    <w:p>
      <w:pPr>
        <w:spacing w:after="0" w:line="125"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 Recently, Russian troops invaded Ukraine. The invasion of Ukraine by Russia and the retaliatory measures taken by the U.S., NATO, and other countries have created global security concerns and economic uncertainty that could have a lasting effect on regional and global economies.</w:t>
      </w:r>
    </w:p>
    <w:p>
      <w:pPr>
        <w:spacing w:after="0" w:line="160"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Public health issues, such as COVID-19,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spacing w:after="0" w:line="147"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spacing w:after="0" w:line="143" w:lineRule="exact"/>
        <w:rPr>
          <w:sz w:val="20"/>
          <w:szCs w:val="20"/>
          <w:color w:val="auto"/>
        </w:rPr>
      </w:pPr>
    </w:p>
    <w:p>
      <w:pPr>
        <w:jc w:val="both"/>
        <w:ind w:right="59"/>
        <w:spacing w:after="0" w:line="249" w:lineRule="auto"/>
        <w:rPr>
          <w:sz w:val="20"/>
          <w:szCs w:val="20"/>
          <w:color w:val="auto"/>
        </w:rPr>
      </w:pPr>
      <w:r>
        <w:rPr>
          <w:rFonts w:ascii="Arial" w:cs="Arial" w:eastAsia="Arial" w:hAnsi="Arial"/>
          <w:sz w:val="17"/>
          <w:szCs w:val="17"/>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5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w:t>
      </w:r>
    </w:p>
    <w:p>
      <w:pPr>
        <w:spacing w:after="0" w:line="150"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Additional risks and uncertainties not currently known to us or that we currently deem to be immaterial also may adversely affect our business, financial condition or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Technology, Data Security, and Privacy</w:t>
      </w:r>
    </w:p>
    <w:p>
      <w:pPr>
        <w:spacing w:after="0" w:line="169"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are subject to technology risks including failures, security breaches, and cybersecurity risks that could harm our business, damage our reputation, and increase our costs in an effort to protect against these risks.</w:t>
      </w:r>
    </w:p>
    <w:p>
      <w:pPr>
        <w:spacing w:after="0" w:line="12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Information technology is a critical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through our third-party providers. In addition, cybersecurity researchers anticipate an increase in cyberattack activity in connection with the Russian invasion of Ukraine.</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may experience operational problems with our information systems as a result of system failures, system implementation issues, viruses, malicious hackers, sabotage, or other causes.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and other regulatory requirements.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spacing w:after="0" w:line="16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0" w:name="page11"/>
    <w:bookmarkEnd w:id="10"/>
    <w:p>
      <w:pPr>
        <w:jc w:val="both"/>
        <w:ind w:right="59"/>
        <w:spacing w:after="0" w:line="236" w:lineRule="auto"/>
        <w:rPr>
          <w:sz w:val="20"/>
          <w:szCs w:val="20"/>
          <w:color w:val="auto"/>
        </w:rPr>
      </w:pPr>
      <w:r>
        <w:rPr>
          <w:rFonts w:ascii="Arial" w:cs="Arial" w:eastAsia="Arial" w:hAnsi="Arial"/>
          <w:sz w:val="17"/>
          <w:szCs w:val="17"/>
          <w:color w:val="auto"/>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w:t>
      </w:r>
    </w:p>
    <w:p>
      <w:pPr>
        <w:spacing w:after="0" w:line="14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Any security breaches and cyber incidents could adversely affect our business. 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A cyberattack on a communications network or power grid could cause operational disruption resulting in loss of revenues.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insurance may be insufficient to compensate us fully for potentially significant losses.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digital operations.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Our digital operations are subject to numerous risks, including risks related to the failure of the computer systems that operate our websites, mobile sites, and apps and their related support systems, computer viruses, cybersecurity risks, telecommunications or power failures, denial of service attacks, bot attacks, and similar disruptions. Also, to sustain, keep current, or grow our digital commerce business we will need to make additional investments.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Privacy and data security concerns and regulation could result in additional costs and liabilities.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protection of customer, employee, and Company data is critical. The regulatory environment surrounding information security and privacy is demanding, with the frequent imposition of new and changing requirements. In addition, customers appear increasingly to have a high expectation that we will adequately protect their personal information. Any actual or perceived misappropriation or breach involving this data could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spacing w:after="0" w:line="16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Regulatory scrutiny of privacy, user data protection, use of data and data collection is increasing on a global basis. We are subject to a number of privacy and similar laws and regulations in the countries in which we operate and these laws and regulations will likely continue to evolve over time, both through regulatory and legislative action and judicial decisions.</w:t>
      </w:r>
    </w:p>
    <w:p>
      <w:pPr>
        <w:spacing w:after="0" w:line="14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European Union (“E.U.”) adopted a comprehensive General Data Privacy Regulation (the “GDPR”), which requires companies to satisfy requirements regarding the handling of personal and sensitive data, including its use, protection, and the ability of persons whose data is stored to correct or delete data about themselves. Failure to comply with GDPR requirements could result in penalties of up to 4% of worldwide revenue.</w:t>
      </w:r>
    </w:p>
    <w:p>
      <w:pPr>
        <w:spacing w:after="0" w:line="163"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Data protection legislation and enforcement is also becoming increasingly common in the Asia Pacific region and in the United States at both the federal and state level. For example, the State of California enacted the California Consumer Privacy Act of 2018 (the “CCPA”), which became effective on January 1, 2020. The CCPA, among other things, requires companies that process information of California residents to make disclosures to consumers about their data collection, use and sharing practices, allows consumers to opt out of certain data sharing with third parties and provides a new cause of action for data breaches. Additionally, effective starting January 1, 2023, the California Privacy Rights Act (the “CPRA”) will revise and significantly expand the scope of the CCPA. The CPRA, among other things, also creates a new California data protection agency authorized to implement and enforce the CCPA and the CPRA, which could result in increased privacy and information security enforcement. Other U.S. states have considered and/or enacted similar privacy laws, including Virginia and Colorado, which passed new consumer privacy laws in 2021 that take effect in 2023. Additionally, the Federal Trade Commission and many state attorneys general are interpreting federal and state consumer protection laws to impose standards for the online collection, use, dissemination and security of data. The burdens imposed by the CCPA, CPRA, and other similar laws that may be enacted at the federal and state level may require us to further modify our data processing practices and policies and to incur substantial expenditures in order to comply. The laws and regulations relating to privacy and data security are evolving, can be subject to significant change and may result in ever-increasing regulatory and public scrutiny and escalating levels of enforcement, sanctions, and private litigation.</w:t>
      </w:r>
    </w:p>
    <w:p>
      <w:pPr>
        <w:spacing w:after="0" w:line="162"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The technology enablement of omni-channel in our business is complex.</w:t>
      </w:r>
    </w:p>
    <w:p>
      <w:pPr>
        <w:spacing w:after="0" w:line="176"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or we do not realize the return on our omni-channel investments that we anticipate, our financial performance and future growth could be materially adversely affected.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Operations and Supply Chain</w:t>
      </w:r>
    </w:p>
    <w:p>
      <w:pPr>
        <w:spacing w:after="0" w:line="169"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Complications in our distribution centers and other factors affecting the distribution of merchandise may affect our business.</w:t>
      </w:r>
    </w:p>
    <w:p>
      <w:pPr>
        <w:spacing w:after="0" w:line="125"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We operate multiple distribution centers worldwide to support our businesses. In addition to the distribution centers that we operate, we have third-party arrangements to support our operations in the United States, Canada, England, Australia, New Zealand, and Asia.</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If complications arise with any facility or third-party arrangements, or if any facility is severely damaged or destroyed, our other distribution centers may be unable to support the resulting additional distribution demands. We also may be affected by disruptions in the global transportation network caused by events including delays caused by the COVID-19 pandemic, port disruption,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Manufacturer compliance with our social compliance program requirements.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require our independent manufacturers to comply with our policies and procedures, which cover many areas including human rights policy,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reliance on key management.</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Future performance will depend upon our ability to attract, retain, and motivate our executive and senior management teams. Our executive and senior management teams have substantial experience and expertise in our business and have made significant contributions to our success. Our future performance depends, to a significant extent, both upon the continued services of our current executive and senior management teams, as well as our ability to attract, hire, motivate, and retain additional qualified management in the future. While we believe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associated with attracting and retaining store and field team members.</w:t>
      </w:r>
    </w:p>
    <w:p>
      <w:pPr>
        <w:spacing w:after="0" w:line="189"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Our success depends, in part, upon our ability to attract, develop, and retain a sufficient number of qualified store and field team members. The turnover rate in the retail industry is generally high. If we are unable to attract and retain quality team members, our ability to meet our growth goals or to sustain expected levels of profitability may be compromised.</w:t>
      </w:r>
    </w:p>
    <w:p>
      <w:pPr>
        <w:spacing w:after="0" w:line="345"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During 2021, we experienced unusually low availability of workers, which we believe was primarily attributable to COVID-19 pandemic related factors and in turn has created increased competition in labor markets. Our ability to meet our labor needs while controlling costs is subject to external factors such as unemployment levels, prevailing wage rates, minimum wage legislation, and overtime regulations.</w:t>
      </w:r>
    </w:p>
    <w:p>
      <w:pPr>
        <w:spacing w:after="0" w:line="149"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2021 Form 10-K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auto"/>
        </w:rPr>
        <w:t>Risks Related to our Investments</w:t>
      </w:r>
    </w:p>
    <w:p>
      <w:pPr>
        <w:spacing w:after="0" w:line="156"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If our long-lived tangible assets and operating lease right-of-use assets, or goodwill become impaired, we may need to record significant non-cash impairment charges.</w:t>
      </w:r>
    </w:p>
    <w:p>
      <w:pPr>
        <w:spacing w:after="0" w:line="13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We review our long-lived tangible assets, operating lease right-of-use assets, and goodwill when events indicate that the carrying value of such assets may be impaired. Goodwill is reviewed for impairment if impairment indicators arise and, at a minimum, annually. Goodwill is not amortized but is subject to an impairment test, which consists of either a qualitative assessment on a reporting unit level, or a quantitative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operating lease right-of-use assets, and goodwill and could result in future impairment charges, which would adversely affect our results of operations.</w:t>
      </w:r>
    </w:p>
    <w:p>
      <w:pPr>
        <w:spacing w:after="0" w:line="147"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do not have the ability to exert control over our minority investments, and therefore, we are dependent on others in order to realize their potential benefits.</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At January 29, 2022 we hold $781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spacing w:after="0" w:line="16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additional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spacing w:after="0" w:line="144" w:lineRule="exact"/>
        <w:rPr>
          <w:sz w:val="20"/>
          <w:szCs w:val="20"/>
          <w:color w:val="auto"/>
        </w:rPr>
      </w:pPr>
    </w:p>
    <w:p>
      <w:pPr>
        <w:ind w:right="1779"/>
        <w:spacing w:after="0" w:line="451" w:lineRule="auto"/>
        <w:rPr>
          <w:sz w:val="20"/>
          <w:szCs w:val="20"/>
          <w:color w:val="auto"/>
        </w:rPr>
      </w:pPr>
      <w:r>
        <w:rPr>
          <w:rFonts w:ascii="Arial" w:cs="Arial" w:eastAsia="Arial" w:hAnsi="Arial"/>
          <w:sz w:val="17"/>
          <w:szCs w:val="17"/>
          <w:b w:val="1"/>
          <w:bCs w:val="1"/>
          <w:u w:val="single" w:color="auto"/>
          <w:color w:val="auto"/>
        </w:rPr>
        <w:t xml:space="preserve">Risks Related to Shareholder Activism, Geopolitics, Regulations, and Other External Risks </w:t>
      </w:r>
      <w:r>
        <w:rPr>
          <w:rFonts w:ascii="Arial" w:cs="Arial" w:eastAsia="Arial" w:hAnsi="Arial"/>
          <w:sz w:val="17"/>
          <w:szCs w:val="17"/>
          <w:b w:val="1"/>
          <w:bCs w:val="1"/>
          <w:color w:val="auto"/>
        </w:rPr>
        <w:t>We may face risks associated with shareholder activism.</w:t>
      </w:r>
    </w:p>
    <w:p>
      <w:pPr>
        <w:spacing w:after="0" w:line="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Publicly 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be costly and time-consuming, disrupt our operations, and divert the attention of management, any of which could have an adverse effect on our business or stock price.</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Economic or political conditions in other countries, including fluctuations in foreign currency exchange rates and tax rates may adversely affect our operations.</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 significant portion of our sales and operating income for 2021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63"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Fluctuations in the value of the euro and the British Pound may affect the value of our European earnings when translated into U.S. dollars. Similarly, our earnings in other jurisdictions may be affected by the value of currencies when translated into U.S. dollars.</w:t>
      </w:r>
    </w:p>
    <w:p>
      <w:pPr>
        <w:spacing w:after="0" w:line="1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3" w:name="page14"/>
    <w:bookmarkEnd w:id="13"/>
    <w:p>
      <w:pPr>
        <w:jc w:val="both"/>
        <w:ind w:right="59"/>
        <w:spacing w:after="0" w:line="238" w:lineRule="auto"/>
        <w:rPr>
          <w:sz w:val="20"/>
          <w:szCs w:val="20"/>
          <w:color w:val="auto"/>
        </w:rPr>
      </w:pPr>
      <w:r>
        <w:rPr>
          <w:rFonts w:ascii="Arial" w:cs="Arial" w:eastAsia="Arial" w:hAnsi="Arial"/>
          <w:sz w:val="17"/>
          <w:szCs w:val="17"/>
          <w:color w:val="auto"/>
        </w:rPr>
        <w:t>Except for our business in the United Kingdom (the “U.K.”), our international subsidiaries conduct most of their business in their local currency. Inventory purchases for our U.K. business are generally denominated in euros, which could result in foreign currency transaction gains or losses.</w:t>
      </w:r>
    </w:p>
    <w:p>
      <w:pPr>
        <w:spacing w:after="0" w:line="147"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may be volatile, and the value of our common stock has declined and may continue to decline.</w:t>
      </w:r>
    </w:p>
    <w:p>
      <w:pPr>
        <w:spacing w:after="0" w:line="189"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The market price of our common stock may be highly volatile and may fluctuate or decline substantially as a result of a variety of factors, some of which are beyond our control, including without limitation:</w:t>
      </w:r>
    </w:p>
    <w:p>
      <w:pPr>
        <w:spacing w:after="0" w:line="144" w:lineRule="exact"/>
        <w:rPr>
          <w:sz w:val="20"/>
          <w:szCs w:val="20"/>
          <w:color w:val="auto"/>
        </w:rPr>
      </w:pP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change in the relationship with any of our key suppliers or the unavailability of key products at competitive prices;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actual or anticipated fluctuations in our financial condition or results of operations;</w:t>
      </w: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variance in our financial performance from expectations of securities analysts and securities analysts may issue unfavorable research about us;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projected operating and financial results;</w:t>
      </w:r>
    </w:p>
    <w:p>
      <w:pPr>
        <w:ind w:left="1000" w:right="79"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significant data breaches;</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material litigation;</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future sales of our common stock by us or our shareholders, or the perception that such sales may occur;</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senior management or key personnel;</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trading volume of our common stock;</w:t>
      </w:r>
    </w:p>
    <w:p>
      <w:pPr>
        <w:ind w:left="1000" w:hanging="650"/>
        <w:spacing w:after="0" w:line="23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anticipated future size and growth rate of our market; and</w:t>
      </w:r>
    </w:p>
    <w:p>
      <w:pPr>
        <w:ind w:left="1000" w:hanging="650"/>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general macroeconomic, geopolitical, and market conditions beyond our control.</w:t>
      </w:r>
    </w:p>
    <w:p>
      <w:pPr>
        <w:spacing w:after="0" w:line="18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Broad market and industry fluctuations, as well as general economic, political, regulatory, and market conditions, such as recessions, interest rate changes, or international currency fluctuations, may also negatively affect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developments may adversely affect our business.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performance is subject to global economic conditions and the related effects on consumer spending levels. Continued uncertainty about global economic conditions, including the COVID-19 pandemic, poses a risk as consumers and businesses may postpone spending in response to tighter credit, unemployment, negative financial news, and/or declines in income or asset values, which could have a material negative effect on demand for our products. The invasion of Ukraine by Russia has created global security concerns and economic uncertainty.</w:t>
      </w:r>
    </w:p>
    <w:p>
      <w:pPr>
        <w:spacing w:after="0" w:line="150"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143"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Significant developments stemming from the U.K.’s withdrawal from the E.U. could have a material adverse effect on the Company.</w:t>
      </w:r>
    </w:p>
    <w:p>
      <w:pPr>
        <w:spacing w:after="0" w:line="13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U.K. formally exited the European Union on January 31, 2020 (commonly referred to as “Brexit”) and entered into a new trade agreement with the European Union on December 24, 2020. Despite the U.K.’s December 2020 trade agreement, many potential future effects of Brexit remain unclear and could adversely affect certain areas of our business, including, but not limited to, an increase in duties and delays in the delivery of products, and adverse effects to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4" w:name="page15"/>
    <w:bookmarkEnd w:id="14"/>
    <w:p>
      <w:pPr>
        <w:jc w:val="both"/>
        <w:ind w:right="59"/>
        <w:spacing w:after="0" w:line="234" w:lineRule="auto"/>
        <w:rPr>
          <w:sz w:val="20"/>
          <w:szCs w:val="20"/>
          <w:color w:val="auto"/>
        </w:rPr>
      </w:pPr>
      <w:r>
        <w:rPr>
          <w:rFonts w:ascii="Arial" w:cs="Arial" w:eastAsia="Arial" w:hAnsi="Arial"/>
          <w:sz w:val="17"/>
          <w:szCs w:val="17"/>
          <w:color w:val="auto"/>
        </w:rPr>
        <w:t>We have significant operations in both the U.K. and the E.U., and we are highly dependent on the free flow of labor and goods in those regions. In response to Brexit, in February 2020 we engaged with a third-party logistics provider within England to mitigate supply chain risks. Uncertainty surrounding Brexit could cause a slowdown in economic activity in the U.K., Europe or globally, which could adversely affect our operating results and growth prospects. In addition, Brexit could lead to legal uncertainty and potentially divergent national laws and regulations as the U.K. determines which E.U. laws to replace or replicate, including data protection regulation. Compliance with any new laws and regulations may be cumbersome, difficult, or costly.</w:t>
      </w:r>
    </w:p>
    <w:p>
      <w:pPr>
        <w:spacing w:after="0" w:line="15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There remains substantial uncertainty surrounding the ultimate effect of Brexit and outcomes could disrupt the markets we serve and the tax jurisdictions in which we operate. This uncertainty creates challenges (particularly in the near term) with respect to trading relationships between our U.K. subsidiary and other E.U. nations. These possible effects of Brexit could adversely affect our business, results of operations, and financial condition.</w:t>
      </w:r>
    </w:p>
    <w:p>
      <w:pPr>
        <w:spacing w:after="0" w:line="143" w:lineRule="exact"/>
        <w:rPr>
          <w:sz w:val="20"/>
          <w:szCs w:val="20"/>
          <w:color w:val="auto"/>
        </w:rPr>
      </w:pPr>
    </w:p>
    <w:p>
      <w:pPr>
        <w:jc w:val="both"/>
        <w:ind w:right="79"/>
        <w:spacing w:after="0" w:line="267" w:lineRule="auto"/>
        <w:rPr>
          <w:sz w:val="20"/>
          <w:szCs w:val="20"/>
          <w:color w:val="auto"/>
        </w:rPr>
      </w:pPr>
      <w:r>
        <w:rPr>
          <w:rFonts w:ascii="Arial" w:cs="Arial" w:eastAsia="Arial" w:hAnsi="Arial"/>
          <w:sz w:val="17"/>
          <w:szCs w:val="17"/>
          <w:b w:val="1"/>
          <w:bCs w:val="1"/>
          <w:color w:val="auto"/>
        </w:rPr>
        <w:t>Imposition of tariffs and export controls on the products we buy may have a material adverse effect on our business.</w:t>
      </w:r>
    </w:p>
    <w:p>
      <w:pPr>
        <w:spacing w:after="0" w:line="13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 significant portion of the products that we purchase, including the portion purchased from U.S.-based suppliers, as well as most of our private brand merchandise, is manufactured abroad. We may be affected by potential changes in international trade agreements or tariffs, such as new tariffs imposed on certain Chinese-made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spacing w:after="0" w:line="129" w:lineRule="exact"/>
        <w:rPr>
          <w:sz w:val="20"/>
          <w:szCs w:val="20"/>
          <w:color w:val="auto"/>
        </w:rPr>
      </w:pPr>
    </w:p>
    <w:p>
      <w:pPr>
        <w:jc w:val="both"/>
        <w:ind w:right="59"/>
        <w:spacing w:after="0" w:line="253" w:lineRule="auto"/>
        <w:rPr>
          <w:sz w:val="20"/>
          <w:szCs w:val="20"/>
          <w:color w:val="auto"/>
        </w:rPr>
      </w:pPr>
      <w:r>
        <w:rPr>
          <w:rFonts w:ascii="Arial" w:cs="Arial" w:eastAsia="Arial" w:hAnsi="Arial"/>
          <w:sz w:val="17"/>
          <w:szCs w:val="17"/>
          <w:b w:val="1"/>
          <w:bCs w:val="1"/>
          <w:color w:val="auto"/>
        </w:rPr>
        <w:t>Increasing inflation could adversely affect our business, financial condition, results of operations or cash flows.</w:t>
      </w:r>
    </w:p>
    <w:p>
      <w:pPr>
        <w:spacing w:after="0" w:line="36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Inflation, as well as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This could have a material adverse effect on our business, financial condition, results of operations, or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Instability in the financial markets may adversely affect our business.</w:t>
      </w:r>
    </w:p>
    <w:p>
      <w:pPr>
        <w:spacing w:after="0" w:line="17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Uncertainty surrounding the potential effects of the COVID-19 pandemic helped create volatility in financial markets around the world. In addition, the global macroeconomic environment could be negatively affected by, among other things, instability in global economic markets, increased U.S. trade tariffs and trade disputes with other countries, instability in the global credit markets, supply chain weaknesses, instability in the geopolitical environment as a result of Brexit, the Russian invasion of the Ukraine and other political tensions, and foreign governmental debt concerns. Such challenges have caused, and may continue to cause, uncertainty and instability in local economies and in global financial markets.</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LIBOR is in the process of being phased out and may be replaced by other benchmark rates; at this time, the future of LIBOR remains uncertain, and any changes in the methods by which LIBOR is determined or regulatory activity related to LIBOR’s phase out could cause LIBOR to perform differently than in the past or cease to exist. The phase out of LIBOR could cause market volatility or disruption and may adversely affect our access to the capital markets and cost of funding. Our 2020 Credit Agreement provides for alternative methods of calculating the interest rate payable on indebtedness thereunder.</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This volatility may affect our future access to the credit and debt security markets, leading to higher borrowing costs, or, in some cases, the inability to obtain additional financing. Although we currently have a revolving credit agreement in place until July 14, 2025, tightening of credit markets could make it more difficult for us to access funds, refinance our existing indebtedness, enter into agreements for new indebtedness, or obtain funding through the issuance of the Company’s securities.</w:t>
      </w:r>
    </w:p>
    <w:p>
      <w:pPr>
        <w:spacing w:after="0" w:line="33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5" w:name="page16"/>
    <w:bookmarkEnd w:id="15"/>
    <w:p>
      <w:pPr>
        <w:jc w:val="both"/>
        <w:ind w:right="79"/>
        <w:spacing w:after="0" w:line="267" w:lineRule="auto"/>
        <w:rPr>
          <w:sz w:val="20"/>
          <w:szCs w:val="20"/>
          <w:color w:val="auto"/>
        </w:rPr>
      </w:pPr>
      <w:r>
        <w:rPr>
          <w:rFonts w:ascii="Arial" w:cs="Arial" w:eastAsia="Arial" w:hAnsi="Arial"/>
          <w:sz w:val="17"/>
          <w:szCs w:val="17"/>
          <w:b w:val="1"/>
          <w:bCs w:val="1"/>
          <w:color w:val="auto"/>
        </w:rPr>
        <w:t>Material changes in the market value of the securities we hold may adversely affect our results of operations and financial condition.</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At January 29, 2022 our cash and cash equivalents totaled $804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29, 2022, all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U.S. pension plan trust holds assets totaling $631 million at January 29, 2022.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may be adversely affected by tax rates or exposure to additional tax liabilities.</w:t>
      </w:r>
    </w:p>
    <w:p>
      <w:pPr>
        <w:spacing w:after="0" w:line="230"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are a U.S. 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employment laws or regulation could harm our performance.</w:t>
      </w:r>
    </w:p>
    <w:p>
      <w:pPr>
        <w:spacing w:after="0" w:line="189" w:lineRule="exact"/>
        <w:rPr>
          <w:sz w:val="20"/>
          <w:szCs w:val="20"/>
          <w:color w:val="auto"/>
        </w:rPr>
      </w:pPr>
    </w:p>
    <w:p>
      <w:pPr>
        <w:jc w:val="both"/>
        <w:ind w:right="79"/>
        <w:spacing w:after="0" w:line="236" w:lineRule="auto"/>
        <w:rPr>
          <w:sz w:val="20"/>
          <w:szCs w:val="20"/>
          <w:color w:val="auto"/>
        </w:rPr>
      </w:pPr>
      <w:r>
        <w:rPr>
          <w:rFonts w:ascii="Arial" w:cs="Arial" w:eastAsia="Arial" w:hAnsi="Arial"/>
          <w:sz w:val="17"/>
          <w:szCs w:val="17"/>
          <w:color w:val="auto"/>
        </w:rPr>
        <w:t>Various foreign and domestic labor laws govern our relationship with our employees and affect our operating costs. These laws include minimum wage requirements, overtime and sick pay, paid time off, work scheduling, healthcare reform and the Patient Protection and Affordable Care Act, and the Protecting the Right to Organize Act, unemployment tax rates, workers’ compensation rates, European works council requirements, and union organization.</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A number of factors could adversely affect our operating results, including additional government-imposed increases in minimum wages, overtime and sick pay, paid leaves of absence, mandated health benefits, and changing regulations from the National Labor Relations Board or other agencies. Complying with any new legislation or reversing changes implemented under existing law could be time-intensive and expensive and may affect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Legislative or regulatory initiatives related to climate change concerns may negatively affect our business.</w:t>
      </w:r>
    </w:p>
    <w:p>
      <w:pPr>
        <w:spacing w:after="0" w:line="18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and regulatory requirements to reduce or mitigate the effects of climate change on the environment, which could result in future tax, transportation, and utility increases, which could adversely affect our business. There is also increased focus, including by investors, customers, and other stakeholders, on these and other sustainability matters, such as worker safety, the use of plastic, energy consumption, and waste.</w:t>
      </w:r>
    </w:p>
    <w:p>
      <w:pPr>
        <w:spacing w:after="0" w:line="148" w:lineRule="exact"/>
        <w:rPr>
          <w:sz w:val="20"/>
          <w:szCs w:val="20"/>
          <w:color w:val="auto"/>
        </w:rPr>
      </w:pPr>
    </w:p>
    <w:p>
      <w:pPr>
        <w:jc w:val="both"/>
        <w:ind w:right="59"/>
        <w:spacing w:after="0" w:line="267" w:lineRule="auto"/>
        <w:rPr>
          <w:sz w:val="20"/>
          <w:szCs w:val="20"/>
          <w:color w:val="auto"/>
        </w:rPr>
      </w:pPr>
      <w:r>
        <w:rPr>
          <w:rFonts w:ascii="Arial" w:cs="Arial" w:eastAsia="Arial" w:hAnsi="Arial"/>
          <w:sz w:val="17"/>
          <w:szCs w:val="17"/>
          <w:b w:val="1"/>
          <w:bCs w:val="1"/>
          <w:color w:val="auto"/>
        </w:rPr>
        <w:t>We face reputational, regulatory, human capital, and business development risks from a perceived or actual failure to effectively manage our material ESG risks and opportunities.</w:t>
      </w:r>
    </w:p>
    <w:p>
      <w:pPr>
        <w:spacing w:after="0" w:line="12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reputation could be damaged if we do not, or are perceived to not, act responsibly with respect to ESG matters, which could adversely affect our business, results of operations, cash flows, and financial condition. Our global ESG program is focused on the following four pillars through which we believe we may significantly impact our stakeholders, or which may pose a material risk or opportunity for our business: (1) Leveraging the Power of Our People and Communities, (2) Strengthening the Sustainability of Our Supply Chain, (3) Managing and Reducing Our Environmental Impacts, and (4) Operating Ethically and Transparently.</w:t>
      </w:r>
    </w:p>
    <w:p>
      <w:pPr>
        <w:spacing w:after="0" w:line="1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These focus areas could prove to be the wrong focus areas, or not the most material focus areas, for our business.</w:t>
      </w:r>
    </w:p>
    <w:p>
      <w:pPr>
        <w:spacing w:after="0" w:line="15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In light of increasing regulatory, customer, team member, investor, and societal scrutiny of businesses’ management of material ESG issues, we may face a number of related risks, including making insufficient progress on or failing to identify all material ESG issues, resulting in potentially significant negative impacts on our stakeholders and related reputational harm; being perceived as having a superficial commitment to ESG without meaningfully addressing stakeholder impacts, risks, and opportunities, thereby potentially reducing important stakeholders’ willingness to be associated with, do business with, or be employed by us; an inability to control or avoid stakeholders politicizing our ESG positions, causing potential reputational harm among segments of our important stakeholders; or failing to comply with rapidly developing regulation on ESG in various jurisdictions, which may compromise our credibility, cause reputational harm, or lead to legal proceedings against us.</w:t>
      </w:r>
    </w:p>
    <w:p>
      <w:pPr>
        <w:spacing w:after="0" w:line="161"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Increasing attention to ESG matters may also cause certain institutional investors to be discouraged from investing in us.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investors’ increased focus and activism related to ESG and similar matters may hinder access to capital, as investors may decide to reallocate capital or to not commit capital as a result of their assessment of a company’s ESG practices. Companies which do not adapt to or comply with investor or stakeholder expectations and standards, which are evolving, or which are perceived to have not responded appropriately to the growing concern for ESG issues, regardless of whether there is a legal requirement to do so, may suffer from reputational damage and the business, financial condition, and/or stock price of such a company could be materially and adversely affected. In addition, the importance of ESG scoring evaluations is becoming more broadly accepted by shareholders. Certain organizations have developed scores and ratings to evaluate companies based upon certain ESG metrics. Many shareholders focus on positive ESG business practices and scores when making investments and may consider a company’s score as a reputational or other factor in making an investment decision.</w:t>
      </w:r>
    </w:p>
    <w:p>
      <w:pPr>
        <w:spacing w:after="0" w:line="165"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In addition, certain investors, particularly institutional investors, use these scores to benchmark companies against their peers and if a company is perceived as lagging, these investors may engage with companies to require improved ESG disclosure or performance. We may face reputational damage in the event our ESG procedures or standards do not meet the standards set by various constituencies. A low score could result in a negative perception of us, or exclusion of our common stock from consideration by certain investors. In addition, the cost of compliance to receive high ESG scores may be considerable.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adversely affected by regulatory and litigation developments.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mediation, arbitration, or adverse court or agency decision, may harm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many different jurisdictions and we could be adversely affected by violations of the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Corrupt Practices Act and similar worldwide anti-corruption laws.</w:t>
      </w:r>
    </w:p>
    <w:p>
      <w:pPr>
        <w:spacing w:after="0" w:line="20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spacing w:after="0" w:line="33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17" w:name="page18"/>
    <w:bookmarkEnd w:id="17"/>
    <w:p>
      <w:pPr>
        <w:jc w:val="both"/>
        <w:ind w:right="59"/>
        <w:spacing w:after="0" w:line="267" w:lineRule="auto"/>
        <w:rPr>
          <w:sz w:val="20"/>
          <w:szCs w:val="20"/>
          <w:color w:val="auto"/>
        </w:rPr>
      </w:pPr>
      <w:r>
        <w:rPr>
          <w:rFonts w:ascii="Arial" w:cs="Arial" w:eastAsia="Arial" w:hAnsi="Arial"/>
          <w:sz w:val="17"/>
          <w:szCs w:val="17"/>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125"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continue to document, test, and monitor our internal control over financial reporting in order to satisfy the requirements of Section 404 of the Sarbanes-Oxley Act of 2002. During 2021, we closed on the acquisitions of WSS and atmos and we excluded both of these businesses from the scope of management’s report on internal control over financial reporting and will include them in scope, if necessary, for the year ending January 28, 2023. This process may result in additions or changes to our internal control over financial reporting. However, we cannot be assured that our disclosure controls and procedures and our internal control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International intellectual property protection can be uncertain and costly.</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Indebtedness and our Credit Facility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recent debt offering may cause an adverse effect on our business.</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During the third quarter of 2021, we completed the sale of $400 million of 4% Senior Notes due 2029. Our inability to generate sufficient cash flow to satisfy our debt obligations or to refinance our debt obligations could adversely affect our business, financial condition, results of operations, capital expenditures, and other corporate requirements, requiring us to direct a substantial portion of our future cash flow toward payments on our indebtedness, which would reduce the amount of cash flow available to fund working capital, capital expenditures, and other corporate requirements, limiting our ability to respond to business opportunities and subjecting us to financial and other restrictive covenants, the failure of which to satisfy could result in a default of our indebtedness.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draw on our credit facility in the future.</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Borrowings and letters of credit under our credit facility are not permitted to exceed a borrowing base, which is tied to our level of inventory. Therefore, reductions in the value of our inventory would result in a reduction in our borrowing base, which would reduce the amount of financial resources available to meet our operating requirements. Also, if we do not comply with our financial covenants and we do not obtain a waiver or amendment from our lenders, the lenders may elect to cause any amounts then owed to become immediately due and payable or may decline to renew our credit facility. In that event, we would seek to establish a replacement credit facility with one or more other lenders, including lenders with which we have an existing relationship, potentially on less desirable terms. There can be no guarantee that replacement financing would be available at commercially reasonable terms, if at all.</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18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Our properties consist of land, leased stores, administrative facilities, and distribution centers. Gross square footage and total selling area for our store locations at the end of 2021 were approximately 13.28 and 7.91 million square feet, respectively. These properties, which are primarily leased, are located in the United States and its territories, Canada, various European countries, Asia, Australia, and New Zealand.</w:t>
      </w:r>
    </w:p>
    <w:p>
      <w:pPr>
        <w:spacing w:after="0" w:line="14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currently operate six distribution centers, of which two are owned and four are leased, occupying an aggregate of 3.2 million square feet. Four of these distribution centers are located in the United States, one in Canada, and one in the Netherlands. We also own a manufacturing facility and operate a leased warehouse in the United States, which support our Team Edition apparel business.</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believe that all leases of properties that are material to our operations may be renewed, or that alternative properties are available, on terms similar to existing leases. Currently, WSS operates one leased distribution center and in 2022 we expect to open a second distribution center in Texas to support the planned sales growth for that business. Also, we expect to open for operations our new distribution center in Nevada in the back half of 2022.</w:t>
      </w:r>
    </w:p>
    <w:p>
      <w:pPr>
        <w:spacing w:after="0" w:line="16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158" w:lineRule="exact"/>
        <w:rPr>
          <w:sz w:val="20"/>
          <w:szCs w:val="20"/>
          <w:color w:val="auto"/>
        </w:rPr>
      </w:pPr>
    </w:p>
    <w:p>
      <w:pPr>
        <w:jc w:val="both"/>
        <w:ind w:right="59"/>
        <w:spacing w:after="0" w:line="265" w:lineRule="auto"/>
        <w:rPr>
          <w:sz w:val="20"/>
          <w:szCs w:val="20"/>
          <w:color w:val="auto"/>
        </w:rPr>
      </w:pPr>
      <w:r>
        <w:rPr>
          <w:rFonts w:ascii="Arial" w:cs="Arial" w:eastAsia="Arial" w:hAnsi="Arial"/>
          <w:sz w:val="17"/>
          <w:szCs w:val="17"/>
          <w:color w:val="auto"/>
        </w:rPr>
        <w:t xml:space="preserve">Information regarding the Company’s legal proceedings is contained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Consolidated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4A. Information about our Executive Officers</w:t>
      </w:r>
    </w:p>
    <w:p>
      <w:pPr>
        <w:spacing w:after="0" w:line="189"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The following table provides information with respect to all persons serving as executive officers as of March 24, 2022, including business experience for the last five years.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Chairman, President and Chief Executive Officer</w:t>
            </w:r>
          </w:p>
        </w:tc>
        <w:tc>
          <w:tcPr>
            <w:tcW w:w="23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7"/>
                <w:szCs w:val="17"/>
                <w:color w:val="auto"/>
              </w:rPr>
              <w:t>Richard A. Johnson</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Executive Vice President and Chief Operating Officer</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Franklin R. Bracken</w:t>
            </w:r>
          </w:p>
        </w:tc>
      </w:tr>
      <w:tr>
        <w:trPr>
          <w:trHeight w:val="189"/>
        </w:trPr>
        <w:tc>
          <w:tcPr>
            <w:tcW w:w="67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Executive Vice President, General Counsel and Secretary</w:t>
            </w:r>
          </w:p>
        </w:tc>
        <w:tc>
          <w:tcPr>
            <w:tcW w:w="2300" w:type="dxa"/>
            <w:vAlign w:val="bottom"/>
            <w:shd w:val="clear" w:color="auto" w:fill="CCEEFF"/>
          </w:tcPr>
          <w:p>
            <w:pPr>
              <w:ind w:left="600"/>
              <w:spacing w:after="0" w:line="189" w:lineRule="exact"/>
              <w:rPr>
                <w:sz w:val="20"/>
                <w:szCs w:val="20"/>
                <w:color w:val="auto"/>
              </w:rPr>
            </w:pPr>
            <w:r>
              <w:rPr>
                <w:rFonts w:ascii="Arial" w:cs="Arial" w:eastAsia="Arial" w:hAnsi="Arial"/>
                <w:sz w:val="17"/>
                <w:szCs w:val="17"/>
                <w:color w:val="auto"/>
              </w:rPr>
              <w:t>Sheilagh M. Clarke</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Executive Vice President and Chief Commercial Officer</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Andrew I. Gray</w:t>
            </w:r>
          </w:p>
        </w:tc>
      </w:tr>
      <w:tr>
        <w:trPr>
          <w:trHeight w:val="189"/>
        </w:trPr>
        <w:tc>
          <w:tcPr>
            <w:tcW w:w="67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Executive Vice President and Chief Strategy and Corporate Development Officer</w:t>
            </w:r>
          </w:p>
        </w:tc>
        <w:tc>
          <w:tcPr>
            <w:tcW w:w="2300" w:type="dxa"/>
            <w:vAlign w:val="bottom"/>
            <w:shd w:val="clear" w:color="auto" w:fill="CCEEFF"/>
          </w:tcPr>
          <w:p>
            <w:pPr>
              <w:ind w:left="600"/>
              <w:spacing w:after="0" w:line="189" w:lineRule="exact"/>
              <w:rPr>
                <w:sz w:val="20"/>
                <w:szCs w:val="20"/>
                <w:color w:val="auto"/>
              </w:rPr>
            </w:pPr>
            <w:r>
              <w:rPr>
                <w:rFonts w:ascii="Arial" w:cs="Arial" w:eastAsia="Arial" w:hAnsi="Arial"/>
                <w:sz w:val="17"/>
                <w:szCs w:val="17"/>
                <w:color w:val="auto"/>
              </w:rPr>
              <w:t>W. Scott Martin</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Executive Vice President and Chief Human Resources Officer</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Elizabeth S. Norberg</w:t>
            </w:r>
          </w:p>
        </w:tc>
      </w:tr>
      <w:tr>
        <w:trPr>
          <w:trHeight w:val="189"/>
        </w:trPr>
        <w:tc>
          <w:tcPr>
            <w:tcW w:w="67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Executive Vice President and Chief Financial Officer</w:t>
            </w:r>
          </w:p>
        </w:tc>
        <w:tc>
          <w:tcPr>
            <w:tcW w:w="2300" w:type="dxa"/>
            <w:vAlign w:val="bottom"/>
            <w:shd w:val="clear" w:color="auto" w:fill="CCEEFF"/>
          </w:tcPr>
          <w:p>
            <w:pPr>
              <w:ind w:left="600"/>
              <w:spacing w:after="0" w:line="189" w:lineRule="exact"/>
              <w:rPr>
                <w:sz w:val="20"/>
                <w:szCs w:val="20"/>
                <w:color w:val="auto"/>
              </w:rPr>
            </w:pPr>
            <w:r>
              <w:rPr>
                <w:rFonts w:ascii="Arial" w:cs="Arial" w:eastAsia="Arial" w:hAnsi="Arial"/>
                <w:sz w:val="17"/>
                <w:szCs w:val="17"/>
                <w:color w:val="auto"/>
              </w:rPr>
              <w:t>Andrew E. Page</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President, Global Brands</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Samantha Lomow</w:t>
            </w:r>
          </w:p>
        </w:tc>
      </w:tr>
      <w:tr>
        <w:trPr>
          <w:trHeight w:val="189"/>
        </w:trPr>
        <w:tc>
          <w:tcPr>
            <w:tcW w:w="67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President - EMEA and General Manager - Foot Locker Europe</w:t>
            </w:r>
          </w:p>
        </w:tc>
        <w:tc>
          <w:tcPr>
            <w:tcW w:w="2300" w:type="dxa"/>
            <w:vAlign w:val="bottom"/>
            <w:shd w:val="clear" w:color="auto" w:fill="CCEEFF"/>
          </w:tcPr>
          <w:p>
            <w:pPr>
              <w:ind w:left="600"/>
              <w:spacing w:after="0" w:line="189" w:lineRule="exact"/>
              <w:rPr>
                <w:sz w:val="20"/>
                <w:szCs w:val="20"/>
                <w:color w:val="auto"/>
              </w:rPr>
            </w:pPr>
            <w:r>
              <w:rPr>
                <w:rFonts w:ascii="Arial" w:cs="Arial" w:eastAsia="Arial" w:hAnsi="Arial"/>
                <w:sz w:val="17"/>
                <w:szCs w:val="17"/>
                <w:color w:val="auto"/>
              </w:rPr>
              <w:t>Susie J. Kuhn</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Senior Vice President, Chief Accounting Officer</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Giovanna Cipriano</w:t>
            </w:r>
          </w:p>
        </w:tc>
      </w:tr>
      <w:tr>
        <w:trPr>
          <w:trHeight w:val="189"/>
        </w:trPr>
        <w:tc>
          <w:tcPr>
            <w:tcW w:w="678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Senior Vice President, Global Supply Chain</w:t>
            </w:r>
          </w:p>
        </w:tc>
        <w:tc>
          <w:tcPr>
            <w:tcW w:w="2300" w:type="dxa"/>
            <w:vAlign w:val="bottom"/>
            <w:shd w:val="clear" w:color="auto" w:fill="CCEEFF"/>
          </w:tcPr>
          <w:p>
            <w:pPr>
              <w:ind w:left="600"/>
              <w:spacing w:after="0" w:line="189" w:lineRule="exact"/>
              <w:rPr>
                <w:sz w:val="20"/>
                <w:szCs w:val="20"/>
                <w:color w:val="auto"/>
              </w:rPr>
            </w:pPr>
            <w:r>
              <w:rPr>
                <w:rFonts w:ascii="Arial" w:cs="Arial" w:eastAsia="Arial" w:hAnsi="Arial"/>
                <w:sz w:val="17"/>
                <w:szCs w:val="17"/>
                <w:color w:val="auto"/>
              </w:rPr>
              <w:t>Todd Greener</w:t>
            </w:r>
          </w:p>
        </w:tc>
      </w:tr>
      <w:tr>
        <w:trPr>
          <w:trHeight w:val="189"/>
        </w:trPr>
        <w:tc>
          <w:tcPr>
            <w:tcW w:w="6780" w:type="dxa"/>
            <w:vAlign w:val="bottom"/>
          </w:tcPr>
          <w:p>
            <w:pPr>
              <w:ind w:left="120"/>
              <w:spacing w:after="0" w:line="189" w:lineRule="exact"/>
              <w:rPr>
                <w:sz w:val="20"/>
                <w:szCs w:val="20"/>
                <w:color w:val="auto"/>
              </w:rPr>
            </w:pPr>
            <w:r>
              <w:rPr>
                <w:rFonts w:ascii="Arial" w:cs="Arial" w:eastAsia="Arial" w:hAnsi="Arial"/>
                <w:sz w:val="17"/>
                <w:szCs w:val="17"/>
                <w:color w:val="auto"/>
              </w:rPr>
              <w:t>Senior Vice President, Chief Information Officer</w:t>
            </w:r>
          </w:p>
        </w:tc>
        <w:tc>
          <w:tcPr>
            <w:tcW w:w="2300" w:type="dxa"/>
            <w:vAlign w:val="bottom"/>
          </w:tcPr>
          <w:p>
            <w:pPr>
              <w:ind w:left="600"/>
              <w:spacing w:after="0" w:line="189" w:lineRule="exact"/>
              <w:rPr>
                <w:sz w:val="20"/>
                <w:szCs w:val="20"/>
                <w:color w:val="auto"/>
              </w:rPr>
            </w:pPr>
            <w:r>
              <w:rPr>
                <w:rFonts w:ascii="Arial" w:cs="Arial" w:eastAsia="Arial" w:hAnsi="Arial"/>
                <w:sz w:val="17"/>
                <w:szCs w:val="17"/>
                <w:color w:val="auto"/>
              </w:rPr>
              <w:t>Himanshu Parikh</w:t>
            </w:r>
          </w:p>
        </w:tc>
      </w:tr>
      <w:tr>
        <w:trPr>
          <w:trHeight w:val="189"/>
        </w:trPr>
        <w:tc>
          <w:tcPr>
            <w:tcW w:w="67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Vice President, Treasurer</w:t>
            </w:r>
          </w:p>
        </w:tc>
        <w:tc>
          <w:tcPr>
            <w:tcW w:w="2300" w:type="dxa"/>
            <w:vAlign w:val="bottom"/>
            <w:tcBorders>
              <w:bottom w:val="single" w:sz="8" w:color="auto"/>
            </w:tcBorders>
            <w:shd w:val="clear" w:color="auto" w:fill="CCEEFF"/>
          </w:tcPr>
          <w:p>
            <w:pPr>
              <w:ind w:left="600"/>
              <w:spacing w:after="0" w:line="189" w:lineRule="exact"/>
              <w:rPr>
                <w:sz w:val="20"/>
                <w:szCs w:val="20"/>
                <w:color w:val="auto"/>
              </w:rPr>
            </w:pPr>
            <w:r>
              <w:rPr>
                <w:rFonts w:ascii="Arial" w:cs="Arial" w:eastAsia="Arial" w:hAnsi="Arial"/>
                <w:sz w:val="17"/>
                <w:szCs w:val="17"/>
                <w:color w:val="auto"/>
              </w:rPr>
              <w:t>John A. Maurer</w:t>
            </w:r>
          </w:p>
        </w:tc>
      </w:tr>
    </w:tbl>
    <w:p>
      <w:pPr>
        <w:spacing w:after="0" w:line="138" w:lineRule="exact"/>
        <w:rPr>
          <w:sz w:val="20"/>
          <w:szCs w:val="20"/>
          <w:color w:val="auto"/>
        </w:rPr>
      </w:pPr>
    </w:p>
    <w:p>
      <w:pPr>
        <w:jc w:val="both"/>
        <w:ind w:right="79"/>
        <w:spacing w:after="0" w:line="265" w:lineRule="auto"/>
        <w:rPr>
          <w:sz w:val="20"/>
          <w:szCs w:val="20"/>
          <w:color w:val="auto"/>
        </w:rPr>
      </w:pPr>
      <w:r>
        <w:rPr>
          <w:rFonts w:ascii="Arial" w:cs="Arial" w:eastAsia="Arial" w:hAnsi="Arial"/>
          <w:sz w:val="17"/>
          <w:szCs w:val="17"/>
          <w:i w:val="1"/>
          <w:iCs w:val="1"/>
          <w:color w:val="auto"/>
        </w:rPr>
        <w:t xml:space="preserve">Richard A. Johnson, </w:t>
      </w:r>
      <w:r>
        <w:rPr>
          <w:rFonts w:ascii="Arial" w:cs="Arial" w:eastAsia="Arial" w:hAnsi="Arial"/>
          <w:sz w:val="17"/>
          <w:szCs w:val="17"/>
          <w:color w:val="auto"/>
        </w:rPr>
        <w:t>age 64, has served as Chairman of the Board since May 2016 and President and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December 2014.</w:t>
      </w:r>
    </w:p>
    <w:p>
      <w:pPr>
        <w:spacing w:after="0" w:line="122" w:lineRule="exact"/>
        <w:rPr>
          <w:sz w:val="20"/>
          <w:szCs w:val="20"/>
          <w:color w:val="auto"/>
        </w:rPr>
      </w:pPr>
    </w:p>
    <w:p>
      <w:pPr>
        <w:jc w:val="both"/>
        <w:ind w:right="59"/>
        <w:spacing w:after="0"/>
        <w:rPr>
          <w:sz w:val="20"/>
          <w:szCs w:val="20"/>
          <w:color w:val="auto"/>
        </w:rPr>
      </w:pPr>
      <w:r>
        <w:rPr>
          <w:rFonts w:ascii="Arial" w:cs="Arial" w:eastAsia="Arial" w:hAnsi="Arial"/>
          <w:sz w:val="17"/>
          <w:szCs w:val="17"/>
          <w:i w:val="1"/>
          <w:iCs w:val="1"/>
          <w:color w:val="auto"/>
        </w:rPr>
        <w:t xml:space="preserve">Franklin R. Bracken, </w:t>
      </w:r>
      <w:r>
        <w:rPr>
          <w:rFonts w:ascii="Arial" w:cs="Arial" w:eastAsia="Arial" w:hAnsi="Arial"/>
          <w:sz w:val="17"/>
          <w:szCs w:val="17"/>
          <w:color w:val="auto"/>
        </w:rPr>
        <w:t>age 49, has served as Executive Vice President and Chief Operating Officer since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2021. He previously served as Executive Vice President and Chief Executive Officer — North America from July 2020 through November 2021, Senior Vice President and General Manager Foot Locker U.S., Lady Foot Locker, and Kids Foot Locker from October 2017 through July 2020, and Vice President General Manager of Foot Locker Canada from February 2016 through October 2017.</w:t>
      </w:r>
    </w:p>
    <w:p>
      <w:pPr>
        <w:spacing w:after="0" w:line="143" w:lineRule="exact"/>
        <w:rPr>
          <w:sz w:val="20"/>
          <w:szCs w:val="20"/>
          <w:color w:val="auto"/>
        </w:rPr>
      </w:pPr>
    </w:p>
    <w:p>
      <w:pPr>
        <w:jc w:val="both"/>
        <w:ind w:right="59"/>
        <w:spacing w:after="0" w:line="265" w:lineRule="auto"/>
        <w:rPr>
          <w:sz w:val="20"/>
          <w:szCs w:val="20"/>
          <w:color w:val="auto"/>
        </w:rPr>
      </w:pPr>
      <w:r>
        <w:rPr>
          <w:rFonts w:ascii="Arial" w:cs="Arial" w:eastAsia="Arial" w:hAnsi="Arial"/>
          <w:sz w:val="17"/>
          <w:szCs w:val="17"/>
          <w:i w:val="1"/>
          <w:iCs w:val="1"/>
          <w:color w:val="auto"/>
        </w:rPr>
        <w:t xml:space="preserve">Sheilagh M. Clarke, </w:t>
      </w:r>
      <w:r>
        <w:rPr>
          <w:rFonts w:ascii="Arial" w:cs="Arial" w:eastAsia="Arial" w:hAnsi="Arial"/>
          <w:sz w:val="17"/>
          <w:szCs w:val="17"/>
          <w:color w:val="auto"/>
        </w:rPr>
        <w:t>age 62, has served as Executive Vice President, General Counsel and Secretary since March 2022</w:t>
      </w:r>
      <w:r>
        <w:rPr>
          <w:rFonts w:ascii="Arial" w:cs="Arial" w:eastAsia="Arial" w:hAnsi="Arial"/>
          <w:sz w:val="17"/>
          <w:szCs w:val="17"/>
          <w:i w:val="1"/>
          <w:iCs w:val="1"/>
          <w:color w:val="auto"/>
        </w:rPr>
        <w:t xml:space="preserve"> </w:t>
      </w:r>
      <w:r>
        <w:rPr>
          <w:rFonts w:ascii="Arial" w:cs="Arial" w:eastAsia="Arial" w:hAnsi="Arial"/>
          <w:sz w:val="17"/>
          <w:szCs w:val="17"/>
          <w:color w:val="auto"/>
        </w:rPr>
        <w:t>and previously served as Senior Vice President, General Counsel and Secretary from June 2014 through March 2022.</w:t>
      </w:r>
    </w:p>
    <w:p>
      <w:pPr>
        <w:spacing w:after="0" w:line="108"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 xml:space="preserve">Andrew I. Gray, </w:t>
      </w:r>
      <w:r>
        <w:rPr>
          <w:rFonts w:ascii="Arial" w:cs="Arial" w:eastAsia="Arial" w:hAnsi="Arial"/>
          <w:sz w:val="17"/>
          <w:szCs w:val="17"/>
          <w:color w:val="auto"/>
        </w:rPr>
        <w:t>age 44, has served as Executive Vice President and Chief Commercial Officer since July 2020.</w:t>
      </w:r>
      <w:r>
        <w:rPr>
          <w:rFonts w:ascii="Arial" w:cs="Arial" w:eastAsia="Arial" w:hAnsi="Arial"/>
          <w:sz w:val="17"/>
          <w:szCs w:val="17"/>
          <w:i w:val="1"/>
          <w:iCs w:val="1"/>
          <w:color w:val="auto"/>
        </w:rPr>
        <w:t xml:space="preserve"> </w:t>
      </w:r>
      <w:r>
        <w:rPr>
          <w:rFonts w:ascii="Arial" w:cs="Arial" w:eastAsia="Arial" w:hAnsi="Arial"/>
          <w:sz w:val="17"/>
          <w:szCs w:val="17"/>
          <w:color w:val="auto"/>
        </w:rPr>
        <w:t>Mr. Gray previously served as Vice President and Chief Merchandising Officer — North America from October 2017 through July 2020 and Vice President and General Manager of U.S. Foot Locker and Lady Foot Locker from April 2016 to October 2017.</w:t>
      </w:r>
    </w:p>
    <w:p>
      <w:pPr>
        <w:spacing w:after="0" w:line="140"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i w:val="1"/>
          <w:iCs w:val="1"/>
          <w:color w:val="auto"/>
        </w:rPr>
        <w:t xml:space="preserve">W. Scott Martin, </w:t>
      </w:r>
      <w:r>
        <w:rPr>
          <w:rFonts w:ascii="Arial" w:cs="Arial" w:eastAsia="Arial" w:hAnsi="Arial"/>
          <w:sz w:val="17"/>
          <w:szCs w:val="17"/>
          <w:color w:val="auto"/>
        </w:rPr>
        <w:t>age 54, has served as Executive Vice President and Chief Strategy and Corporate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March 2022. Mr. Martin previously served as President — Asia Pacific from November 2021 through March 2022, Executive Vice President and Chief Executive Officer — Asia Pacific and Chief Strategy Officer from July 2020 through November 2021, Senior Vice President, Chief Strategy and Development Officer from March 2019 to July 2020, Senior Vice President — Strategy and Store Development from October 2017 to March 2019 and as Senior Vice President — Real Estate from June 2016 to September 2017.</w:t>
      </w:r>
    </w:p>
    <w:p>
      <w:pPr>
        <w:spacing w:after="0" w:line="146"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Elizabeth S. Norberg</w:t>
      </w:r>
      <w:r>
        <w:rPr>
          <w:rFonts w:ascii="Arial" w:cs="Arial" w:eastAsia="Arial" w:hAnsi="Arial"/>
          <w:sz w:val="17"/>
          <w:szCs w:val="17"/>
          <w:color w:val="auto"/>
        </w:rPr>
        <w:t>, age 55, has served as Executive Vice President and Chief Human Resources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2021. From September 2018 through November 2021, she served as Senior Vice President and Chief Human Resources Officer. Ms. Norberg previously served as Executive Vice President, Chief Human Resources Officer at Loews Hotels &amp; Co. (a subsidiary of Loews Corporation) from August 2017 to September 2018.</w:t>
      </w:r>
    </w:p>
    <w:p>
      <w:pPr>
        <w:spacing w:after="0" w:line="126"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i w:val="1"/>
          <w:iCs w:val="1"/>
          <w:color w:val="auto"/>
        </w:rPr>
        <w:t>Andrew E. Page</w:t>
      </w:r>
      <w:r>
        <w:rPr>
          <w:rFonts w:ascii="Arial" w:cs="Arial" w:eastAsia="Arial" w:hAnsi="Arial"/>
          <w:sz w:val="17"/>
          <w:szCs w:val="17"/>
          <w:color w:val="auto"/>
        </w:rPr>
        <w:t>, age 52, has served as Executive Vice President and Chief Financial Officer since April 2021. Mr. Page</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Senior Vice President, Chief Accounting Officer and Controller at Advance Auto Parts, Inc. from May 2019 through April 2021 and Senior Vice President and Chief Accounting Officer at Under Armour, Inc. Mr. Page worked for Under Armour, Inc. from 2011 to 2019, where he initially served as the company’s Assistant Controller.</w:t>
      </w:r>
    </w:p>
    <w:p>
      <w:pPr>
        <w:spacing w:after="0" w:line="15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19" w:name="page20"/>
    <w:bookmarkEnd w:id="19"/>
    <w:p>
      <w:pPr>
        <w:jc w:val="both"/>
        <w:ind w:left="1" w:right="79"/>
        <w:spacing w:after="0" w:line="243" w:lineRule="auto"/>
        <w:rPr>
          <w:sz w:val="20"/>
          <w:szCs w:val="20"/>
          <w:color w:val="auto"/>
        </w:rPr>
      </w:pPr>
      <w:r>
        <w:rPr>
          <w:rFonts w:ascii="Arial" w:cs="Arial" w:eastAsia="Arial" w:hAnsi="Arial"/>
          <w:sz w:val="17"/>
          <w:szCs w:val="17"/>
          <w:i w:val="1"/>
          <w:iCs w:val="1"/>
          <w:color w:val="auto"/>
        </w:rPr>
        <w:t>Samantha Lomow</w:t>
      </w:r>
      <w:r>
        <w:rPr>
          <w:rFonts w:ascii="Arial" w:cs="Arial" w:eastAsia="Arial" w:hAnsi="Arial"/>
          <w:sz w:val="17"/>
          <w:szCs w:val="17"/>
          <w:color w:val="auto"/>
        </w:rPr>
        <w:t>, age 48, has served as President, Global Brands since March 2022. Ms. Lomow previously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 Special Advisor to Hasbro, Inc. from February 2021 through February 2022, President, Branded Entertainment, Hasbro &amp; e-One from January 2020 through January 2021, President, Hasbro Entertainment Brands from September 2018 through January 2020, and Senior Vice President, Hasbro Brands from January 2016 through August 2018.</w:t>
      </w:r>
    </w:p>
    <w:p>
      <w:pPr>
        <w:spacing w:after="0" w:line="126" w:lineRule="exact"/>
        <w:rPr>
          <w:sz w:val="20"/>
          <w:szCs w:val="20"/>
          <w:color w:val="auto"/>
        </w:rPr>
      </w:pPr>
    </w:p>
    <w:p>
      <w:pPr>
        <w:jc w:val="both"/>
        <w:ind w:left="1" w:right="59"/>
        <w:spacing w:after="0"/>
        <w:rPr>
          <w:sz w:val="20"/>
          <w:szCs w:val="20"/>
          <w:color w:val="auto"/>
        </w:rPr>
      </w:pPr>
      <w:r>
        <w:rPr>
          <w:rFonts w:ascii="Arial" w:cs="Arial" w:eastAsia="Arial" w:hAnsi="Arial"/>
          <w:sz w:val="17"/>
          <w:szCs w:val="17"/>
          <w:i w:val="1"/>
          <w:iCs w:val="1"/>
          <w:color w:val="auto"/>
        </w:rPr>
        <w:t xml:space="preserve">Susan J. Kuhn, </w:t>
      </w:r>
      <w:r>
        <w:rPr>
          <w:rFonts w:ascii="Arial" w:cs="Arial" w:eastAsia="Arial" w:hAnsi="Arial"/>
          <w:sz w:val="17"/>
          <w:szCs w:val="17"/>
          <w:color w:val="auto"/>
        </w:rPr>
        <w:t>age 46, has served as President — EMEA and General Manager — Foot Locker Europe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2021. Ms. Kuhn previously served as Senior Vice President, General Manager, Foot Locker Europe from February 2020 through November 2021, Executive Director, Strategy &amp; Business Development, Urban Outfitters, Inc. from January 2019 through February 2020, and Vice President and General Manager, Digital and Direct Retail— Converse China, Nike, Inc. from October 2016 through August 2018.</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 xml:space="preserve">Giovanna Cipriano, </w:t>
      </w:r>
      <w:r>
        <w:rPr>
          <w:rFonts w:ascii="Arial" w:cs="Arial" w:eastAsia="Arial" w:hAnsi="Arial"/>
          <w:sz w:val="17"/>
          <w:szCs w:val="17"/>
          <w:color w:val="auto"/>
        </w:rPr>
        <w:t>age 52, has served as Senior Vice President and Chief Accounting Officer since May 2009.</w:t>
      </w:r>
    </w:p>
    <w:p>
      <w:pPr>
        <w:spacing w:after="0" w:line="169" w:lineRule="exact"/>
        <w:rPr>
          <w:sz w:val="20"/>
          <w:szCs w:val="20"/>
          <w:color w:val="auto"/>
        </w:rPr>
      </w:pPr>
    </w:p>
    <w:p>
      <w:pPr>
        <w:jc w:val="both"/>
        <w:ind w:left="1" w:right="59"/>
        <w:spacing w:after="0" w:line="265" w:lineRule="auto"/>
        <w:rPr>
          <w:sz w:val="20"/>
          <w:szCs w:val="20"/>
          <w:color w:val="auto"/>
        </w:rPr>
      </w:pPr>
      <w:r>
        <w:rPr>
          <w:rFonts w:ascii="Arial" w:cs="Arial" w:eastAsia="Arial" w:hAnsi="Arial"/>
          <w:sz w:val="17"/>
          <w:szCs w:val="17"/>
          <w:i w:val="1"/>
          <w:iCs w:val="1"/>
          <w:color w:val="auto"/>
        </w:rPr>
        <w:t>Todd Greener</w:t>
      </w:r>
      <w:r>
        <w:rPr>
          <w:rFonts w:ascii="Arial" w:cs="Arial" w:eastAsia="Arial" w:hAnsi="Arial"/>
          <w:sz w:val="17"/>
          <w:szCs w:val="17"/>
          <w:color w:val="auto"/>
        </w:rPr>
        <w:t>, age 51, has served as Senior Vice President — Global Supply Chain since October 2018. Mr. Greener</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Senior Vice President — Supply Chain at Advance Auto Parts from March 2015 to October 2018.</w:t>
      </w:r>
    </w:p>
    <w:p>
      <w:pPr>
        <w:spacing w:after="0" w:line="108" w:lineRule="exact"/>
        <w:rPr>
          <w:sz w:val="20"/>
          <w:szCs w:val="20"/>
          <w:color w:val="auto"/>
        </w:rPr>
      </w:pPr>
    </w:p>
    <w:p>
      <w:pPr>
        <w:jc w:val="both"/>
        <w:ind w:left="1" w:right="59"/>
        <w:spacing w:after="0" w:line="248" w:lineRule="auto"/>
        <w:rPr>
          <w:sz w:val="20"/>
          <w:szCs w:val="20"/>
          <w:color w:val="auto"/>
        </w:rPr>
      </w:pPr>
      <w:r>
        <w:rPr>
          <w:rFonts w:ascii="Arial" w:cs="Arial" w:eastAsia="Arial" w:hAnsi="Arial"/>
          <w:sz w:val="17"/>
          <w:szCs w:val="17"/>
          <w:i w:val="1"/>
          <w:iCs w:val="1"/>
          <w:color w:val="auto"/>
        </w:rPr>
        <w:t>Himanshu Parikh</w:t>
      </w:r>
      <w:r>
        <w:rPr>
          <w:rFonts w:ascii="Arial" w:cs="Arial" w:eastAsia="Arial" w:hAnsi="Arial"/>
          <w:sz w:val="17"/>
          <w:szCs w:val="17"/>
          <w:color w:val="auto"/>
        </w:rPr>
        <w:t>, age 49, has served as Senior Vice President, Chief Information Officer since December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2015 to November 2020, Mr. Parikh served in various technology leadership roles at Michaels Corporation with his most recent role as Senior Vice President — Chief Technology Officer.</w:t>
      </w:r>
    </w:p>
    <w:p>
      <w:pPr>
        <w:spacing w:after="0" w:line="137" w:lineRule="exact"/>
        <w:rPr>
          <w:sz w:val="20"/>
          <w:szCs w:val="20"/>
          <w:color w:val="auto"/>
        </w:rPr>
      </w:pPr>
    </w:p>
    <w:p>
      <w:pPr>
        <w:jc w:val="both"/>
        <w:ind w:left="1" w:right="79"/>
        <w:spacing w:after="0" w:line="265" w:lineRule="auto"/>
        <w:rPr>
          <w:sz w:val="20"/>
          <w:szCs w:val="20"/>
          <w:color w:val="auto"/>
        </w:rPr>
      </w:pPr>
      <w:r>
        <w:rPr>
          <w:rFonts w:ascii="Arial" w:cs="Arial" w:eastAsia="Arial" w:hAnsi="Arial"/>
          <w:sz w:val="17"/>
          <w:szCs w:val="17"/>
          <w:i w:val="1"/>
          <w:iCs w:val="1"/>
          <w:color w:val="auto"/>
        </w:rPr>
        <w:t xml:space="preserve">John A. Maurer, </w:t>
      </w:r>
      <w:r>
        <w:rPr>
          <w:rFonts w:ascii="Arial" w:cs="Arial" w:eastAsia="Arial" w:hAnsi="Arial"/>
          <w:sz w:val="17"/>
          <w:szCs w:val="17"/>
          <w:color w:val="auto"/>
        </w:rPr>
        <w:t>age 62, has served as Vice President, Treasurer since September 2006. In addition to Treasurer, he</w:t>
      </w:r>
      <w:r>
        <w:rPr>
          <w:rFonts w:ascii="Arial" w:cs="Arial" w:eastAsia="Arial" w:hAnsi="Arial"/>
          <w:sz w:val="17"/>
          <w:szCs w:val="17"/>
          <w:i w:val="1"/>
          <w:iCs w:val="1"/>
          <w:color w:val="auto"/>
        </w:rPr>
        <w:t xml:space="preserve"> </w:t>
      </w:r>
      <w:r>
        <w:rPr>
          <w:rFonts w:ascii="Arial" w:cs="Arial" w:eastAsia="Arial" w:hAnsi="Arial"/>
          <w:sz w:val="17"/>
          <w:szCs w:val="17"/>
          <w:color w:val="auto"/>
        </w:rPr>
        <w:t>also served as Vice President of Investor Relations from February 2011 through March 2018.</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There are no family relationships among the executive officers or directors of the Company.</w:t>
      </w:r>
    </w:p>
    <w:p>
      <w:pPr>
        <w:spacing w:after="0" w:line="23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PART II</w:t>
      </w:r>
    </w:p>
    <w:p>
      <w:pPr>
        <w:spacing w:after="0" w:line="156" w:lineRule="exact"/>
        <w:rPr>
          <w:sz w:val="20"/>
          <w:szCs w:val="20"/>
          <w:color w:val="auto"/>
        </w:rPr>
      </w:pPr>
    </w:p>
    <w:p>
      <w:pPr>
        <w:jc w:val="both"/>
        <w:ind w:left="641" w:right="79" w:hanging="647"/>
        <w:spacing w:after="0" w:line="267" w:lineRule="auto"/>
        <w:rPr>
          <w:sz w:val="20"/>
          <w:szCs w:val="20"/>
          <w:color w:val="auto"/>
        </w:rPr>
      </w:pPr>
      <w:r>
        <w:rPr>
          <w:rFonts w:ascii="Arial" w:cs="Arial" w:eastAsia="Arial" w:hAnsi="Arial"/>
          <w:sz w:val="17"/>
          <w:szCs w:val="17"/>
          <w:b w:val="1"/>
          <w:bCs w:val="1"/>
          <w:i w:val="1"/>
          <w:iCs w:val="1"/>
          <w:color w:val="auto"/>
        </w:rPr>
        <w:t>Item 5. Market for the Company’s Common Equity, Related Shareholder Matters and Issuer Purchases of Equity Securities</w:t>
      </w:r>
    </w:p>
    <w:p>
      <w:pPr>
        <w:spacing w:after="0" w:line="139" w:lineRule="exact"/>
        <w:rPr>
          <w:sz w:val="20"/>
          <w:szCs w:val="20"/>
          <w:color w:val="auto"/>
        </w:rPr>
      </w:pPr>
    </w:p>
    <w:p>
      <w:pPr>
        <w:jc w:val="both"/>
        <w:ind w:left="1" w:right="59"/>
        <w:spacing w:after="0" w:line="243" w:lineRule="auto"/>
        <w:rPr>
          <w:sz w:val="20"/>
          <w:szCs w:val="20"/>
          <w:color w:val="auto"/>
        </w:rPr>
      </w:pPr>
      <w:r>
        <w:rPr>
          <w:rFonts w:ascii="Arial" w:cs="Arial" w:eastAsia="Arial" w:hAnsi="Arial"/>
          <w:sz w:val="17"/>
          <w:szCs w:val="17"/>
          <w:color w:val="auto"/>
        </w:rPr>
        <w:t>Foot Locker, Inc. common stock (ticker symbol “FL”) is listed on the New York Stock Exchange as well as on the Börse Stuttgart stock exchange in Germany.</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7"/>
          <w:szCs w:val="17"/>
          <w:color w:val="auto"/>
        </w:rPr>
        <w:t>As of January 29, 2022, we had 11,316 shareholders of record owning 97,020,796 common shares.</w:t>
      </w:r>
    </w:p>
    <w:p>
      <w:pPr>
        <w:spacing w:after="0" w:line="169"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We declared a dividend of $0.20 per share in the first and second quarters of 2021, and a dividend of $0.30 per share in the third and fourth quarters of 2021. On February 24, 2022, the Board of Directors declared a quarterly dividend of $0.40 per share to be paid on April 29, 2022. This dividend represents a 33% increase from the previous quarterly per share amount of $0.30 per share. The Board of Directors regularly reviews the dividend policy and rate, taking into consideration the overall financial and strategic outlook for our earnings, liquidity, and cash flow.</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following table is a summary of our fourth quarter share repurchases:</w:t>
      </w:r>
    </w:p>
    <w:tbl>
      <w:tblPr>
        <w:tblLayout w:type="fixed"/>
        <w:tblInd w:w="1"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92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9"/>
              </w:rPr>
              <w:t>Total Number of</w:t>
            </w:r>
          </w:p>
        </w:tc>
        <w:tc>
          <w:tcPr>
            <w:tcW w:w="2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9"/>
              </w:rPr>
              <w:t>Dollar Value of</w:t>
            </w:r>
          </w:p>
        </w:tc>
      </w:tr>
      <w:tr>
        <w:trPr>
          <w:trHeight w:val="189"/>
        </w:trPr>
        <w:tc>
          <w:tcPr>
            <w:tcW w:w="2820" w:type="dxa"/>
            <w:vAlign w:val="bottom"/>
          </w:tcPr>
          <w:p>
            <w:pPr>
              <w:spacing w:after="0"/>
              <w:rPr>
                <w:sz w:val="16"/>
                <w:szCs w:val="16"/>
                <w:color w:val="auto"/>
              </w:rPr>
            </w:pPr>
          </w:p>
        </w:tc>
        <w:tc>
          <w:tcPr>
            <w:tcW w:w="1440" w:type="dxa"/>
            <w:vAlign w:val="bottom"/>
          </w:tcPr>
          <w:p>
            <w:pPr>
              <w:jc w:val="center"/>
              <w:ind w:left="75"/>
              <w:spacing w:after="0" w:line="189" w:lineRule="exact"/>
              <w:rPr>
                <w:sz w:val="20"/>
                <w:szCs w:val="20"/>
                <w:color w:val="auto"/>
              </w:rPr>
            </w:pPr>
            <w:r>
              <w:rPr>
                <w:rFonts w:ascii="Arial" w:cs="Arial" w:eastAsia="Arial" w:hAnsi="Arial"/>
                <w:sz w:val="17"/>
                <w:szCs w:val="17"/>
                <w:b w:val="1"/>
                <w:bCs w:val="1"/>
                <w:color w:val="auto"/>
                <w:w w:val="98"/>
              </w:rPr>
              <w:t>Total</w:t>
            </w:r>
          </w:p>
        </w:tc>
        <w:tc>
          <w:tcPr>
            <w:tcW w:w="240" w:type="dxa"/>
            <w:vAlign w:val="bottom"/>
          </w:tcPr>
          <w:p>
            <w:pPr>
              <w:spacing w:after="0"/>
              <w:rPr>
                <w:sz w:val="16"/>
                <w:szCs w:val="16"/>
                <w:color w:val="auto"/>
              </w:rPr>
            </w:pPr>
          </w:p>
        </w:tc>
        <w:tc>
          <w:tcPr>
            <w:tcW w:w="10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rPr>
              <w:t>Average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Purchased as</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Shares that may</w:t>
            </w:r>
          </w:p>
        </w:tc>
      </w:tr>
      <w:tr>
        <w:trPr>
          <w:trHeight w:val="189"/>
        </w:trPr>
        <w:tc>
          <w:tcPr>
            <w:tcW w:w="2820" w:type="dxa"/>
            <w:vAlign w:val="bottom"/>
          </w:tcPr>
          <w:p>
            <w:pPr>
              <w:spacing w:after="0"/>
              <w:rPr>
                <w:sz w:val="16"/>
                <w:szCs w:val="16"/>
                <w:color w:val="auto"/>
              </w:rPr>
            </w:pPr>
          </w:p>
        </w:tc>
        <w:tc>
          <w:tcPr>
            <w:tcW w:w="1440" w:type="dxa"/>
            <w:vAlign w:val="bottom"/>
          </w:tcPr>
          <w:p>
            <w:pPr>
              <w:jc w:val="center"/>
              <w:ind w:left="75"/>
              <w:spacing w:after="0" w:line="189" w:lineRule="exact"/>
              <w:rPr>
                <w:sz w:val="20"/>
                <w:szCs w:val="20"/>
                <w:color w:val="auto"/>
              </w:rPr>
            </w:pPr>
            <w:r>
              <w:rPr>
                <w:rFonts w:ascii="Arial" w:cs="Arial" w:eastAsia="Arial" w:hAnsi="Arial"/>
                <w:sz w:val="17"/>
                <w:szCs w:val="17"/>
                <w:b w:val="1"/>
                <w:bCs w:val="1"/>
                <w:color w:val="auto"/>
                <w:w w:val="99"/>
              </w:rPr>
              <w:t>Number</w:t>
            </w:r>
          </w:p>
        </w:tc>
        <w:tc>
          <w:tcPr>
            <w:tcW w:w="240" w:type="dxa"/>
            <w:vAlign w:val="bottom"/>
          </w:tcPr>
          <w:p>
            <w:pPr>
              <w:spacing w:after="0"/>
              <w:rPr>
                <w:sz w:val="16"/>
                <w:szCs w:val="16"/>
                <w:color w:val="auto"/>
              </w:rPr>
            </w:pPr>
          </w:p>
        </w:tc>
        <w:tc>
          <w:tcPr>
            <w:tcW w:w="10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6"/>
              </w:rPr>
              <w:t>Price</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Part of Publicly</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yet be Purchased</w:t>
            </w:r>
          </w:p>
        </w:tc>
      </w:tr>
      <w:tr>
        <w:trPr>
          <w:trHeight w:val="189"/>
        </w:trPr>
        <w:tc>
          <w:tcPr>
            <w:tcW w:w="2820" w:type="dxa"/>
            <w:vAlign w:val="bottom"/>
          </w:tcPr>
          <w:p>
            <w:pPr>
              <w:spacing w:after="0"/>
              <w:rPr>
                <w:sz w:val="16"/>
                <w:szCs w:val="16"/>
                <w:color w:val="auto"/>
              </w:rPr>
            </w:pPr>
          </w:p>
        </w:tc>
        <w:tc>
          <w:tcPr>
            <w:tcW w:w="1440" w:type="dxa"/>
            <w:vAlign w:val="bottom"/>
          </w:tcPr>
          <w:p>
            <w:pPr>
              <w:jc w:val="center"/>
              <w:ind w:left="55"/>
              <w:spacing w:after="0" w:line="189" w:lineRule="exact"/>
              <w:rPr>
                <w:sz w:val="20"/>
                <w:szCs w:val="20"/>
                <w:color w:val="auto"/>
              </w:rPr>
            </w:pPr>
            <w:r>
              <w:rPr>
                <w:rFonts w:ascii="Arial" w:cs="Arial" w:eastAsia="Arial" w:hAnsi="Arial"/>
                <w:sz w:val="17"/>
                <w:szCs w:val="17"/>
                <w:b w:val="1"/>
                <w:bCs w:val="1"/>
                <w:color w:val="auto"/>
              </w:rPr>
              <w:t>of Shares</w:t>
            </w:r>
          </w:p>
        </w:tc>
        <w:tc>
          <w:tcPr>
            <w:tcW w:w="240" w:type="dxa"/>
            <w:vAlign w:val="bottom"/>
          </w:tcPr>
          <w:p>
            <w:pPr>
              <w:spacing w:after="0"/>
              <w:rPr>
                <w:sz w:val="16"/>
                <w:szCs w:val="16"/>
                <w:color w:val="auto"/>
              </w:rPr>
            </w:pPr>
          </w:p>
        </w:tc>
        <w:tc>
          <w:tcPr>
            <w:tcW w:w="100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9"/>
              </w:rPr>
              <w:t>Paid Per</w:t>
            </w:r>
          </w:p>
        </w:tc>
        <w:tc>
          <w:tcPr>
            <w:tcW w:w="19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Announced</w:t>
            </w:r>
          </w:p>
        </w:tc>
        <w:tc>
          <w:tcPr>
            <w:tcW w:w="22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Under the</w:t>
            </w:r>
          </w:p>
        </w:tc>
      </w:tr>
      <w:tr>
        <w:trPr>
          <w:trHeight w:val="215"/>
        </w:trPr>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Date Purchased</w:t>
            </w:r>
          </w:p>
        </w:tc>
        <w:tc>
          <w:tcPr>
            <w:tcW w:w="1440" w:type="dxa"/>
            <w:vAlign w:val="bottom"/>
            <w:tcBorders>
              <w:bottom w:val="single" w:sz="8" w:color="auto"/>
            </w:tcBorders>
          </w:tcPr>
          <w:p>
            <w:pPr>
              <w:jc w:val="center"/>
              <w:ind w:left="75"/>
              <w:spacing w:after="0" w:line="216" w:lineRule="exact"/>
              <w:rPr>
                <w:sz w:val="20"/>
                <w:szCs w:val="20"/>
                <w:color w:val="auto"/>
              </w:rPr>
            </w:pPr>
            <w:r>
              <w:rPr>
                <w:rFonts w:ascii="Arial" w:cs="Arial" w:eastAsia="Arial" w:hAnsi="Arial"/>
                <w:sz w:val="16"/>
                <w:szCs w:val="16"/>
                <w:b w:val="1"/>
                <w:bCs w:val="1"/>
                <w:color w:val="auto"/>
              </w:rPr>
              <w:t xml:space="preserve">Purchased </w:t>
            </w:r>
            <w:r>
              <w:rPr>
                <w:rFonts w:ascii="Arial" w:cs="Arial" w:eastAsia="Arial" w:hAnsi="Arial"/>
                <w:sz w:val="24"/>
                <w:szCs w:val="24"/>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5"/>
              <w:spacing w:after="0" w:line="216" w:lineRule="exact"/>
              <w:rPr>
                <w:sz w:val="20"/>
                <w:szCs w:val="20"/>
                <w:color w:val="auto"/>
              </w:rPr>
            </w:pPr>
            <w:r>
              <w:rPr>
                <w:rFonts w:ascii="Arial" w:cs="Arial" w:eastAsia="Arial" w:hAnsi="Arial"/>
                <w:sz w:val="16"/>
                <w:szCs w:val="16"/>
                <w:b w:val="1"/>
                <w:bCs w:val="1"/>
                <w:color w:val="auto"/>
                <w:w w:val="99"/>
              </w:rPr>
              <w:t xml:space="preserve">Share </w:t>
            </w:r>
            <w:r>
              <w:rPr>
                <w:rFonts w:ascii="Arial" w:cs="Arial" w:eastAsia="Arial" w:hAnsi="Arial"/>
                <w:sz w:val="24"/>
                <w:szCs w:val="24"/>
                <w:color w:val="auto"/>
                <w:w w:val="99"/>
                <w:vertAlign w:val="superscript"/>
              </w:rPr>
              <w:t>(1)</w:t>
            </w:r>
          </w:p>
        </w:tc>
        <w:tc>
          <w:tcPr>
            <w:tcW w:w="19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rPr>
              <w:t xml:space="preserve">Program </w:t>
            </w:r>
            <w:r>
              <w:rPr>
                <w:rFonts w:ascii="Arial" w:cs="Arial" w:eastAsia="Arial" w:hAnsi="Arial"/>
                <w:sz w:val="24"/>
                <w:szCs w:val="24"/>
                <w:color w:val="auto"/>
                <w:vertAlign w:val="superscript"/>
              </w:rPr>
              <w:t>(2)</w:t>
            </w:r>
          </w:p>
        </w:tc>
      </w:tr>
      <w:tr>
        <w:trPr>
          <w:trHeight w:val="183"/>
        </w:trPr>
        <w:tc>
          <w:tcPr>
            <w:tcW w:w="2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October 31 to November 27, 2021</w:t>
            </w:r>
          </w:p>
        </w:tc>
        <w:tc>
          <w:tcPr>
            <w:tcW w:w="14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400,356</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49.01</w:t>
            </w:r>
          </w:p>
        </w:tc>
        <w:tc>
          <w:tcPr>
            <w:tcW w:w="19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400,000</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640,410,413</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7"/>
                <w:szCs w:val="17"/>
                <w:color w:val="auto"/>
              </w:rPr>
              <w:t>November 28 to January 1, 2022</w:t>
            </w:r>
          </w:p>
        </w:tc>
        <w:tc>
          <w:tcPr>
            <w:tcW w:w="14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2,400,000</w:t>
            </w:r>
          </w:p>
        </w:tc>
        <w:tc>
          <w:tcPr>
            <w:tcW w:w="2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43.64</w:t>
            </w:r>
          </w:p>
        </w:tc>
        <w:tc>
          <w:tcPr>
            <w:tcW w:w="19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2,400,000</w:t>
            </w:r>
          </w:p>
        </w:tc>
        <w:tc>
          <w:tcPr>
            <w:tcW w:w="22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535,677,083</w:t>
            </w:r>
          </w:p>
        </w:tc>
      </w:tr>
      <w:tr>
        <w:trPr>
          <w:trHeight w:val="189"/>
        </w:trPr>
        <w:tc>
          <w:tcPr>
            <w:tcW w:w="28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January 2 to January 29, 2022</w:t>
            </w:r>
          </w:p>
        </w:tc>
        <w:tc>
          <w:tcPr>
            <w:tcW w:w="14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1,250,000</w:t>
            </w: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42.89</w:t>
            </w:r>
          </w:p>
        </w:tc>
        <w:tc>
          <w:tcPr>
            <w:tcW w:w="19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1,250,000</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482,063,933</w:t>
            </w:r>
          </w:p>
        </w:tc>
      </w:tr>
      <w:tr>
        <w:trPr>
          <w:trHeight w:val="183"/>
        </w:trPr>
        <w:tc>
          <w:tcPr>
            <w:tcW w:w="2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4,050,356</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43.94</w:t>
            </w:r>
          </w:p>
        </w:tc>
        <w:tc>
          <w:tcPr>
            <w:tcW w:w="19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4,050,000</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bl>
    <w:p>
      <w:pPr>
        <w:spacing w:after="0" w:line="107" w:lineRule="exact"/>
        <w:rPr>
          <w:sz w:val="20"/>
          <w:szCs w:val="20"/>
          <w:color w:val="auto"/>
        </w:rPr>
      </w:pPr>
    </w:p>
    <w:p>
      <w:pPr>
        <w:jc w:val="both"/>
        <w:ind w:left="321" w:right="79" w:hanging="321"/>
        <w:spacing w:after="0" w:line="238" w:lineRule="auto"/>
        <w:tabs>
          <w:tab w:leader="none" w:pos="321"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These columns also reflect shares acquired in satisfaction of the tax withholding obligation of holders of restricted stock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ind w:left="321" w:right="79" w:hanging="321"/>
        <w:spacing w:after="0" w:line="258" w:lineRule="auto"/>
        <w:tabs>
          <w:tab w:leader="none" w:pos="321" w:val="left"/>
        </w:tabs>
        <w:numPr>
          <w:ilvl w:val="0"/>
          <w:numId w:val="6"/>
        </w:numPr>
        <w:rPr>
          <w:rFonts w:ascii="Arial" w:cs="Arial" w:eastAsia="Arial" w:hAnsi="Arial"/>
          <w:sz w:val="13"/>
          <w:szCs w:val="13"/>
          <w:color w:val="auto"/>
        </w:rPr>
      </w:pPr>
      <w:r>
        <w:rPr>
          <w:rFonts w:ascii="Arial" w:cs="Arial" w:eastAsia="Arial" w:hAnsi="Arial"/>
          <w:sz w:val="13"/>
          <w:szCs w:val="13"/>
          <w:color w:val="auto"/>
        </w:rPr>
        <w:t>On February 20, 2019, the Board of Directors approved a 3-year, $1.2 billion share repurchase program extending through January 2022. Through January 29, 2022, 16.5 million shares of common stock were purchased under this program for an aggregate cost of $718 million.</w:t>
      </w:r>
    </w:p>
    <w:p>
      <w:pPr>
        <w:spacing w:after="0" w:line="146"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On February 24, 2022, the Board of Directors approved a new share repurchase program authorizing the Company to repurchase up to $1.2 billion of its common stock replacing the prior authorization. The new share repurchase program does not have an expiration date.</w:t>
      </w:r>
    </w:p>
    <w:p>
      <w:pPr>
        <w:spacing w:after="0" w:line="201"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2021 Form 10-K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41"/>
          </w:cols>
          <w:pgMar w:left="1319" w:top="831" w:right="1440"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Performance Graph</w:t>
      </w:r>
    </w:p>
    <w:p>
      <w:pPr>
        <w:spacing w:after="0" w:line="176"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graph below compares the cumulative five-year total return to shareholders (common stock price appreciation plus dividends, on a reinvested basis) of our common stock relative to the total returns of the S&amp;P 400 Specialty Retailing Index and the Russell Midcap Index.</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240665</wp:posOffset>
            </wp:positionV>
            <wp:extent cx="5614670" cy="3480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14670" cy="348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1/28/2017</w:t>
            </w:r>
          </w:p>
        </w:tc>
        <w:tc>
          <w:tcPr>
            <w:tcW w:w="92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2/3/2018</w:t>
            </w:r>
          </w:p>
        </w:tc>
        <w:tc>
          <w:tcPr>
            <w:tcW w:w="9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2/2/2019</w:t>
            </w:r>
          </w:p>
        </w:tc>
        <w:tc>
          <w:tcPr>
            <w:tcW w:w="94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color w:val="auto"/>
              </w:rPr>
              <w:t>2/1/2020</w:t>
            </w:r>
          </w:p>
        </w:tc>
        <w:tc>
          <w:tcPr>
            <w:tcW w:w="100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rPr>
              <w:t>1/30/2021</w:t>
            </w: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w w:val="97"/>
              </w:rPr>
              <w:t>1/29/2022</w:t>
            </w:r>
          </w:p>
        </w:tc>
      </w:tr>
      <w:tr>
        <w:trPr>
          <w:trHeight w:val="183"/>
        </w:trPr>
        <w:tc>
          <w:tcPr>
            <w:tcW w:w="3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Foot Locker, Inc.</w:t>
            </w:r>
          </w:p>
        </w:tc>
        <w:tc>
          <w:tcPr>
            <w:tcW w:w="620" w:type="dxa"/>
            <w:vAlign w:val="bottom"/>
            <w:shd w:val="clear" w:color="auto" w:fill="CCEEFF"/>
          </w:tcPr>
          <w:p>
            <w:pPr>
              <w:ind w:left="480"/>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100.00</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73.07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85.50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60.95</w:t>
            </w:r>
          </w:p>
        </w:tc>
        <w:tc>
          <w:tcPr>
            <w:tcW w:w="280" w:type="dxa"/>
            <w:vAlign w:val="bottom"/>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72.14</w:t>
            </w:r>
          </w:p>
        </w:tc>
        <w:tc>
          <w:tcPr>
            <w:tcW w:w="24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74.63</w:t>
            </w:r>
          </w:p>
        </w:tc>
      </w:tr>
      <w:tr>
        <w:trPr>
          <w:trHeight w:val="189"/>
        </w:trPr>
        <w:tc>
          <w:tcPr>
            <w:tcW w:w="3060" w:type="dxa"/>
            <w:vAlign w:val="bottom"/>
          </w:tcPr>
          <w:p>
            <w:pPr>
              <w:spacing w:after="0" w:line="189" w:lineRule="exact"/>
              <w:rPr>
                <w:sz w:val="20"/>
                <w:szCs w:val="20"/>
                <w:color w:val="auto"/>
              </w:rPr>
            </w:pPr>
            <w:r>
              <w:rPr>
                <w:rFonts w:ascii="Arial" w:cs="Arial" w:eastAsia="Arial" w:hAnsi="Arial"/>
                <w:sz w:val="17"/>
                <w:szCs w:val="17"/>
                <w:color w:val="auto"/>
              </w:rPr>
              <w:t>S&amp;P 400 Specialty Retailing Index</w:t>
            </w:r>
          </w:p>
        </w:tc>
        <w:tc>
          <w:tcPr>
            <w:tcW w:w="620" w:type="dxa"/>
            <w:vAlign w:val="bottom"/>
          </w:tcPr>
          <w:p>
            <w:pPr>
              <w:ind w:left="480"/>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100.00</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97.46</w:t>
            </w:r>
          </w:p>
        </w:tc>
        <w:tc>
          <w:tcPr>
            <w:tcW w:w="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98.50</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99.84</w:t>
            </w:r>
          </w:p>
        </w:tc>
        <w:tc>
          <w:tcPr>
            <w:tcW w:w="280" w:type="dxa"/>
            <w:vAlign w:val="bottom"/>
          </w:tcPr>
          <w:p>
            <w:pPr>
              <w:ind w:left="120"/>
              <w:spacing w:after="0" w:line="189" w:lineRule="exact"/>
              <w:rPr>
                <w:sz w:val="20"/>
                <w:szCs w:val="20"/>
                <w:color w:val="auto"/>
              </w:rPr>
            </w:pPr>
            <w:r>
              <w:rPr>
                <w:rFonts w:ascii="Arial" w:cs="Arial" w:eastAsia="Arial" w:hAnsi="Arial"/>
                <w:sz w:val="17"/>
                <w:szCs w:val="17"/>
                <w:color w:val="auto"/>
              </w:rPr>
              <w:t>$</w:t>
            </w:r>
          </w:p>
        </w:tc>
        <w:tc>
          <w:tcPr>
            <w:tcW w:w="7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148.32</w:t>
            </w:r>
          </w:p>
        </w:tc>
        <w:tc>
          <w:tcPr>
            <w:tcW w:w="240" w:type="dxa"/>
            <w:vAlign w:val="bottom"/>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159.70</w:t>
            </w:r>
          </w:p>
        </w:tc>
      </w:tr>
      <w:tr>
        <w:trPr>
          <w:trHeight w:val="189"/>
        </w:trPr>
        <w:tc>
          <w:tcPr>
            <w:tcW w:w="3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Russell Midcap Index</w:t>
            </w:r>
          </w:p>
        </w:tc>
        <w:tc>
          <w:tcPr>
            <w:tcW w:w="620" w:type="dxa"/>
            <w:vAlign w:val="bottom"/>
            <w:tcBorders>
              <w:bottom w:val="single" w:sz="8" w:color="auto"/>
            </w:tcBorders>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100.00</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117.03</w:t>
            </w:r>
          </w:p>
        </w:tc>
        <w:tc>
          <w:tcPr>
            <w:tcW w:w="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116.55</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135.63</w:t>
            </w:r>
          </w:p>
        </w:tc>
        <w:tc>
          <w:tcPr>
            <w:tcW w:w="28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159.68</w:t>
            </w:r>
          </w:p>
        </w:tc>
        <w:tc>
          <w:tcPr>
            <w:tcW w:w="24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177.21</w:t>
            </w:r>
          </w:p>
        </w:tc>
      </w:tr>
    </w:tbl>
    <w:p>
      <w:pPr>
        <w:spacing w:after="0" w:line="107" w:lineRule="exact"/>
        <w:rPr>
          <w:sz w:val="20"/>
          <w:szCs w:val="20"/>
          <w:color w:val="auto"/>
        </w:rPr>
      </w:pPr>
    </w:p>
    <w:p>
      <w:pPr>
        <w:jc w:val="both"/>
        <w:ind w:right="79"/>
        <w:spacing w:after="0" w:line="248" w:lineRule="auto"/>
        <w:rPr>
          <w:sz w:val="20"/>
          <w:szCs w:val="20"/>
          <w:color w:val="auto"/>
        </w:rPr>
      </w:pPr>
      <w:r>
        <w:rPr>
          <w:rFonts w:ascii="Arial" w:cs="Arial" w:eastAsia="Arial" w:hAnsi="Arial"/>
          <w:sz w:val="13"/>
          <w:szCs w:val="13"/>
          <w:color w:val="auto"/>
        </w:rPr>
        <w:t>The above information should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5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21" w:name="page22"/>
    <w:bookmarkEnd w:id="21"/>
    <w:p>
      <w:pPr>
        <w:ind w:left="1"/>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156" w:lineRule="exact"/>
        <w:rPr>
          <w:sz w:val="20"/>
          <w:szCs w:val="20"/>
          <w:color w:val="auto"/>
        </w:rPr>
      </w:pPr>
    </w:p>
    <w:p>
      <w:pPr>
        <w:ind w:left="2261"/>
        <w:spacing w:after="0"/>
        <w:rPr>
          <w:sz w:val="20"/>
          <w:szCs w:val="20"/>
          <w:color w:val="auto"/>
        </w:rPr>
      </w:pPr>
      <w:r>
        <w:rPr>
          <w:rFonts w:ascii="Arial" w:cs="Arial" w:eastAsia="Arial" w:hAnsi="Arial"/>
          <w:sz w:val="17"/>
          <w:szCs w:val="17"/>
          <w:b w:val="1"/>
          <w:bCs w:val="1"/>
          <w:color w:val="auto"/>
        </w:rPr>
        <w:t>FIVE-YEAR SUMMARY OF SELECTED FINANCIAL DATA</w:t>
      </w:r>
    </w:p>
    <w:p>
      <w:pPr>
        <w:spacing w:after="0" w:line="189" w:lineRule="exact"/>
        <w:rPr>
          <w:sz w:val="20"/>
          <w:szCs w:val="20"/>
          <w:color w:val="auto"/>
        </w:rPr>
      </w:pPr>
    </w:p>
    <w:p>
      <w:pPr>
        <w:ind w:left="1" w:right="59"/>
        <w:spacing w:after="0" w:line="243" w:lineRule="auto"/>
        <w:rPr>
          <w:sz w:val="20"/>
          <w:szCs w:val="20"/>
          <w:color w:val="auto"/>
        </w:rPr>
      </w:pPr>
      <w:r>
        <w:rPr>
          <w:rFonts w:ascii="Arial" w:cs="Arial" w:eastAsia="Arial" w:hAnsi="Arial"/>
          <w:sz w:val="17"/>
          <w:szCs w:val="17"/>
          <w:color w:val="auto"/>
        </w:rPr>
        <w:t>The selected financial data below should be read in conjunction with the Consolidated Financial Statements and the Notes thereto and other information contained elsewhere in this report.</w:t>
      </w:r>
    </w:p>
    <w:p>
      <w:pPr>
        <w:spacing w:after="0" w:line="90" w:lineRule="exact"/>
        <w:rPr>
          <w:sz w:val="20"/>
          <w:szCs w:val="20"/>
          <w:color w:val="auto"/>
        </w:rPr>
      </w:pPr>
    </w:p>
    <w:tbl>
      <w:tblPr>
        <w:tblLayout w:type="fixed"/>
        <w:tblInd w:w="1" w:type="dxa"/>
        <w:tblCellMar>
          <w:top w:w="0" w:type="dxa"/>
          <w:left w:w="0" w:type="dxa"/>
          <w:bottom w:w="0" w:type="dxa"/>
          <w:right w:w="0" w:type="dxa"/>
        </w:tblCellMar>
      </w:tblPr>
      <w:tr>
        <w:trPr>
          <w:trHeight w:val="276"/>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in millions, except per share amounts)</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2019</w:t>
            </w: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2018</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xml:space="preserve">2017 </w:t>
            </w:r>
            <w:r>
              <w:rPr>
                <w:rFonts w:ascii="Arial" w:cs="Arial" w:eastAsia="Arial" w:hAnsi="Arial"/>
                <w:sz w:val="24"/>
                <w:szCs w:val="24"/>
                <w:color w:val="auto"/>
                <w:vertAlign w:val="superscript"/>
              </w:rPr>
              <w:t>(1)</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Summary of Operations</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Sales</w:t>
            </w: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8,958</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7,548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8,005</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7,939</w:t>
            </w:r>
          </w:p>
        </w:tc>
        <w:tc>
          <w:tcPr>
            <w:tcW w:w="840" w:type="dxa"/>
            <w:vAlign w:val="bottom"/>
          </w:tcPr>
          <w:p>
            <w:pPr>
              <w:jc w:val="right"/>
              <w:spacing w:after="0"/>
              <w:rPr>
                <w:sz w:val="20"/>
                <w:szCs w:val="20"/>
                <w:color w:val="auto"/>
              </w:rPr>
            </w:pPr>
            <w:r>
              <w:rPr>
                <w:rFonts w:ascii="Arial" w:cs="Arial" w:eastAsia="Arial" w:hAnsi="Arial"/>
                <w:sz w:val="16"/>
                <w:szCs w:val="16"/>
                <w:color w:val="auto"/>
              </w:rPr>
              <w:t>7,782</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3,080</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2,183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2,543</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2,456</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1,851</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1,587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1,650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1,614</w:t>
            </w:r>
          </w:p>
        </w:tc>
        <w:tc>
          <w:tcPr>
            <w:tcW w:w="840" w:type="dxa"/>
            <w:vAlign w:val="bottom"/>
          </w:tcPr>
          <w:p>
            <w:pPr>
              <w:jc w:val="right"/>
              <w:spacing w:after="0"/>
              <w:rPr>
                <w:sz w:val="20"/>
                <w:szCs w:val="20"/>
                <w:color w:val="auto"/>
              </w:rPr>
            </w:pPr>
            <w:r>
              <w:rPr>
                <w:rFonts w:ascii="Arial" w:cs="Arial" w:eastAsia="Arial" w:hAnsi="Arial"/>
                <w:sz w:val="16"/>
                <w:szCs w:val="16"/>
                <w:color w:val="auto"/>
              </w:rPr>
              <w:t>1,501</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197</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176</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179</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Impairment and other charges</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172</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117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65</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37</w:t>
            </w:r>
          </w:p>
        </w:tc>
        <w:tc>
          <w:tcPr>
            <w:tcW w:w="8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income, net</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(14)</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Other income, net</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394</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198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Foot Locker, Inc.</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893</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323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491</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541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189"/>
        </w:trPr>
        <w:tc>
          <w:tcPr>
            <w:tcW w:w="4060" w:type="dxa"/>
            <w:vAlign w:val="bottom"/>
          </w:tcPr>
          <w:p>
            <w:pPr>
              <w:spacing w:after="0"/>
              <w:rPr>
                <w:sz w:val="20"/>
                <w:szCs w:val="20"/>
                <w:color w:val="auto"/>
              </w:rPr>
            </w:pPr>
            <w:r>
              <w:rPr>
                <w:rFonts w:ascii="Arial" w:cs="Arial" w:eastAsia="Arial" w:hAnsi="Arial"/>
                <w:sz w:val="16"/>
                <w:szCs w:val="16"/>
                <w:b w:val="1"/>
                <w:bCs w:val="1"/>
                <w:color w:val="auto"/>
              </w:rPr>
              <w:t>Per Common Share Data</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 earnings</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8.72</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3.10</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4.52</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r>
      <w:tr>
        <w:trPr>
          <w:trHeight w:val="189"/>
        </w:trPr>
        <w:tc>
          <w:tcPr>
            <w:tcW w:w="4060" w:type="dxa"/>
            <w:vAlign w:val="bottom"/>
          </w:tcPr>
          <w:p>
            <w:pPr>
              <w:ind w:left="120"/>
              <w:spacing w:after="0"/>
              <w:rPr>
                <w:sz w:val="20"/>
                <w:szCs w:val="20"/>
                <w:color w:val="auto"/>
              </w:rPr>
            </w:pPr>
            <w:r>
              <w:rPr>
                <w:rFonts w:ascii="Arial" w:cs="Arial" w:eastAsia="Arial" w:hAnsi="Arial"/>
                <w:sz w:val="16"/>
                <w:szCs w:val="16"/>
                <w:color w:val="auto"/>
              </w:rPr>
              <w:t>Diluted earnings</w:t>
            </w: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8.61</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3.08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4.66</w:t>
            </w:r>
          </w:p>
        </w:tc>
        <w:tc>
          <w:tcPr>
            <w:tcW w:w="84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189"/>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 dividends declared per share</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1.00</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0.70</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1.52</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189"/>
        </w:trPr>
        <w:tc>
          <w:tcPr>
            <w:tcW w:w="4060" w:type="dxa"/>
            <w:vAlign w:val="bottom"/>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 earnings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102.5</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104.3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108.7</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115.6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r>
      <w:tr>
        <w:trPr>
          <w:trHeight w:val="189"/>
        </w:trPr>
        <w:tc>
          <w:tcPr>
            <w:tcW w:w="40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Diluted earnings</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103.8</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105.1</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109.1</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127.9</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Financial Condition</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804</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1,680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907</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891</w:t>
            </w:r>
          </w:p>
        </w:tc>
        <w:tc>
          <w:tcPr>
            <w:tcW w:w="84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Merchandise inventories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1,266</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923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1,208</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1,269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917</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788</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824</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836</w:t>
            </w:r>
          </w:p>
        </w:tc>
        <w:tc>
          <w:tcPr>
            <w:tcW w:w="84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8,135</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7,043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6,589</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3,961</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Long-term debt and obligations under capital leases</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457</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110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122</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124</w:t>
            </w: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18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3,243</w:t>
            </w: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2,776</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2,473</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2,519</w:t>
            </w:r>
          </w:p>
        </w:tc>
      </w:tr>
      <w:tr>
        <w:trPr>
          <w:trHeight w:val="183"/>
        </w:trPr>
        <w:tc>
          <w:tcPr>
            <w:tcW w:w="4060" w:type="dxa"/>
            <w:vAlign w:val="bottom"/>
          </w:tcPr>
          <w:p>
            <w:pPr>
              <w:spacing w:after="0" w:line="183" w:lineRule="exact"/>
              <w:rPr>
                <w:sz w:val="20"/>
                <w:szCs w:val="20"/>
                <w:color w:val="auto"/>
              </w:rPr>
            </w:pPr>
            <w:r>
              <w:rPr>
                <w:rFonts w:ascii="Arial" w:cs="Arial" w:eastAsia="Arial" w:hAnsi="Arial"/>
                <w:sz w:val="16"/>
                <w:szCs w:val="16"/>
                <w:b w:val="1"/>
                <w:bCs w:val="1"/>
                <w:color w:val="auto"/>
              </w:rPr>
              <w:t>Financial Ratios</w:t>
            </w: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Sales per average gross square foot </w:t>
            </w:r>
            <w:r>
              <w:rPr>
                <w:rFonts w:ascii="Arial" w:cs="Arial" w:eastAsia="Arial" w:hAnsi="Arial"/>
                <w:sz w:val="21"/>
                <w:szCs w:val="21"/>
                <w:color w:val="auto"/>
                <w:vertAlign w:val="superscript"/>
              </w:rPr>
              <w:t>(2)</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540</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510</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SG&amp;A as a percentage of sales</w:t>
            </w:r>
          </w:p>
        </w:tc>
        <w:tc>
          <w:tcPr>
            <w:tcW w:w="5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20.7 %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21.0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20.3</w:t>
            </w:r>
          </w:p>
        </w:tc>
        <w:tc>
          <w:tcPr>
            <w:tcW w:w="84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Net income margin</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6.1</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Adjusted net income margin </w:t>
            </w:r>
            <w:r>
              <w:rPr>
                <w:rFonts w:ascii="Arial" w:cs="Arial" w:eastAsia="Arial" w:hAnsi="Arial"/>
                <w:sz w:val="21"/>
                <w:szCs w:val="21"/>
                <w:color w:val="auto"/>
                <w:vertAlign w:val="superscript"/>
              </w:rPr>
              <w:t>(3)</w:t>
            </w:r>
          </w:p>
        </w:tc>
        <w:tc>
          <w:tcPr>
            <w:tcW w:w="5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9.0 %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6.7</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6.9</w:t>
            </w: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Earnings before interest and taxes (EBIT) </w:t>
            </w:r>
            <w:r>
              <w:rPr>
                <w:rFonts w:ascii="Arial" w:cs="Arial" w:eastAsia="Arial" w:hAnsi="Arial"/>
                <w:sz w:val="21"/>
                <w:szCs w:val="21"/>
                <w:color w:val="auto"/>
                <w:vertAlign w:val="superscript"/>
              </w:rPr>
              <w:t>(3)</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1,254</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501</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661</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EBIT margin </w:t>
            </w:r>
            <w:r>
              <w:rPr>
                <w:rFonts w:ascii="Arial" w:cs="Arial" w:eastAsia="Arial" w:hAnsi="Arial"/>
                <w:sz w:val="21"/>
                <w:szCs w:val="21"/>
                <w:color w:val="auto"/>
                <w:vertAlign w:val="superscript"/>
              </w:rPr>
              <w:t>(3)</w:t>
            </w:r>
          </w:p>
        </w:tc>
        <w:tc>
          <w:tcPr>
            <w:tcW w:w="5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14.0 %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8.3</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8.9</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Adjusted EBIT </w:t>
            </w:r>
            <w:r>
              <w:rPr>
                <w:rFonts w:ascii="Arial" w:cs="Arial" w:eastAsia="Arial" w:hAnsi="Arial"/>
                <w:sz w:val="21"/>
                <w:szCs w:val="21"/>
                <w:color w:val="auto"/>
                <w:vertAlign w:val="superscript"/>
              </w:rPr>
              <w:t>(3)</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1,120</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428</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722</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Adjusted EBIT margin </w:t>
            </w:r>
            <w:r>
              <w:rPr>
                <w:rFonts w:ascii="Arial" w:cs="Arial" w:eastAsia="Arial" w:hAnsi="Arial"/>
                <w:sz w:val="21"/>
                <w:szCs w:val="21"/>
                <w:color w:val="auto"/>
                <w:vertAlign w:val="superscript"/>
              </w:rPr>
              <w:t>(3)</w:t>
            </w:r>
          </w:p>
        </w:tc>
        <w:tc>
          <w:tcPr>
            <w:tcW w:w="5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12.5 %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5.7</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9.0</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9.3</w:t>
            </w:r>
          </w:p>
        </w:tc>
        <w:tc>
          <w:tcPr>
            <w:tcW w:w="8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Return on assets (ROA)</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4"/>
                <w:szCs w:val="14"/>
                <w:color w:val="auto"/>
              </w:rPr>
              <w:t xml:space="preserve">Return on invested capital (ROIC) </w:t>
            </w:r>
            <w:r>
              <w:rPr>
                <w:rFonts w:ascii="Arial" w:cs="Arial" w:eastAsia="Arial" w:hAnsi="Arial"/>
                <w:sz w:val="21"/>
                <w:szCs w:val="21"/>
                <w:color w:val="auto"/>
                <w:vertAlign w:val="superscript"/>
              </w:rPr>
              <w:t>(3)</w:t>
            </w:r>
          </w:p>
        </w:tc>
        <w:tc>
          <w:tcPr>
            <w:tcW w:w="500" w:type="dxa"/>
            <w:vAlign w:val="bottom"/>
          </w:tcPr>
          <w:p>
            <w:pPr>
              <w:spacing w:after="0"/>
              <w:rPr>
                <w:sz w:val="16"/>
                <w:szCs w:val="16"/>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17.4 %</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8.6</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12.0</w:t>
            </w:r>
          </w:p>
        </w:tc>
        <w:tc>
          <w:tcPr>
            <w:tcW w:w="8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 xml:space="preserve">Net debt capitalization percent </w:t>
            </w:r>
            <w:r>
              <w:rPr>
                <w:rFonts w:ascii="Arial" w:cs="Arial" w:eastAsia="Arial" w:hAnsi="Arial"/>
                <w:sz w:val="21"/>
                <w:szCs w:val="21"/>
                <w:color w:val="auto"/>
                <w:vertAlign w:val="superscript"/>
              </w:rPr>
              <w:t>(3), (4)</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44.4 %</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35.2</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49.4</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r>
      <w:tr>
        <w:trPr>
          <w:trHeight w:val="189"/>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Current ratio</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1.4</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1.7</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Other Data</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Capital expenditures</w:t>
            </w:r>
          </w:p>
        </w:tc>
        <w:tc>
          <w:tcPr>
            <w:tcW w:w="5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209</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159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187</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187</w:t>
            </w:r>
          </w:p>
        </w:tc>
        <w:tc>
          <w:tcPr>
            <w:tcW w:w="84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189"/>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Number of stores at year end</w:t>
            </w: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2,858</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2,998</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3,129</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w:t>
            </w:r>
          </w:p>
        </w:tc>
      </w:tr>
      <w:tr>
        <w:trPr>
          <w:trHeight w:val="189"/>
        </w:trPr>
        <w:tc>
          <w:tcPr>
            <w:tcW w:w="4060" w:type="dxa"/>
            <w:vAlign w:val="bottom"/>
          </w:tcPr>
          <w:p>
            <w:pPr>
              <w:spacing w:after="0"/>
              <w:rPr>
                <w:sz w:val="20"/>
                <w:szCs w:val="20"/>
                <w:color w:val="auto"/>
              </w:rPr>
            </w:pPr>
            <w:r>
              <w:rPr>
                <w:rFonts w:ascii="Arial" w:cs="Arial" w:eastAsia="Arial" w:hAnsi="Arial"/>
                <w:sz w:val="16"/>
                <w:szCs w:val="16"/>
                <w:color w:val="auto"/>
              </w:rPr>
              <w:t>Total selling square footage at year end (in millions)</w:t>
            </w:r>
          </w:p>
        </w:tc>
        <w:tc>
          <w:tcPr>
            <w:tcW w:w="50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7.91</w:t>
            </w: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7.50</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7.57</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7.63</w:t>
            </w:r>
          </w:p>
        </w:tc>
        <w:tc>
          <w:tcPr>
            <w:tcW w:w="840" w:type="dxa"/>
            <w:vAlign w:val="bottom"/>
          </w:tcPr>
          <w:p>
            <w:pPr>
              <w:jc w:val="right"/>
              <w:spacing w:after="0"/>
              <w:rPr>
                <w:sz w:val="20"/>
                <w:szCs w:val="20"/>
                <w:color w:val="auto"/>
              </w:rPr>
            </w:pPr>
            <w:r>
              <w:rPr>
                <w:rFonts w:ascii="Arial" w:cs="Arial" w:eastAsia="Arial" w:hAnsi="Arial"/>
                <w:sz w:val="16"/>
                <w:szCs w:val="16"/>
                <w:color w:val="auto"/>
              </w:rPr>
              <w:t>7.71</w:t>
            </w:r>
          </w:p>
        </w:tc>
      </w:tr>
      <w:tr>
        <w:trPr>
          <w:trHeight w:val="189"/>
        </w:trPr>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gross square footage at year end (in millions)</w:t>
            </w: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13.28</w:t>
            </w:r>
          </w:p>
        </w:tc>
        <w:tc>
          <w:tcPr>
            <w:tcW w:w="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12.98</w:t>
            </w:r>
          </w:p>
        </w:tc>
        <w:tc>
          <w:tcPr>
            <w:tcW w:w="9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13.15</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13.24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r>
    </w:tbl>
    <w:p>
      <w:pPr>
        <w:spacing w:after="0" w:line="106" w:lineRule="exact"/>
        <w:rPr>
          <w:sz w:val="20"/>
          <w:szCs w:val="20"/>
          <w:color w:val="auto"/>
        </w:rPr>
      </w:pPr>
    </w:p>
    <w:p>
      <w:pPr>
        <w:ind w:left="321" w:hanging="321"/>
        <w:spacing w:after="0"/>
        <w:tabs>
          <w:tab w:leader="none" w:pos="321" w:val="left"/>
        </w:tabs>
        <w:numPr>
          <w:ilvl w:val="0"/>
          <w:numId w:val="7"/>
        </w:numPr>
        <w:rPr>
          <w:rFonts w:ascii="Arial" w:cs="Arial" w:eastAsia="Arial" w:hAnsi="Arial"/>
          <w:sz w:val="13"/>
          <w:szCs w:val="13"/>
          <w:color w:val="auto"/>
        </w:rPr>
      </w:pPr>
      <w:r>
        <w:rPr>
          <w:rFonts w:ascii="Arial" w:cs="Arial" w:eastAsia="Arial" w:hAnsi="Arial"/>
          <w:sz w:val="13"/>
          <w:szCs w:val="13"/>
          <w:color w:val="auto"/>
        </w:rPr>
        <w:t>2017 represented the 53 weeks ended February 3, 2018.</w:t>
      </w:r>
    </w:p>
    <w:p>
      <w:pPr>
        <w:jc w:val="both"/>
        <w:ind w:left="321" w:right="79" w:hanging="321"/>
        <w:spacing w:after="0"/>
        <w:tabs>
          <w:tab w:leader="none" w:pos="321" w:val="left"/>
        </w:tabs>
        <w:numPr>
          <w:ilvl w:val="0"/>
          <w:numId w:val="7"/>
        </w:numPr>
        <w:rPr>
          <w:rFonts w:ascii="Arial" w:cs="Arial" w:eastAsia="Arial" w:hAnsi="Arial"/>
          <w:sz w:val="13"/>
          <w:szCs w:val="13"/>
          <w:color w:val="auto"/>
        </w:rPr>
      </w:pPr>
      <w:r>
        <w:rPr>
          <w:rFonts w:ascii="Arial" w:cs="Arial" w:eastAsia="Arial" w:hAnsi="Arial"/>
          <w:sz w:val="13"/>
          <w:szCs w:val="13"/>
          <w:color w:val="auto"/>
        </w:rPr>
        <w:t>Calculated as store sales divided by the average monthly ending gross square footage of the last thirteen months. The computation for each of the years presented reflects the foreign exchange rate in effect for such year. The 2017 amount has been calculated excluding the sales of the 53rd week.</w:t>
      </w:r>
    </w:p>
    <w:p>
      <w:pPr>
        <w:spacing w:after="0" w:line="146" w:lineRule="exact"/>
        <w:rPr>
          <w:rFonts w:ascii="Arial" w:cs="Arial" w:eastAsia="Arial" w:hAnsi="Arial"/>
          <w:sz w:val="13"/>
          <w:szCs w:val="13"/>
          <w:color w:val="auto"/>
        </w:rPr>
      </w:pPr>
    </w:p>
    <w:p>
      <w:pPr>
        <w:ind w:left="321" w:right="79" w:hanging="321"/>
        <w:spacing w:after="0" w:line="249" w:lineRule="auto"/>
        <w:tabs>
          <w:tab w:leader="none" w:pos="321"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represent non-GAAP measures, see Item 7, “Management’s Discussion and Analysis of Financial Condition and Results of Operations” for additional information and calculation.</w:t>
      </w:r>
    </w:p>
    <w:p>
      <w:pPr>
        <w:spacing w:after="0" w:line="13" w:lineRule="exact"/>
        <w:rPr>
          <w:rFonts w:ascii="Arial" w:cs="Arial" w:eastAsia="Arial" w:hAnsi="Arial"/>
          <w:sz w:val="13"/>
          <w:szCs w:val="13"/>
          <w:color w:val="auto"/>
        </w:rPr>
      </w:pPr>
    </w:p>
    <w:p>
      <w:pPr>
        <w:ind w:left="321" w:right="79" w:hanging="321"/>
        <w:spacing w:after="0" w:line="187" w:lineRule="auto"/>
        <w:tabs>
          <w:tab w:leader="none" w:pos="321" w:val="left"/>
        </w:tabs>
        <w:numPr>
          <w:ilvl w:val="0"/>
          <w:numId w:val="7"/>
        </w:numPr>
        <w:rPr>
          <w:rFonts w:ascii="Arial" w:cs="Arial" w:eastAsia="Arial" w:hAnsi="Arial"/>
          <w:sz w:val="24"/>
          <w:szCs w:val="24"/>
          <w:color w:val="auto"/>
          <w:vertAlign w:val="superscript"/>
        </w:rPr>
      </w:pPr>
      <w:r>
        <w:rPr>
          <w:rFonts w:ascii="Arial" w:cs="Arial" w:eastAsia="Arial" w:hAnsi="Arial"/>
          <w:sz w:val="12"/>
          <w:szCs w:val="12"/>
          <w:color w:val="auto"/>
        </w:rPr>
        <w:t>Represents total debt and obligations under leases, net of cash, and cash equivalents. For 2017 to 2018, this calculation includes the present value of operating leases prior to the adoption of the new lease accounting standard and therefore was considered a non-GAAP measure.</w:t>
      </w:r>
    </w:p>
    <w:p>
      <w:pPr>
        <w:spacing w:after="0" w:line="200" w:lineRule="exact"/>
        <w:rPr>
          <w:sz w:val="20"/>
          <w:szCs w:val="20"/>
          <w:color w:val="auto"/>
        </w:rPr>
      </w:pPr>
    </w:p>
    <w:p>
      <w:pPr>
        <w:spacing w:after="0" w:line="390"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2021 Form 10-K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41"/>
          </w:cols>
          <w:pgMar w:left="1319" w:top="829" w:right="1440"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i w:val="1"/>
          <w:iCs w:val="1"/>
          <w:color w:val="auto"/>
        </w:rPr>
        <w:t>Item 7. Management’s Discussion and Analysis of Financial Condition and Results of Operations</w:t>
      </w:r>
    </w:p>
    <w:p>
      <w:pPr>
        <w:spacing w:after="0" w:line="230"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This section of the Annual Report on Form 10-K generally discusses 2021 and 2020 detail and year-over-year comparisons between these years. For a comparison of our results for 2020 to our results of 2019 and other financial information related to 2019, refer to our Annual Report on Form 10-K for the year ended January 30, 2021 filed with the SEC on March 25,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89"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Foot Locker, Inc. leads the celebration of sneaker and youth culture around the globe through a portfolio of brands including Foot Locker, Lady Foot Locker, Kids Foot Locker, Champs Sports, Eastbay, atmos, WSS, Footaction, and Sidestep. As of January 29, 2022, we operated 2,858 primarily mall-based stores, as well as stores in high-traffic urban retail areas and high streets, in 28 countries across the United States, Canada, Europe, Australia, New Zealand, and Asia, as well as websites and mobile apps. Our purpose is to inspire and empower youth culture around the world, by fueling a shared passion for self-expression and creating unrivaled experiences at the heart of the global sneaker community.</w:t>
      </w:r>
    </w:p>
    <w:p>
      <w:pPr>
        <w:spacing w:after="0" w:line="16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kidsfootlocker.com, champssports.com, atmosusa.com, shopwss.com and related e-commerce sites in the various international countries that we operate. These sites offer some of the largest online product selections and provide a seamless link between e-commerce and physical stores. We also operate the websites for eastbay.com and eastbayteamsales.com.</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189"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We have three operating segments, North America, Europe, Middle East, and Africa (“EMEA”), and Asia Pacific. Our North America operating segment includes the results of the following banners operating in the U.S. and Canada: Foot Locker, Kids Foot Locker, Lady Foot Locker, Champs Sports, WSS,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operating in Australia, New Zealand, and Asia as well as the related e-commerce businesses. The Asia Pacific operating segment also includes the operations of our newly acquired atmos business operating primarily in Japan. We have further aggregated these operating segments into one reportable segment based upon their shared customer base and similar economic characteristics.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Update</w:t>
      </w:r>
    </w:p>
    <w:p>
      <w:pPr>
        <w:spacing w:after="0" w:line="176"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COVID-19 had a significant effect on overall economic conditions in the various geographic areas in which we have operations. We have made best efforts to comply with all precautionary measures as directed by health authorities and local, state, and national governments. The following represents a summary of the percentage of time that our stores were open, although there were significant regional variances by quarter and other restrictions that reduced operating hours as well: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Period</w:t>
            </w:r>
          </w:p>
        </w:tc>
        <w:tc>
          <w:tcPr>
            <w:tcW w:w="362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2021</w:t>
            </w:r>
          </w:p>
        </w:tc>
        <w:tc>
          <w:tcPr>
            <w:tcW w:w="1920" w:type="dxa"/>
            <w:vAlign w:val="bottom"/>
            <w:tcBorders>
              <w:bottom w:val="single" w:sz="8" w:color="auto"/>
            </w:tcBorders>
          </w:tcPr>
          <w:p>
            <w:pPr>
              <w:ind w:left="940"/>
              <w:spacing w:after="0"/>
              <w:rPr>
                <w:sz w:val="20"/>
                <w:szCs w:val="20"/>
                <w:color w:val="auto"/>
              </w:rPr>
            </w:pPr>
            <w:r>
              <w:rPr>
                <w:rFonts w:ascii="Arial" w:cs="Arial" w:eastAsia="Arial" w:hAnsi="Arial"/>
                <w:sz w:val="17"/>
                <w:szCs w:val="17"/>
                <w:b w:val="1"/>
                <w:bCs w:val="1"/>
                <w:color w:val="auto"/>
              </w:rPr>
              <w:t>2020</w:t>
            </w:r>
          </w:p>
        </w:tc>
      </w:tr>
      <w:tr>
        <w:trPr>
          <w:trHeight w:val="183"/>
        </w:trPr>
        <w:tc>
          <w:tcPr>
            <w:tcW w:w="3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First Quarter</w:t>
            </w:r>
          </w:p>
        </w:tc>
        <w:tc>
          <w:tcPr>
            <w:tcW w:w="3620" w:type="dxa"/>
            <w:vAlign w:val="bottom"/>
            <w:shd w:val="clear" w:color="auto" w:fill="CCEEFF"/>
          </w:tcPr>
          <w:p>
            <w:pPr>
              <w:ind w:left="2300"/>
              <w:spacing w:after="0" w:line="183" w:lineRule="exact"/>
              <w:rPr>
                <w:sz w:val="20"/>
                <w:szCs w:val="20"/>
                <w:color w:val="auto"/>
              </w:rPr>
            </w:pPr>
            <w:r>
              <w:rPr>
                <w:rFonts w:ascii="Arial" w:cs="Arial" w:eastAsia="Arial" w:hAnsi="Arial"/>
                <w:sz w:val="17"/>
                <w:szCs w:val="17"/>
                <w:color w:val="auto"/>
              </w:rPr>
              <w:t>76%</w:t>
            </w:r>
          </w:p>
        </w:tc>
        <w:tc>
          <w:tcPr>
            <w:tcW w:w="1920" w:type="dxa"/>
            <w:vAlign w:val="bottom"/>
            <w:shd w:val="clear" w:color="auto" w:fill="CCEEFF"/>
          </w:tcPr>
          <w:p>
            <w:pPr>
              <w:ind w:left="940"/>
              <w:spacing w:after="0" w:line="183" w:lineRule="exact"/>
              <w:rPr>
                <w:sz w:val="20"/>
                <w:szCs w:val="20"/>
                <w:color w:val="auto"/>
              </w:rPr>
            </w:pPr>
            <w:r>
              <w:rPr>
                <w:rFonts w:ascii="Arial" w:cs="Arial" w:eastAsia="Arial" w:hAnsi="Arial"/>
                <w:sz w:val="17"/>
                <w:szCs w:val="17"/>
                <w:color w:val="auto"/>
              </w:rPr>
              <w:t>48%</w:t>
            </w: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Second Quarter</w:t>
            </w:r>
          </w:p>
        </w:tc>
        <w:tc>
          <w:tcPr>
            <w:tcW w:w="3620" w:type="dxa"/>
            <w:vAlign w:val="bottom"/>
          </w:tcPr>
          <w:p>
            <w:pPr>
              <w:ind w:left="2300"/>
              <w:spacing w:after="0" w:line="189" w:lineRule="exact"/>
              <w:rPr>
                <w:sz w:val="20"/>
                <w:szCs w:val="20"/>
                <w:color w:val="auto"/>
              </w:rPr>
            </w:pPr>
            <w:r>
              <w:rPr>
                <w:rFonts w:ascii="Arial" w:cs="Arial" w:eastAsia="Arial" w:hAnsi="Arial"/>
                <w:sz w:val="17"/>
                <w:szCs w:val="17"/>
                <w:color w:val="auto"/>
              </w:rPr>
              <w:t>90%</w:t>
            </w:r>
          </w:p>
        </w:tc>
        <w:tc>
          <w:tcPr>
            <w:tcW w:w="1920" w:type="dxa"/>
            <w:vAlign w:val="bottom"/>
          </w:tcPr>
          <w:p>
            <w:pPr>
              <w:ind w:left="940"/>
              <w:spacing w:after="0" w:line="189" w:lineRule="exact"/>
              <w:rPr>
                <w:sz w:val="20"/>
                <w:szCs w:val="20"/>
                <w:color w:val="auto"/>
              </w:rPr>
            </w:pPr>
            <w:r>
              <w:rPr>
                <w:rFonts w:ascii="Arial" w:cs="Arial" w:eastAsia="Arial" w:hAnsi="Arial"/>
                <w:sz w:val="17"/>
                <w:szCs w:val="17"/>
                <w:color w:val="auto"/>
              </w:rPr>
              <w:t>70%</w:t>
            </w:r>
          </w:p>
        </w:tc>
      </w:tr>
      <w:tr>
        <w:trPr>
          <w:trHeight w:val="189"/>
        </w:trPr>
        <w:tc>
          <w:tcPr>
            <w:tcW w:w="3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Third Quarter</w:t>
            </w:r>
          </w:p>
        </w:tc>
        <w:tc>
          <w:tcPr>
            <w:tcW w:w="3620" w:type="dxa"/>
            <w:vAlign w:val="bottom"/>
            <w:shd w:val="clear" w:color="auto" w:fill="CCEEFF"/>
          </w:tcPr>
          <w:p>
            <w:pPr>
              <w:ind w:left="2300"/>
              <w:spacing w:after="0" w:line="189" w:lineRule="exact"/>
              <w:rPr>
                <w:sz w:val="20"/>
                <w:szCs w:val="20"/>
                <w:color w:val="auto"/>
              </w:rPr>
            </w:pPr>
            <w:r>
              <w:rPr>
                <w:rFonts w:ascii="Arial" w:cs="Arial" w:eastAsia="Arial" w:hAnsi="Arial"/>
                <w:sz w:val="17"/>
                <w:szCs w:val="17"/>
                <w:color w:val="auto"/>
              </w:rPr>
              <w:t>94%</w:t>
            </w:r>
          </w:p>
        </w:tc>
        <w:tc>
          <w:tcPr>
            <w:tcW w:w="1920" w:type="dxa"/>
            <w:vAlign w:val="bottom"/>
            <w:shd w:val="clear" w:color="auto" w:fill="CCEEFF"/>
          </w:tcPr>
          <w:p>
            <w:pPr>
              <w:ind w:left="940"/>
              <w:spacing w:after="0" w:line="189" w:lineRule="exact"/>
              <w:rPr>
                <w:sz w:val="20"/>
                <w:szCs w:val="20"/>
                <w:color w:val="auto"/>
              </w:rPr>
            </w:pPr>
            <w:r>
              <w:rPr>
                <w:rFonts w:ascii="Arial" w:cs="Arial" w:eastAsia="Arial" w:hAnsi="Arial"/>
                <w:sz w:val="17"/>
                <w:szCs w:val="17"/>
                <w:color w:val="auto"/>
              </w:rPr>
              <w:t>93%</w:t>
            </w:r>
          </w:p>
        </w:tc>
      </w:tr>
      <w:tr>
        <w:trPr>
          <w:trHeight w:val="189"/>
        </w:trPr>
        <w:tc>
          <w:tcPr>
            <w:tcW w:w="3520" w:type="dxa"/>
            <w:vAlign w:val="bottom"/>
          </w:tcPr>
          <w:p>
            <w:pPr>
              <w:spacing w:after="0" w:line="189" w:lineRule="exact"/>
              <w:rPr>
                <w:sz w:val="20"/>
                <w:szCs w:val="20"/>
                <w:color w:val="auto"/>
              </w:rPr>
            </w:pPr>
            <w:r>
              <w:rPr>
                <w:rFonts w:ascii="Arial" w:cs="Arial" w:eastAsia="Arial" w:hAnsi="Arial"/>
                <w:sz w:val="17"/>
                <w:szCs w:val="17"/>
                <w:color w:val="auto"/>
              </w:rPr>
              <w:t>Fourth Quarter</w:t>
            </w:r>
          </w:p>
        </w:tc>
        <w:tc>
          <w:tcPr>
            <w:tcW w:w="3620" w:type="dxa"/>
            <w:vAlign w:val="bottom"/>
          </w:tcPr>
          <w:p>
            <w:pPr>
              <w:ind w:left="2300"/>
              <w:spacing w:after="0" w:line="189" w:lineRule="exact"/>
              <w:rPr>
                <w:sz w:val="20"/>
                <w:szCs w:val="20"/>
                <w:color w:val="auto"/>
              </w:rPr>
            </w:pPr>
            <w:r>
              <w:rPr>
                <w:rFonts w:ascii="Arial" w:cs="Arial" w:eastAsia="Arial" w:hAnsi="Arial"/>
                <w:sz w:val="17"/>
                <w:szCs w:val="17"/>
                <w:color w:val="auto"/>
              </w:rPr>
              <w:t>97%</w:t>
            </w:r>
          </w:p>
        </w:tc>
        <w:tc>
          <w:tcPr>
            <w:tcW w:w="1920" w:type="dxa"/>
            <w:vAlign w:val="bottom"/>
          </w:tcPr>
          <w:p>
            <w:pPr>
              <w:ind w:left="940"/>
              <w:spacing w:after="0" w:line="189" w:lineRule="exact"/>
              <w:rPr>
                <w:sz w:val="20"/>
                <w:szCs w:val="20"/>
                <w:color w:val="auto"/>
              </w:rPr>
            </w:pPr>
            <w:r>
              <w:rPr>
                <w:rFonts w:ascii="Arial" w:cs="Arial" w:eastAsia="Arial" w:hAnsi="Arial"/>
                <w:sz w:val="17"/>
                <w:szCs w:val="17"/>
                <w:color w:val="auto"/>
              </w:rPr>
              <w:t>87%</w:t>
            </w:r>
          </w:p>
        </w:tc>
      </w:tr>
      <w:tr>
        <w:trPr>
          <w:trHeight w:val="189"/>
        </w:trPr>
        <w:tc>
          <w:tcPr>
            <w:tcW w:w="35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Full Year</w:t>
            </w:r>
          </w:p>
        </w:tc>
        <w:tc>
          <w:tcPr>
            <w:tcW w:w="3620" w:type="dxa"/>
            <w:vAlign w:val="bottom"/>
            <w:tcBorders>
              <w:bottom w:val="single" w:sz="8" w:color="auto"/>
            </w:tcBorders>
            <w:shd w:val="clear" w:color="auto" w:fill="CCEEFF"/>
          </w:tcPr>
          <w:p>
            <w:pPr>
              <w:ind w:left="2300"/>
              <w:spacing w:after="0" w:line="189" w:lineRule="exact"/>
              <w:rPr>
                <w:sz w:val="20"/>
                <w:szCs w:val="20"/>
                <w:color w:val="auto"/>
              </w:rPr>
            </w:pPr>
            <w:r>
              <w:rPr>
                <w:rFonts w:ascii="Arial" w:cs="Arial" w:eastAsia="Arial" w:hAnsi="Arial"/>
                <w:sz w:val="17"/>
                <w:szCs w:val="17"/>
                <w:color w:val="auto"/>
              </w:rPr>
              <w:t>89%</w:t>
            </w:r>
          </w:p>
        </w:tc>
        <w:tc>
          <w:tcPr>
            <w:tcW w:w="1920" w:type="dxa"/>
            <w:vAlign w:val="bottom"/>
            <w:tcBorders>
              <w:bottom w:val="single" w:sz="8" w:color="auto"/>
            </w:tcBorders>
            <w:shd w:val="clear" w:color="auto" w:fill="CCEEFF"/>
          </w:tcPr>
          <w:p>
            <w:pPr>
              <w:ind w:left="940"/>
              <w:spacing w:after="0" w:line="189" w:lineRule="exact"/>
              <w:rPr>
                <w:sz w:val="20"/>
                <w:szCs w:val="20"/>
                <w:color w:val="auto"/>
              </w:rPr>
            </w:pPr>
            <w:r>
              <w:rPr>
                <w:rFonts w:ascii="Arial" w:cs="Arial" w:eastAsia="Arial" w:hAnsi="Arial"/>
                <w:sz w:val="17"/>
                <w:szCs w:val="17"/>
                <w:color w:val="auto"/>
              </w:rPr>
              <w:t>75%</w:t>
            </w: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continue to monitor the outbreak of COVID-19 and other closures, or closures for a longer period of time, reduced operating hours, capacity limitations, and social distancing may be required to help ensure the health and safety of our team members and our customers. COVID-19 has and may continue to have an effect on ports and trade, as well as global travel.</w:t>
      </w:r>
    </w:p>
    <w:p>
      <w:pPr>
        <w:spacing w:after="0" w:line="14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23" w:name="page24"/>
    <w:bookmarkEnd w:id="23"/>
    <w:p>
      <w:pPr>
        <w:jc w:val="both"/>
        <w:ind w:right="79"/>
        <w:spacing w:after="0" w:line="238" w:lineRule="auto"/>
        <w:rPr>
          <w:sz w:val="20"/>
          <w:szCs w:val="20"/>
          <w:color w:val="auto"/>
        </w:rPr>
      </w:pPr>
      <w:r>
        <w:rPr>
          <w:rFonts w:ascii="Arial" w:cs="Arial" w:eastAsia="Arial" w:hAnsi="Arial"/>
          <w:sz w:val="17"/>
          <w:szCs w:val="17"/>
          <w:color w:val="auto"/>
        </w:rPr>
        <w:t>Given the dynamic nature of these circumstances, the duration of business disruption, and reduced customer traffic, the related financial affect cannot be reasonably estimated at this time but may materially affect our business for the foreseeable future.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Measures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In addition to reporting our financial results in accordance with generally accepted accounting principles </w:t>
      </w:r>
      <w:r>
        <w:rPr>
          <w:rFonts w:ascii="Arial" w:cs="Arial" w:eastAsia="Arial" w:hAnsi="Arial"/>
          <w:sz w:val="17"/>
          <w:szCs w:val="17"/>
          <w:color w:val="212529"/>
        </w:rPr>
        <w:t>(“</w:t>
      </w:r>
      <w:r>
        <w:rPr>
          <w:rFonts w:ascii="Arial" w:cs="Arial" w:eastAsia="Arial" w:hAnsi="Arial"/>
          <w:sz w:val="17"/>
          <w:szCs w:val="17"/>
          <w:color w:val="auto"/>
        </w:rPr>
        <w:t>GAAP”), we report certain financial results that differ from what is reported under GAAP. In the following tables, we have presented certain financial measures and ratios identified as non-GAAP such as Earnings Before Interest and Taxes (“EBIT”), adjusted EBIT, adjusted EBIT margin, adjusted income before income taxes, adjusted net income, adjusted net income margin, adjusted diluted earnings per share, Return on Invested Capital (“ROIC”), and free cash flow.</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present these non-GAAP measures because we believe they assist investors in comparing our performance across reporting periods on a consistent basis by excluding items that are not indicative of our core business or which affect comparability. These non-GAAP measures are also useful in assessing our progress in achieving our long-term financial objectives.</w:t>
      </w:r>
    </w:p>
    <w:p>
      <w:pPr>
        <w:spacing w:after="0" w:line="14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We estimate the tax effect of the non-GAAP adjustments by applying a marginal rate to each of the respective items.</w:t>
      </w:r>
    </w:p>
    <w:p>
      <w:pPr>
        <w:spacing w:after="0"/>
        <w:rPr>
          <w:sz w:val="20"/>
          <w:szCs w:val="20"/>
          <w:color w:val="auto"/>
        </w:rPr>
      </w:pPr>
      <w:r>
        <w:rPr>
          <w:rFonts w:ascii="Arial" w:cs="Arial" w:eastAsia="Arial" w:hAnsi="Arial"/>
          <w:sz w:val="17"/>
          <w:szCs w:val="17"/>
          <w:color w:val="auto"/>
        </w:rPr>
        <w:t>The income tax items represent the discrete amount that affected the period.</w:t>
      </w:r>
    </w:p>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The non-GAAP financial information is provided in addition to, and not as an alternative to, our reported results prepared in accordance with GAAP. Presented below is a reconciliation of GAAP and non-GAAP results discussed throughout this Annual Report on Form 10-K. Please see the non-GAAP reconciliations for free cash flow in the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section.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gridSpan w:val="2"/>
          </w:tcPr>
          <w:p>
            <w:pPr>
              <w:spacing w:after="0"/>
              <w:rPr>
                <w:sz w:val="20"/>
                <w:szCs w:val="20"/>
                <w:color w:val="auto"/>
              </w:rPr>
            </w:pPr>
            <w:r>
              <w:rPr>
                <w:rFonts w:ascii="Arial" w:cs="Arial" w:eastAsia="Arial" w:hAnsi="Arial"/>
                <w:sz w:val="17"/>
                <w:szCs w:val="17"/>
                <w:i w:val="1"/>
                <w:iCs w:val="1"/>
                <w:color w:val="auto"/>
              </w:rPr>
              <w:t>Reconciliation</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85"/>
        </w:trPr>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183"/>
        </w:trPr>
        <w:tc>
          <w:tcPr>
            <w:tcW w:w="50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Pre-tax income:</w:t>
            </w: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9"/>
        </w:trPr>
        <w:tc>
          <w:tcPr>
            <w:tcW w:w="5020" w:type="dxa"/>
            <w:vAlign w:val="bottom"/>
            <w:gridSpan w:val="2"/>
          </w:tcPr>
          <w:p>
            <w:pPr>
              <w:spacing w:after="0" w:line="189" w:lineRule="exact"/>
              <w:rPr>
                <w:sz w:val="20"/>
                <w:szCs w:val="20"/>
                <w:color w:val="auto"/>
              </w:rPr>
            </w:pPr>
            <w:r>
              <w:rPr>
                <w:rFonts w:ascii="Arial" w:cs="Arial" w:eastAsia="Arial" w:hAnsi="Arial"/>
                <w:sz w:val="17"/>
                <w:szCs w:val="17"/>
                <w:color w:val="auto"/>
              </w:rPr>
              <w:t>Income before income taxes</w:t>
            </w: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1,240</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494</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672</w:t>
            </w: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Pre-tax adjustments excluded from GAAP:</w:t>
            </w: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9"/>
        </w:trPr>
        <w:tc>
          <w:tcPr>
            <w:tcW w:w="5020" w:type="dxa"/>
            <w:vAlign w:val="bottom"/>
            <w:gridSpan w:val="2"/>
          </w:tcPr>
          <w:p>
            <w:pPr>
              <w:ind w:left="100"/>
              <w:spacing w:after="0" w:line="189" w:lineRule="exact"/>
              <w:rPr>
                <w:sz w:val="20"/>
                <w:szCs w:val="20"/>
                <w:color w:val="auto"/>
              </w:rPr>
            </w:pPr>
            <w:r>
              <w:rPr>
                <w:rFonts w:ascii="Arial" w:cs="Arial" w:eastAsia="Arial" w:hAnsi="Arial"/>
                <w:sz w:val="15"/>
                <w:szCs w:val="15"/>
                <w:color w:val="auto"/>
              </w:rPr>
              <w:t xml:space="preserve">Impairment and other charges </w:t>
            </w:r>
            <w:r>
              <w:rPr>
                <w:rFonts w:ascii="Arial" w:cs="Arial" w:eastAsia="Arial" w:hAnsi="Arial"/>
                <w:sz w:val="21"/>
                <w:szCs w:val="21"/>
                <w:color w:val="auto"/>
                <w:vertAlign w:val="superscript"/>
              </w:rPr>
              <w:t>(1)</w:t>
            </w:r>
          </w:p>
        </w:tc>
        <w:tc>
          <w:tcPr>
            <w:tcW w:w="840" w:type="dxa"/>
            <w:vAlign w:val="bottom"/>
          </w:tcPr>
          <w:p>
            <w:pPr>
              <w:spacing w:after="0"/>
              <w:rPr>
                <w:sz w:val="16"/>
                <w:szCs w:val="16"/>
                <w:color w:val="auto"/>
              </w:rPr>
            </w:pP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172</w:t>
            </w:r>
          </w:p>
        </w:tc>
        <w:tc>
          <w:tcPr>
            <w:tcW w:w="220" w:type="dxa"/>
            <w:vAlign w:val="bottom"/>
          </w:tcPr>
          <w:p>
            <w:pPr>
              <w:spacing w:after="0"/>
              <w:rPr>
                <w:sz w:val="16"/>
                <w:szCs w:val="16"/>
                <w:color w:val="auto"/>
              </w:rPr>
            </w:pP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117</w:t>
            </w:r>
          </w:p>
        </w:tc>
        <w:tc>
          <w:tcPr>
            <w:tcW w:w="220" w:type="dxa"/>
            <w:vAlign w:val="bottom"/>
          </w:tcPr>
          <w:p>
            <w:pPr>
              <w:spacing w:after="0"/>
              <w:rPr>
                <w:sz w:val="16"/>
                <w:szCs w:val="16"/>
                <w:color w:val="auto"/>
              </w:rPr>
            </w:pP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65</w:t>
            </w:r>
          </w:p>
        </w:tc>
      </w:tr>
      <w:tr>
        <w:trPr>
          <w:trHeight w:val="189"/>
        </w:trPr>
        <w:tc>
          <w:tcPr>
            <w:tcW w:w="5020" w:type="dxa"/>
            <w:vAlign w:val="bottom"/>
            <w:tcBorders>
              <w:bottom w:val="single" w:sz="8" w:color="auto"/>
            </w:tcBorders>
            <w:gridSpan w:val="2"/>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8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(306)</w:t>
            </w: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(190)</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w:t>
            </w:r>
          </w:p>
        </w:tc>
      </w:tr>
      <w:tr>
        <w:trPr>
          <w:trHeight w:val="223"/>
        </w:trPr>
        <w:tc>
          <w:tcPr>
            <w:tcW w:w="50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Adjusted income before income taxes (non-GAAP)</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1,106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421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733</w:t>
            </w:r>
          </w:p>
        </w:tc>
      </w:tr>
      <w:tr>
        <w:trPr>
          <w:trHeight w:val="169"/>
        </w:trPr>
        <w:tc>
          <w:tcPr>
            <w:tcW w:w="106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9"/>
        </w:trPr>
        <w:tc>
          <w:tcPr>
            <w:tcW w:w="5020" w:type="dxa"/>
            <w:vAlign w:val="bottom"/>
            <w:gridSpan w:val="2"/>
          </w:tcPr>
          <w:p>
            <w:pPr>
              <w:spacing w:after="0" w:line="189" w:lineRule="exact"/>
              <w:rPr>
                <w:sz w:val="20"/>
                <w:szCs w:val="20"/>
                <w:color w:val="auto"/>
              </w:rPr>
            </w:pPr>
            <w:r>
              <w:rPr>
                <w:rFonts w:ascii="Arial" w:cs="Arial" w:eastAsia="Arial" w:hAnsi="Arial"/>
                <w:sz w:val="17"/>
                <w:szCs w:val="17"/>
                <w:color w:val="auto"/>
              </w:rPr>
              <w:t>Calculation of Earnings Before Interest and Taxes (EBIT):</w:t>
            </w: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Income before income taxes</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1,240</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494</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672</w:t>
            </w:r>
          </w:p>
        </w:tc>
      </w:tr>
      <w:tr>
        <w:trPr>
          <w:trHeight w:val="189"/>
        </w:trPr>
        <w:tc>
          <w:tcPr>
            <w:tcW w:w="50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(expense) income, net</w:t>
            </w: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(14)</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(7)</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11</w:t>
            </w:r>
          </w:p>
        </w:tc>
      </w:tr>
      <w:tr>
        <w:trPr>
          <w:trHeight w:val="183"/>
        </w:trPr>
        <w:tc>
          <w:tcPr>
            <w:tcW w:w="50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EBIT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1,254</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501</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661</w:t>
            </w:r>
          </w:p>
        </w:tc>
      </w:tr>
      <w:tr>
        <w:trPr>
          <w:trHeight w:val="183"/>
        </w:trPr>
        <w:tc>
          <w:tcPr>
            <w:tcW w:w="1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Adjusted income before income taxes</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1,106</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421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733</w:t>
            </w:r>
          </w:p>
        </w:tc>
      </w:tr>
      <w:tr>
        <w:trPr>
          <w:trHeight w:val="189"/>
        </w:trPr>
        <w:tc>
          <w:tcPr>
            <w:tcW w:w="50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(expense) income, net</w:t>
            </w: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(14)</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(7)</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11</w:t>
            </w:r>
          </w:p>
        </w:tc>
      </w:tr>
      <w:tr>
        <w:trPr>
          <w:trHeight w:val="183"/>
        </w:trPr>
        <w:tc>
          <w:tcPr>
            <w:tcW w:w="50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EBIT (non-GAAP)</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1,120</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428</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722</w:t>
            </w:r>
          </w:p>
        </w:tc>
      </w:tr>
      <w:tr>
        <w:trPr>
          <w:trHeight w:val="183"/>
        </w:trPr>
        <w:tc>
          <w:tcPr>
            <w:tcW w:w="10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EBIT margin %</w:t>
            </w:r>
          </w:p>
        </w:tc>
        <w:tc>
          <w:tcPr>
            <w:tcW w:w="8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14.0 %</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6.6 %</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8.3 %</w:t>
            </w:r>
          </w:p>
        </w:tc>
      </w:tr>
      <w:tr>
        <w:trPr>
          <w:trHeight w:val="189"/>
        </w:trPr>
        <w:tc>
          <w:tcPr>
            <w:tcW w:w="50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Adjusted EBIT margin %</w:t>
            </w:r>
          </w:p>
        </w:tc>
        <w:tc>
          <w:tcPr>
            <w:tcW w:w="8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12.5 %</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5.7 %</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24" w:name="page25"/>
    <w:bookmarkEnd w:id="24"/>
    <w:tbl>
      <w:tblPr>
        <w:tblLayout w:type="fixed"/>
        <w:tblInd w:w="1" w:type="dxa"/>
        <w:tblCellMar>
          <w:top w:w="0" w:type="dxa"/>
          <w:left w:w="0" w:type="dxa"/>
          <w:bottom w:w="0" w:type="dxa"/>
          <w:right w:w="0" w:type="dxa"/>
        </w:tblCellMar>
      </w:tblPr>
      <w:tr>
        <w:trPr>
          <w:trHeight w:val="215"/>
        </w:trPr>
        <w:tc>
          <w:tcPr>
            <w:tcW w:w="5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2020</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54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After-tax income:</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893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323</w:t>
            </w: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After-tax adjustments excluded from GAAP:</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80" w:type="dxa"/>
            <w:vAlign w:val="bottom"/>
          </w:tcPr>
          <w:p>
            <w:pPr>
              <w:ind w:left="100"/>
              <w:spacing w:after="0" w:line="181" w:lineRule="exact"/>
              <w:rPr>
                <w:sz w:val="20"/>
                <w:szCs w:val="20"/>
                <w:color w:val="auto"/>
              </w:rPr>
            </w:pPr>
            <w:r>
              <w:rPr>
                <w:rFonts w:ascii="Arial" w:cs="Arial" w:eastAsia="Arial" w:hAnsi="Arial"/>
                <w:sz w:val="17"/>
                <w:szCs w:val="17"/>
                <w:color w:val="auto"/>
              </w:rPr>
              <w:t>Impairment and other charges, net of income tax benefit of $42, $24,</w:t>
            </w:r>
          </w:p>
        </w:tc>
        <w:tc>
          <w:tcPr>
            <w:tcW w:w="380" w:type="dxa"/>
            <w:vAlign w:val="bottom"/>
          </w:tcPr>
          <w:p>
            <w:pPr>
              <w:spacing w:after="0"/>
              <w:rPr>
                <w:sz w:val="15"/>
                <w:szCs w:val="15"/>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130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80" w:type="dxa"/>
            <w:vAlign w:val="bottom"/>
          </w:tcPr>
          <w:p>
            <w:pPr>
              <w:ind w:left="240"/>
              <w:spacing w:after="0" w:line="197" w:lineRule="exact"/>
              <w:rPr>
                <w:sz w:val="20"/>
                <w:szCs w:val="20"/>
                <w:color w:val="auto"/>
              </w:rPr>
            </w:pPr>
            <w:r>
              <w:rPr>
                <w:rFonts w:ascii="Arial" w:cs="Arial" w:eastAsia="Arial" w:hAnsi="Arial"/>
                <w:sz w:val="15"/>
                <w:szCs w:val="15"/>
                <w:color w:val="auto"/>
              </w:rPr>
              <w:t xml:space="preserve">and $16, respectively </w:t>
            </w:r>
            <w:r>
              <w:rPr>
                <w:rFonts w:ascii="Arial" w:cs="Arial" w:eastAsia="Arial" w:hAnsi="Arial"/>
                <w:sz w:val="22"/>
                <w:szCs w:val="22"/>
                <w:color w:val="auto"/>
                <w:vertAlign w:val="superscript"/>
              </w:rPr>
              <w:t>(1)</w:t>
            </w: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color w:val="auto"/>
              </w:rPr>
              <w:t>93</w:t>
            </w:r>
          </w:p>
        </w:tc>
        <w:tc>
          <w:tcPr>
            <w:tcW w:w="22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81"/>
        </w:trPr>
        <w:tc>
          <w:tcPr>
            <w:tcW w:w="548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Other income, net of income tax expense of $80, $50, and $-,</w:t>
            </w: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(226)</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80" w:type="dxa"/>
            <w:vAlign w:val="bottom"/>
            <w:shd w:val="clear" w:color="auto" w:fill="CCEEFF"/>
          </w:tcPr>
          <w:p>
            <w:pPr>
              <w:ind w:left="240"/>
              <w:spacing w:after="0" w:line="197" w:lineRule="exact"/>
              <w:rPr>
                <w:sz w:val="20"/>
                <w:szCs w:val="20"/>
                <w:color w:val="auto"/>
              </w:rPr>
            </w:pPr>
            <w:r>
              <w:rPr>
                <w:rFonts w:ascii="Arial" w:cs="Arial" w:eastAsia="Arial" w:hAnsi="Arial"/>
                <w:sz w:val="15"/>
                <w:szCs w:val="15"/>
                <w:color w:val="auto"/>
              </w:rPr>
              <w:t xml:space="preserve">respectively </w:t>
            </w:r>
            <w:r>
              <w:rPr>
                <w:rFonts w:ascii="Arial" w:cs="Arial" w:eastAsia="Arial" w:hAnsi="Arial"/>
                <w:sz w:val="22"/>
                <w:szCs w:val="22"/>
                <w:color w:val="auto"/>
                <w:vertAlign w:val="superscript"/>
              </w:rPr>
              <w:t>(2)</w:t>
            </w:r>
          </w:p>
        </w:tc>
        <w:tc>
          <w:tcPr>
            <w:tcW w:w="3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(140)</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1"/>
        </w:trPr>
        <w:tc>
          <w:tcPr>
            <w:tcW w:w="5480" w:type="dxa"/>
            <w:vAlign w:val="bottom"/>
          </w:tcPr>
          <w:p>
            <w:pPr>
              <w:ind w:left="100"/>
              <w:spacing w:after="0" w:line="181" w:lineRule="exact"/>
              <w:rPr>
                <w:sz w:val="20"/>
                <w:szCs w:val="20"/>
                <w:color w:val="auto"/>
              </w:rPr>
            </w:pPr>
            <w:r>
              <w:rPr>
                <w:rFonts w:ascii="Arial" w:cs="Arial" w:eastAsia="Arial" w:hAnsi="Arial"/>
                <w:sz w:val="17"/>
                <w:szCs w:val="17"/>
                <w:color w:val="auto"/>
              </w:rPr>
              <w:t>Tax charge related to revaluation of certain intellectual property</w:t>
            </w:r>
          </w:p>
        </w:tc>
        <w:tc>
          <w:tcPr>
            <w:tcW w:w="380" w:type="dxa"/>
            <w:vAlign w:val="bottom"/>
          </w:tcPr>
          <w:p>
            <w:pPr>
              <w:spacing w:after="0"/>
              <w:rPr>
                <w:sz w:val="15"/>
                <w:szCs w:val="15"/>
                <w:color w:val="auto"/>
              </w:rPr>
            </w:pPr>
          </w:p>
        </w:tc>
        <w:tc>
          <w:tcPr>
            <w:tcW w:w="94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11</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80" w:type="dxa"/>
            <w:vAlign w:val="bottom"/>
          </w:tcPr>
          <w:p>
            <w:pPr>
              <w:ind w:left="240"/>
              <w:spacing w:after="0" w:line="197" w:lineRule="exact"/>
              <w:rPr>
                <w:sz w:val="20"/>
                <w:szCs w:val="20"/>
                <w:color w:val="auto"/>
              </w:rPr>
            </w:pPr>
            <w:r>
              <w:rPr>
                <w:rFonts w:ascii="Arial" w:cs="Arial" w:eastAsia="Arial" w:hAnsi="Arial"/>
                <w:sz w:val="15"/>
                <w:szCs w:val="15"/>
                <w:color w:val="auto"/>
              </w:rPr>
              <w:t xml:space="preserve">rights </w:t>
            </w:r>
            <w:r>
              <w:rPr>
                <w:rFonts w:ascii="Arial" w:cs="Arial" w:eastAsia="Arial" w:hAnsi="Arial"/>
                <w:sz w:val="22"/>
                <w:szCs w:val="22"/>
                <w:color w:val="auto"/>
                <w:vertAlign w:val="superscript"/>
              </w:rPr>
              <w:t>(3)</w:t>
            </w:r>
          </w:p>
        </w:tc>
        <w:tc>
          <w:tcPr>
            <w:tcW w:w="3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175"/>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8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Tax benefits related to tax law rate changes </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(1)</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5480" w:type="dxa"/>
            <w:vAlign w:val="bottom"/>
          </w:tcPr>
          <w:p>
            <w:pPr>
              <w:ind w:left="100"/>
              <w:spacing w:after="0" w:line="189" w:lineRule="exact"/>
              <w:rPr>
                <w:sz w:val="20"/>
                <w:szCs w:val="20"/>
                <w:color w:val="auto"/>
              </w:rPr>
            </w:pPr>
            <w:r>
              <w:rPr>
                <w:rFonts w:ascii="Arial" w:cs="Arial" w:eastAsia="Arial" w:hAnsi="Arial"/>
                <w:sz w:val="15"/>
                <w:szCs w:val="15"/>
                <w:color w:val="auto"/>
              </w:rPr>
              <w:t xml:space="preserve">U.S. tax reform </w:t>
            </w:r>
            <w:r>
              <w:rPr>
                <w:rFonts w:ascii="Arial" w:cs="Arial" w:eastAsia="Arial" w:hAnsi="Arial"/>
                <w:sz w:val="21"/>
                <w:szCs w:val="21"/>
                <w:color w:val="auto"/>
                <w:vertAlign w:val="superscript"/>
              </w:rPr>
              <w:t>(5)</w:t>
            </w:r>
          </w:p>
        </w:tc>
        <w:tc>
          <w:tcPr>
            <w:tcW w:w="380" w:type="dxa"/>
            <w:vAlign w:val="bottom"/>
          </w:tcPr>
          <w:p>
            <w:pPr>
              <w:spacing w:after="0"/>
              <w:rPr>
                <w:sz w:val="16"/>
                <w:szCs w:val="16"/>
                <w:color w:val="auto"/>
              </w:rPr>
            </w:pP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94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Income tax valuation allowances </w:t>
            </w:r>
            <w:r>
              <w:rPr>
                <w:rFonts w:ascii="Arial" w:cs="Arial" w:eastAsia="Arial" w:hAnsi="Arial"/>
                <w:sz w:val="21"/>
                <w:szCs w:val="21"/>
                <w:color w:val="auto"/>
                <w:vertAlign w:val="superscript"/>
              </w:rPr>
              <w:t>(6)</w:t>
            </w:r>
          </w:p>
        </w:tc>
        <w:tc>
          <w:tcPr>
            <w:tcW w:w="3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Adjusted net income (non-GAAP)</w:t>
            </w:r>
          </w:p>
        </w:tc>
        <w:tc>
          <w:tcPr>
            <w:tcW w:w="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807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296</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169"/>
        </w:trPr>
        <w:tc>
          <w:tcPr>
            <w:tcW w:w="5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Earnings per share:</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Diluted EPS</w:t>
            </w:r>
          </w:p>
        </w:tc>
        <w:tc>
          <w:tcPr>
            <w:tcW w:w="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8.61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3.08</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color w:val="auto"/>
              </w:rPr>
              <w:t>Diluted EPS amounts excluded from GAAP:</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Impairment and other charges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1.24</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0.87</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0.44</w:t>
            </w:r>
          </w:p>
        </w:tc>
        <w:tc>
          <w:tcPr>
            <w:tcW w:w="0" w:type="dxa"/>
            <w:vAlign w:val="bottom"/>
          </w:tcPr>
          <w:p>
            <w:pPr>
              <w:spacing w:after="0"/>
              <w:rPr>
                <w:sz w:val="1"/>
                <w:szCs w:val="1"/>
                <w:color w:val="auto"/>
              </w:rPr>
            </w:pPr>
          </w:p>
        </w:tc>
      </w:tr>
      <w:tr>
        <w:trPr>
          <w:trHeight w:val="189"/>
        </w:trPr>
        <w:tc>
          <w:tcPr>
            <w:tcW w:w="5480" w:type="dxa"/>
            <w:vAlign w:val="bottom"/>
          </w:tcPr>
          <w:p>
            <w:pPr>
              <w:ind w:left="10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(2)</w:t>
            </w:r>
          </w:p>
        </w:tc>
        <w:tc>
          <w:tcPr>
            <w:tcW w:w="380" w:type="dxa"/>
            <w:vAlign w:val="bottom"/>
          </w:tcPr>
          <w:p>
            <w:pPr>
              <w:spacing w:after="0"/>
              <w:rPr>
                <w:sz w:val="16"/>
                <w:szCs w:val="16"/>
                <w:color w:val="auto"/>
              </w:rPr>
            </w:pPr>
          </w:p>
        </w:tc>
        <w:tc>
          <w:tcPr>
            <w:tcW w:w="9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(2.18)</w:t>
            </w:r>
          </w:p>
        </w:tc>
        <w:tc>
          <w:tcPr>
            <w:tcW w:w="220" w:type="dxa"/>
            <w:vAlign w:val="bottom"/>
          </w:tcPr>
          <w:p>
            <w:pPr>
              <w:spacing w:after="0"/>
              <w:rPr>
                <w:sz w:val="16"/>
                <w:szCs w:val="16"/>
                <w:color w:val="auto"/>
              </w:rPr>
            </w:pPr>
          </w:p>
        </w:tc>
        <w:tc>
          <w:tcPr>
            <w:tcW w:w="9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(1.33)</w:t>
            </w:r>
          </w:p>
        </w:tc>
        <w:tc>
          <w:tcPr>
            <w:tcW w:w="22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181"/>
        </w:trPr>
        <w:tc>
          <w:tcPr>
            <w:tcW w:w="548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Tax charge related to revaluation of certain intellectual property</w:t>
            </w:r>
          </w:p>
        </w:tc>
        <w:tc>
          <w:tcPr>
            <w:tcW w:w="3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0.11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480" w:type="dxa"/>
            <w:vAlign w:val="bottom"/>
            <w:shd w:val="clear" w:color="auto" w:fill="CCEEFF"/>
          </w:tcPr>
          <w:p>
            <w:pPr>
              <w:ind w:left="240"/>
              <w:spacing w:after="0" w:line="197" w:lineRule="exact"/>
              <w:rPr>
                <w:sz w:val="20"/>
                <w:szCs w:val="20"/>
                <w:color w:val="auto"/>
              </w:rPr>
            </w:pPr>
            <w:r>
              <w:rPr>
                <w:rFonts w:ascii="Arial" w:cs="Arial" w:eastAsia="Arial" w:hAnsi="Arial"/>
                <w:sz w:val="15"/>
                <w:szCs w:val="15"/>
                <w:color w:val="auto"/>
              </w:rPr>
              <w:t xml:space="preserve">rights </w:t>
            </w:r>
            <w:r>
              <w:rPr>
                <w:rFonts w:ascii="Arial" w:cs="Arial" w:eastAsia="Arial" w:hAnsi="Arial"/>
                <w:sz w:val="22"/>
                <w:szCs w:val="22"/>
                <w:color w:val="auto"/>
                <w:vertAlign w:val="superscript"/>
              </w:rPr>
              <w:t>(3)</w:t>
            </w:r>
          </w:p>
        </w:tc>
        <w:tc>
          <w:tcPr>
            <w:tcW w:w="3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0.24</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80" w:type="dxa"/>
            <w:vAlign w:val="bottom"/>
          </w:tcPr>
          <w:p>
            <w:pPr>
              <w:ind w:left="100"/>
              <w:spacing w:after="0" w:line="189" w:lineRule="exact"/>
              <w:rPr>
                <w:sz w:val="20"/>
                <w:szCs w:val="20"/>
                <w:color w:val="auto"/>
              </w:rPr>
            </w:pPr>
            <w:r>
              <w:rPr>
                <w:rFonts w:ascii="Arial" w:cs="Arial" w:eastAsia="Arial" w:hAnsi="Arial"/>
                <w:sz w:val="15"/>
                <w:szCs w:val="15"/>
                <w:color w:val="auto"/>
              </w:rPr>
              <w:t xml:space="preserve">Tax benefits related to tax law rate changes </w:t>
            </w:r>
            <w:r>
              <w:rPr>
                <w:rFonts w:ascii="Arial" w:cs="Arial" w:eastAsia="Arial" w:hAnsi="Arial"/>
                <w:sz w:val="21"/>
                <w:szCs w:val="21"/>
                <w:color w:val="auto"/>
                <w:vertAlign w:val="superscript"/>
              </w:rPr>
              <w:t>(4)</w:t>
            </w:r>
          </w:p>
        </w:tc>
        <w:tc>
          <w:tcPr>
            <w:tcW w:w="380" w:type="dxa"/>
            <w:vAlign w:val="bottom"/>
          </w:tcPr>
          <w:p>
            <w:pPr>
              <w:spacing w:after="0"/>
              <w:rPr>
                <w:sz w:val="16"/>
                <w:szCs w:val="16"/>
                <w:color w:val="auto"/>
              </w:rPr>
            </w:pPr>
          </w:p>
        </w:tc>
        <w:tc>
          <w:tcPr>
            <w:tcW w:w="94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(0.01)</w:t>
            </w:r>
          </w:p>
        </w:tc>
        <w:tc>
          <w:tcPr>
            <w:tcW w:w="220" w:type="dxa"/>
            <w:vAlign w:val="bottom"/>
          </w:tcPr>
          <w:p>
            <w:pPr>
              <w:spacing w:after="0"/>
              <w:rPr>
                <w:sz w:val="16"/>
                <w:szCs w:val="16"/>
                <w:color w:val="auto"/>
              </w:rPr>
            </w:pPr>
          </w:p>
        </w:tc>
        <w:tc>
          <w:tcPr>
            <w:tcW w:w="94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(0.05)</w:t>
            </w:r>
          </w:p>
        </w:tc>
        <w:tc>
          <w:tcPr>
            <w:tcW w:w="220" w:type="dxa"/>
            <w:vAlign w:val="bottom"/>
          </w:tcPr>
          <w:p>
            <w:pPr>
              <w:spacing w:after="0"/>
              <w:rPr>
                <w:sz w:val="16"/>
                <w:szCs w:val="16"/>
                <w:color w:val="auto"/>
              </w:rPr>
            </w:pPr>
          </w:p>
        </w:tc>
        <w:tc>
          <w:tcPr>
            <w:tcW w:w="8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100"/>
              <w:spacing w:after="0" w:line="189" w:lineRule="exact"/>
              <w:rPr>
                <w:sz w:val="20"/>
                <w:szCs w:val="20"/>
                <w:color w:val="auto"/>
              </w:rPr>
            </w:pPr>
            <w:r>
              <w:rPr>
                <w:rFonts w:ascii="Arial" w:cs="Arial" w:eastAsia="Arial" w:hAnsi="Arial"/>
                <w:sz w:val="15"/>
                <w:szCs w:val="15"/>
                <w:color w:val="auto"/>
              </w:rPr>
              <w:t xml:space="preserve">U.S. tax reform </w:t>
            </w:r>
            <w:r>
              <w:rPr>
                <w:rFonts w:ascii="Arial" w:cs="Arial" w:eastAsia="Arial" w:hAnsi="Arial"/>
                <w:sz w:val="21"/>
                <w:szCs w:val="21"/>
                <w:color w:val="auto"/>
                <w:vertAlign w:val="superscript"/>
              </w:rPr>
              <w:t>(5)</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5"/>
                <w:szCs w:val="15"/>
                <w:color w:val="auto"/>
              </w:rPr>
              <w:t xml:space="preserve">Income tax valuation allowances </w:t>
            </w:r>
            <w:r>
              <w:rPr>
                <w:rFonts w:ascii="Arial" w:cs="Arial" w:eastAsia="Arial" w:hAnsi="Arial"/>
                <w:sz w:val="21"/>
                <w:szCs w:val="21"/>
                <w:color w:val="auto"/>
                <w:vertAlign w:val="superscript"/>
              </w:rPr>
              <w:t>(6)</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83"/>
        </w:trPr>
        <w:tc>
          <w:tcPr>
            <w:tcW w:w="5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EPS (non-GAAP)</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7.77</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2.81</w:t>
            </w:r>
          </w:p>
        </w:tc>
        <w:tc>
          <w:tcPr>
            <w:tcW w:w="2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margin %</w:t>
            </w: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10.0 %</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4.3 %</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189"/>
        </w:trPr>
        <w:tc>
          <w:tcPr>
            <w:tcW w:w="5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Adjusted net income margin %</w:t>
            </w: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9.0 %</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3.9 %</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6.7 %</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
        <w:spacing w:after="0"/>
        <w:rPr>
          <w:sz w:val="20"/>
          <w:szCs w:val="20"/>
          <w:color w:val="auto"/>
        </w:rPr>
      </w:pPr>
      <w:r>
        <w:rPr>
          <w:rFonts w:ascii="Arial" w:cs="Arial" w:eastAsia="Arial" w:hAnsi="Arial"/>
          <w:sz w:val="17"/>
          <w:szCs w:val="17"/>
          <w:i w:val="1"/>
          <w:iCs w:val="1"/>
          <w:u w:val="single" w:color="auto"/>
          <w:color w:val="auto"/>
        </w:rPr>
        <w:t>Notes on Non-GAAP Adjustments:</w:t>
      </w:r>
    </w:p>
    <w:p>
      <w:pPr>
        <w:spacing w:after="0" w:line="193" w:lineRule="exact"/>
        <w:rPr>
          <w:sz w:val="20"/>
          <w:szCs w:val="20"/>
          <w:color w:val="auto"/>
        </w:rPr>
      </w:pPr>
    </w:p>
    <w:p>
      <w:pPr>
        <w:ind w:left="321" w:right="79" w:hanging="321"/>
        <w:spacing w:after="0" w:line="238" w:lineRule="auto"/>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For 2021, 2020, and 2019, we recorded impairment and other charges of $172 million ($130 million after tax), $117 million ($93 million after tax), and $65 million ($49 million after tax), respectively. See the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section for further information.</w:t>
      </w:r>
    </w:p>
    <w:p>
      <w:pPr>
        <w:jc w:val="both"/>
        <w:ind w:left="321" w:right="59" w:hanging="321"/>
        <w:spacing w:after="0"/>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During 2021 and 2020, we recorded non-cash gains of $290 million ($214 million after tax) and $190 million, ($140 million after-tax), respectively, related to our minority investment in GOAT. Our investment in GOAT is measured using the fair value measurement alternative and received additional funding at higher valuations than our initial investment. Also, in 2021, we made a minority investment in a public entity, Retailors Ltd. This investment was at a discount of $9 million ($7 million after tax) to the initial public offering price. Due to the infrequent and nonrecurring nature of the gains related to GOAT and discount on the initial public offering of our Retailors Ltd investment, the income was removed to arrive at non-GAAP earnings. This caption also included $7 million ($5 million after tax) related to the finalization of the insurance claim associated with the prior year social unrest. In 2019, Other income, net represented a gain recorded in connection with acquisition of a Canadian distribution center lease and related assets. The tax expense related to this transaction was largely offset by the release of a valuation allowance. See the </w:t>
      </w:r>
      <w:r>
        <w:rPr>
          <w:rFonts w:ascii="Arial" w:cs="Arial" w:eastAsia="Arial" w:hAnsi="Arial"/>
          <w:sz w:val="13"/>
          <w:szCs w:val="13"/>
          <w:i w:val="1"/>
          <w:iCs w:val="1"/>
          <w:color w:val="auto"/>
        </w:rPr>
        <w:t>Other Income,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net </w:t>
      </w:r>
      <w:r>
        <w:rPr>
          <w:rFonts w:ascii="Arial" w:cs="Arial" w:eastAsia="Arial" w:hAnsi="Arial"/>
          <w:sz w:val="13"/>
          <w:szCs w:val="13"/>
          <w:color w:val="auto"/>
        </w:rPr>
        <w:t>section for further information.</w:t>
      </w:r>
    </w:p>
    <w:p>
      <w:pPr>
        <w:spacing w:after="0" w:line="140" w:lineRule="exact"/>
        <w:rPr>
          <w:rFonts w:ascii="Arial" w:cs="Arial" w:eastAsia="Arial" w:hAnsi="Arial"/>
          <w:sz w:val="13"/>
          <w:szCs w:val="13"/>
          <w:color w:val="auto"/>
        </w:rPr>
      </w:pPr>
    </w:p>
    <w:p>
      <w:pPr>
        <w:ind w:left="321" w:right="79" w:hanging="321"/>
        <w:spacing w:after="0" w:line="238" w:lineRule="auto"/>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recorded tax charges related to the revaluation of certain intellectual property rights, pursuant to a non-U.S. advance pricing agreement of $11 million and $25 million for 2021 and 2020, respectively.</w:t>
      </w:r>
    </w:p>
    <w:p>
      <w:pPr>
        <w:ind w:left="321" w:right="59" w:hanging="321"/>
        <w:spacing w:after="0" w:line="238" w:lineRule="auto"/>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recognized tax benefits of $1 million, $5 million, and $2 million during the fourth quarters of 2021, 2020, and 2019, respectively, in connection with tax law changes in the Netherlands.</w:t>
      </w:r>
    </w:p>
    <w:p>
      <w:pPr>
        <w:jc w:val="both"/>
        <w:ind w:left="321" w:right="59" w:hanging="321"/>
        <w:spacing w:after="0" w:line="238" w:lineRule="auto"/>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On December 22, 2017, the United States enacted tax reform legislation that included a broad range of business tax provisions. In 2017, we recognized a $99 million provisional charge for the mandatory deemed repatriation of foreign sourced net earnings and a corresponding change in our permanent reinvestment assertion under ASC 740-30. During 2018, we reduced the provisional amounts by $28 million. This adjustment represented a $21 million reduction in the deemed repatriation tax and a $7 million benefit related to IRS accounting method changes and timing difference adjustments. In 2019, we recorded a charge for $2 million, which reflected an adjustment to U.S. tax on foreign income. We exclude the discrete U.S. tax reform effect from our Adjusted diluted EPS as it does not reflect our ongoing tax obligations under U.S. tax reform.</w:t>
      </w:r>
    </w:p>
    <w:p>
      <w:pPr>
        <w:spacing w:after="0" w:line="1" w:lineRule="exact"/>
        <w:rPr>
          <w:rFonts w:ascii="Arial" w:cs="Arial" w:eastAsia="Arial" w:hAnsi="Arial"/>
          <w:sz w:val="13"/>
          <w:szCs w:val="13"/>
          <w:color w:val="auto"/>
        </w:rPr>
      </w:pPr>
    </w:p>
    <w:p>
      <w:pPr>
        <w:ind w:left="321" w:hanging="321"/>
        <w:spacing w:after="0"/>
        <w:tabs>
          <w:tab w:leader="none" w:pos="321" w:val="left"/>
        </w:tabs>
        <w:numPr>
          <w:ilvl w:val="0"/>
          <w:numId w:val="8"/>
        </w:numPr>
        <w:rPr>
          <w:rFonts w:ascii="Arial" w:cs="Arial" w:eastAsia="Arial" w:hAnsi="Arial"/>
          <w:sz w:val="13"/>
          <w:szCs w:val="13"/>
          <w:color w:val="auto"/>
        </w:rPr>
      </w:pPr>
      <w:r>
        <w:rPr>
          <w:rFonts w:ascii="Arial" w:cs="Arial" w:eastAsia="Arial" w:hAnsi="Arial"/>
          <w:sz w:val="13"/>
          <w:szCs w:val="13"/>
          <w:color w:val="auto"/>
        </w:rPr>
        <w:t>Valuation allowances were established against deferred tax assets associated with certain foreign tax losses.</w:t>
      </w:r>
    </w:p>
    <w:p>
      <w:pPr>
        <w:spacing w:after="0" w:line="192" w:lineRule="exact"/>
        <w:rPr>
          <w:sz w:val="20"/>
          <w:szCs w:val="20"/>
          <w:color w:val="auto"/>
        </w:rPr>
      </w:pPr>
    </w:p>
    <w:p>
      <w:pPr>
        <w:ind w:left="1"/>
        <w:spacing w:after="0"/>
        <w:rPr>
          <w:sz w:val="20"/>
          <w:szCs w:val="20"/>
          <w:color w:val="auto"/>
        </w:rPr>
      </w:pPr>
      <w:r>
        <w:rPr>
          <w:rFonts w:ascii="Arial" w:cs="Arial" w:eastAsia="Arial" w:hAnsi="Arial"/>
          <w:sz w:val="17"/>
          <w:szCs w:val="17"/>
          <w:i w:val="1"/>
          <w:iCs w:val="1"/>
          <w:u w:val="single" w:color="auto"/>
          <w:color w:val="auto"/>
        </w:rPr>
        <w:t>Return on Invested Capital</w:t>
      </w:r>
    </w:p>
    <w:p>
      <w:pPr>
        <w:spacing w:after="0" w:line="187" w:lineRule="exact"/>
        <w:rPr>
          <w:sz w:val="20"/>
          <w:szCs w:val="20"/>
          <w:color w:val="auto"/>
        </w:rPr>
      </w:pPr>
    </w:p>
    <w:p>
      <w:pPr>
        <w:jc w:val="both"/>
        <w:ind w:left="1" w:right="59"/>
        <w:spacing w:after="0" w:line="238" w:lineRule="auto"/>
        <w:rPr>
          <w:sz w:val="20"/>
          <w:szCs w:val="20"/>
          <w:color w:val="auto"/>
        </w:rPr>
      </w:pPr>
      <w:r>
        <w:rPr>
          <w:rFonts w:ascii="Arial" w:cs="Arial" w:eastAsia="Arial" w:hAnsi="Arial"/>
          <w:sz w:val="17"/>
          <w:szCs w:val="17"/>
          <w:color w:val="auto"/>
        </w:rPr>
        <w:t>ROIC is presented below and represents a non-GAAP measure. We believe ROIC is a meaningful measure because it quantifies how efficiently we generated operating income relative to the capital we have invested in the business. ROIC, subject to certain adjustments, is also used as a measure in executive long-term incentive compensation.</w:t>
      </w:r>
    </w:p>
    <w:p>
      <w:pPr>
        <w:spacing w:after="0" w:line="147" w:lineRule="exact"/>
        <w:rPr>
          <w:sz w:val="20"/>
          <w:szCs w:val="20"/>
          <w:color w:val="auto"/>
        </w:rPr>
      </w:pPr>
    </w:p>
    <w:p>
      <w:pPr>
        <w:jc w:val="both"/>
        <w:ind w:left="1" w:right="59"/>
        <w:spacing w:after="0" w:line="236" w:lineRule="auto"/>
        <w:rPr>
          <w:sz w:val="20"/>
          <w:szCs w:val="20"/>
          <w:color w:val="auto"/>
        </w:rPr>
      </w:pPr>
      <w:r>
        <w:rPr>
          <w:rFonts w:ascii="Arial" w:cs="Arial" w:eastAsia="Arial" w:hAnsi="Arial"/>
          <w:sz w:val="17"/>
          <w:szCs w:val="17"/>
          <w:color w:val="auto"/>
        </w:rPr>
        <w:t>The closest U.S. GAAP measure to ROIC is Return on Assets (“ROA”) and is also presented below. ROA is calculated as net income attributable to Foot Locker, Inc. in the fiscal year divided by the two-year average of total assets. ROA increased to 11.8% as compared with 4.7% in the prior year. This increase reflected higher profit in 2021, partially offset by higher average total assets.</w:t>
      </w:r>
    </w:p>
    <w:p>
      <w:pPr>
        <w:spacing w:after="0" w:line="163"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2021 Form 10-K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41"/>
          </w:cols>
          <w:pgMar w:left="1319" w:top="842" w:right="1440" w:bottom="1440" w:gutter="0" w:footer="0" w:header="0"/>
        </w:sectPr>
      </w:pPr>
    </w:p>
    <w:bookmarkStart w:id="25" w:name="page26"/>
    <w:bookmarkEnd w:id="25"/>
    <w:p>
      <w:pPr>
        <w:ind w:left="1" w:right="59"/>
        <w:spacing w:after="0" w:line="243" w:lineRule="auto"/>
        <w:rPr>
          <w:sz w:val="20"/>
          <w:szCs w:val="20"/>
          <w:color w:val="auto"/>
        </w:rPr>
      </w:pPr>
      <w:r>
        <w:rPr>
          <w:rFonts w:ascii="Arial" w:cs="Arial" w:eastAsia="Arial" w:hAnsi="Arial"/>
          <w:sz w:val="17"/>
          <w:szCs w:val="17"/>
          <w:color w:val="auto"/>
        </w:rPr>
        <w:t>Our ROIC increased to 17.4% in 2021, as compared with 8.6% in the prior year. The overall increase in ROIC reflected an increase in adjusted return after taxes as the prior year was negatively affected by the COVID-19 pandemic.</w:t>
      </w:r>
    </w:p>
    <w:p>
      <w:pPr>
        <w:spacing w:after="0" w:line="138"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29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7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183"/>
        </w:trPr>
        <w:tc>
          <w:tcPr>
            <w:tcW w:w="292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 xml:space="preserve">ROA </w:t>
            </w:r>
            <w:r>
              <w:rPr>
                <w:rFonts w:ascii="Arial" w:cs="Arial" w:eastAsia="Arial" w:hAnsi="Arial"/>
                <w:sz w:val="21"/>
                <w:szCs w:val="21"/>
                <w:color w:val="auto"/>
                <w:vertAlign w:val="superscript"/>
              </w:rPr>
              <w:t>(1)</w:t>
            </w:r>
          </w:p>
        </w:tc>
        <w:tc>
          <w:tcPr>
            <w:tcW w:w="344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b w:val="1"/>
                <w:bCs w:val="1"/>
                <w:color w:val="auto"/>
              </w:rPr>
              <w:t>11.8 %</w:t>
            </w:r>
          </w:p>
        </w:tc>
        <w:tc>
          <w:tcPr>
            <w:tcW w:w="7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4.7 %</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9.4 %</w:t>
            </w:r>
          </w:p>
        </w:tc>
      </w:tr>
      <w:tr>
        <w:trPr>
          <w:trHeight w:val="189"/>
        </w:trPr>
        <w:tc>
          <w:tcPr>
            <w:tcW w:w="29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ROIC %</w:t>
            </w:r>
          </w:p>
        </w:tc>
        <w:tc>
          <w:tcPr>
            <w:tcW w:w="344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b w:val="1"/>
                <w:bCs w:val="1"/>
                <w:color w:val="auto"/>
              </w:rPr>
              <w:t>17.4 %</w:t>
            </w:r>
          </w:p>
        </w:tc>
        <w:tc>
          <w:tcPr>
            <w:tcW w:w="7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5"/>
              <w:spacing w:after="0" w:line="189" w:lineRule="exact"/>
              <w:rPr>
                <w:sz w:val="20"/>
                <w:szCs w:val="20"/>
                <w:color w:val="auto"/>
              </w:rPr>
            </w:pPr>
            <w:r>
              <w:rPr>
                <w:rFonts w:ascii="Arial" w:cs="Arial" w:eastAsia="Arial" w:hAnsi="Arial"/>
                <w:sz w:val="17"/>
                <w:szCs w:val="17"/>
                <w:color w:val="auto"/>
              </w:rPr>
              <w:t>8.6 %</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12.5 %</w:t>
            </w:r>
          </w:p>
        </w:tc>
      </w:tr>
    </w:tbl>
    <w:p>
      <w:pPr>
        <w:spacing w:after="0" w:line="107" w:lineRule="exact"/>
        <w:rPr>
          <w:sz w:val="20"/>
          <w:szCs w:val="20"/>
          <w:color w:val="auto"/>
        </w:rPr>
      </w:pPr>
    </w:p>
    <w:p>
      <w:pPr>
        <w:ind w:left="321" w:right="79" w:hanging="321"/>
        <w:spacing w:after="0" w:line="258" w:lineRule="auto"/>
        <w:tabs>
          <w:tab w:leader="none" w:pos="321" w:val="left"/>
        </w:tabs>
        <w:numPr>
          <w:ilvl w:val="0"/>
          <w:numId w:val="9"/>
        </w:numPr>
        <w:rPr>
          <w:rFonts w:ascii="Arial" w:cs="Arial" w:eastAsia="Arial" w:hAnsi="Arial"/>
          <w:sz w:val="13"/>
          <w:szCs w:val="13"/>
          <w:color w:val="auto"/>
        </w:rPr>
      </w:pPr>
      <w:r>
        <w:rPr>
          <w:rFonts w:ascii="Arial" w:cs="Arial" w:eastAsia="Arial" w:hAnsi="Arial"/>
          <w:sz w:val="13"/>
          <w:szCs w:val="13"/>
          <w:color w:val="auto"/>
        </w:rPr>
        <w:t>Represents net income attributable to Foot Locker, Inc. of $893 million, $323 million, and $491 million divided by average total assets of $7,589 million, $6,816 million, and $5,205 million for 2021, 2020, and 2019, respectively.</w:t>
      </w:r>
    </w:p>
    <w:p>
      <w:pPr>
        <w:spacing w:after="0" w:line="118" w:lineRule="exact"/>
        <w:rPr>
          <w:sz w:val="20"/>
          <w:szCs w:val="20"/>
          <w:color w:val="auto"/>
        </w:rPr>
      </w:pPr>
    </w:p>
    <w:tbl>
      <w:tblPr>
        <w:tblLayout w:type="fixed"/>
        <w:tblInd w:w="1" w:type="dxa"/>
        <w:tblCellMar>
          <w:top w:w="0" w:type="dxa"/>
          <w:left w:w="0" w:type="dxa"/>
          <w:bottom w:w="0" w:type="dxa"/>
          <w:right w:w="0" w:type="dxa"/>
        </w:tblCellMar>
      </w:tblPr>
      <w:tr>
        <w:trPr>
          <w:trHeight w:val="195"/>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7"/>
                <w:szCs w:val="17"/>
                <w:i w:val="1"/>
                <w:iCs w:val="1"/>
                <w:color w:val="auto"/>
                <w:w w:val="99"/>
              </w:rPr>
              <w:t>Calculation of ROIC:</w:t>
            </w:r>
          </w:p>
        </w:tc>
        <w:tc>
          <w:tcPr>
            <w:tcW w:w="2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5"/>
        </w:trPr>
        <w:tc>
          <w:tcPr>
            <w:tcW w:w="4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Arial" w:cs="Arial" w:eastAsia="Arial" w:hAnsi="Arial"/>
                <w:sz w:val="17"/>
                <w:szCs w:val="17"/>
                <w:color w:val="auto"/>
              </w:rPr>
              <w:t>($ in millions)</w:t>
            </w:r>
          </w:p>
        </w:tc>
        <w:tc>
          <w:tcPr>
            <w:tcW w:w="700" w:type="dxa"/>
            <w:vAlign w:val="bottom"/>
          </w:tcPr>
          <w:p>
            <w:pPr>
              <w:spacing w:after="0"/>
              <w:rPr>
                <w:sz w:val="24"/>
                <w:szCs w:val="24"/>
                <w:color w:val="auto"/>
              </w:rPr>
            </w:pPr>
          </w:p>
        </w:tc>
        <w:tc>
          <w:tcPr>
            <w:tcW w:w="1100" w:type="dxa"/>
            <w:vAlign w:val="bottom"/>
          </w:tcPr>
          <w:p>
            <w:pPr>
              <w:jc w:val="right"/>
              <w:ind w:right="49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24"/>
                <w:szCs w:val="24"/>
                <w:color w:val="auto"/>
              </w:rPr>
            </w:pPr>
          </w:p>
        </w:tc>
        <w:tc>
          <w:tcPr>
            <w:tcW w:w="1120" w:type="dxa"/>
            <w:vAlign w:val="bottom"/>
          </w:tcPr>
          <w:p>
            <w:pPr>
              <w:jc w:val="right"/>
              <w:ind w:right="495"/>
              <w:spacing w:after="0"/>
              <w:rPr>
                <w:sz w:val="20"/>
                <w:szCs w:val="20"/>
                <w:color w:val="auto"/>
              </w:rPr>
            </w:pPr>
            <w:r>
              <w:rPr>
                <w:rFonts w:ascii="Arial" w:cs="Arial" w:eastAsia="Arial" w:hAnsi="Arial"/>
                <w:sz w:val="17"/>
                <w:szCs w:val="17"/>
                <w:color w:val="auto"/>
              </w:rPr>
              <w:t>2020</w:t>
            </w:r>
          </w:p>
        </w:tc>
        <w:tc>
          <w:tcPr>
            <w:tcW w:w="28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7"/>
                <w:szCs w:val="17"/>
                <w:color w:val="auto"/>
              </w:rPr>
              <w:t>2019</w:t>
            </w: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EBIT</w:t>
            </w:r>
          </w:p>
        </w:tc>
        <w:tc>
          <w:tcPr>
            <w:tcW w:w="70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1,120</w:t>
            </w:r>
          </w:p>
        </w:tc>
        <w:tc>
          <w:tcPr>
            <w:tcW w:w="2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428</w:t>
            </w:r>
          </w:p>
        </w:tc>
        <w:tc>
          <w:tcPr>
            <w:tcW w:w="2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722</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5"/>
                <w:szCs w:val="15"/>
                <w:color w:val="auto"/>
              </w:rPr>
              <w:t xml:space="preserve">+ Interest component of straight-line rent expense </w:t>
            </w:r>
            <w:r>
              <w:rPr>
                <w:rFonts w:ascii="Arial" w:cs="Arial" w:eastAsia="Arial" w:hAnsi="Arial"/>
                <w:sz w:val="21"/>
                <w:szCs w:val="21"/>
                <w:color w:val="auto"/>
                <w:vertAlign w:val="superscript"/>
              </w:rPr>
              <w:t>(1)</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144</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158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173</w:t>
            </w: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Adjusted net operating profit</w:t>
            </w:r>
          </w:p>
        </w:tc>
        <w:tc>
          <w:tcPr>
            <w:tcW w:w="7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1,264</w:t>
            </w: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586</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895</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tcPr>
          <w:p>
            <w:pPr>
              <w:spacing w:after="0" w:line="189" w:lineRule="exact"/>
              <w:rPr>
                <w:sz w:val="20"/>
                <w:szCs w:val="20"/>
                <w:color w:val="auto"/>
              </w:rPr>
            </w:pPr>
            <w:r>
              <w:rPr>
                <w:rFonts w:ascii="Arial" w:cs="Arial" w:eastAsia="Arial" w:hAnsi="Arial"/>
                <w:sz w:val="15"/>
                <w:szCs w:val="15"/>
                <w:color w:val="auto"/>
              </w:rPr>
              <w:t xml:space="preserve">- Adjusted income tax expense </w:t>
            </w:r>
            <w:r>
              <w:rPr>
                <w:rFonts w:ascii="Arial" w:cs="Arial" w:eastAsia="Arial" w:hAnsi="Arial"/>
                <w:sz w:val="21"/>
                <w:szCs w:val="21"/>
                <w:color w:val="auto"/>
                <w:vertAlign w:val="superscript"/>
              </w:rPr>
              <w:t>(2)</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(340)</w:t>
            </w:r>
          </w:p>
        </w:tc>
        <w:tc>
          <w:tcPr>
            <w:tcW w:w="280" w:type="dxa"/>
            <w:vAlign w:val="bottom"/>
          </w:tcPr>
          <w:p>
            <w:pPr>
              <w:spacing w:after="0"/>
              <w:rPr>
                <w:sz w:val="16"/>
                <w:szCs w:val="16"/>
                <w:color w:val="auto"/>
              </w:rPr>
            </w:pP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(167)</w:t>
            </w:r>
          </w:p>
        </w:tc>
        <w:tc>
          <w:tcPr>
            <w:tcW w:w="28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(236)</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Net loss attributable to noncontrolling interests</w:t>
            </w:r>
          </w:p>
        </w:tc>
        <w:tc>
          <w:tcPr>
            <w:tcW w:w="7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w:t>
            </w:r>
          </w:p>
        </w:tc>
        <w:tc>
          <w:tcPr>
            <w:tcW w:w="2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r>
      <w:tr>
        <w:trPr>
          <w:trHeight w:val="222"/>
        </w:trPr>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 Adjusted return after taxes</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925</w:t>
            </w:r>
          </w:p>
        </w:tc>
        <w:tc>
          <w:tcPr>
            <w:tcW w:w="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419</w:t>
            </w:r>
          </w:p>
        </w:tc>
        <w:tc>
          <w:tcPr>
            <w:tcW w:w="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659</w:t>
            </w:r>
          </w:p>
        </w:tc>
      </w:tr>
      <w:tr>
        <w:trPr>
          <w:trHeight w:val="170"/>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gridSpan w:val="2"/>
            <w:shd w:val="clear" w:color="auto" w:fill="CCEEFF"/>
          </w:tcPr>
          <w:p>
            <w:pPr>
              <w:spacing w:after="0" w:line="170" w:lineRule="exact"/>
              <w:rPr>
                <w:sz w:val="20"/>
                <w:szCs w:val="20"/>
                <w:color w:val="auto"/>
              </w:rPr>
            </w:pPr>
            <w:r>
              <w:rPr>
                <w:rFonts w:ascii="Arial" w:cs="Arial" w:eastAsia="Arial" w:hAnsi="Arial"/>
                <w:sz w:val="13"/>
                <w:szCs w:val="13"/>
                <w:color w:val="auto"/>
              </w:rPr>
              <w:t xml:space="preserve">Average total assets </w:t>
            </w:r>
            <w:r>
              <w:rPr>
                <w:rFonts w:ascii="Arial" w:cs="Arial" w:eastAsia="Arial" w:hAnsi="Arial"/>
                <w:sz w:val="19"/>
                <w:szCs w:val="19"/>
                <w:color w:val="auto"/>
                <w:vertAlign w:val="superscript"/>
              </w:rPr>
              <w:t>(3)</w:t>
            </w:r>
          </w:p>
        </w:tc>
        <w:tc>
          <w:tcPr>
            <w:tcW w:w="70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75"/>
              <w:spacing w:after="0" w:line="170" w:lineRule="exact"/>
              <w:rPr>
                <w:sz w:val="20"/>
                <w:szCs w:val="20"/>
                <w:color w:val="auto"/>
              </w:rPr>
            </w:pPr>
            <w:r>
              <w:rPr>
                <w:rFonts w:ascii="Arial" w:cs="Arial" w:eastAsia="Arial" w:hAnsi="Arial"/>
                <w:sz w:val="17"/>
                <w:szCs w:val="17"/>
                <w:b w:val="1"/>
                <w:bCs w:val="1"/>
                <w:color w:val="auto"/>
              </w:rPr>
              <w:t>7,589</w:t>
            </w:r>
          </w:p>
        </w:tc>
        <w:tc>
          <w:tcPr>
            <w:tcW w:w="28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5"/>
              <w:spacing w:after="0" w:line="170" w:lineRule="exact"/>
              <w:rPr>
                <w:sz w:val="20"/>
                <w:szCs w:val="20"/>
                <w:color w:val="auto"/>
              </w:rPr>
            </w:pPr>
            <w:r>
              <w:rPr>
                <w:rFonts w:ascii="Arial" w:cs="Arial" w:eastAsia="Arial" w:hAnsi="Arial"/>
                <w:sz w:val="17"/>
                <w:szCs w:val="17"/>
                <w:color w:val="auto"/>
              </w:rPr>
              <w:t>6,816</w:t>
            </w:r>
          </w:p>
        </w:tc>
        <w:tc>
          <w:tcPr>
            <w:tcW w:w="280" w:type="dxa"/>
            <w:vAlign w:val="bottom"/>
            <w:shd w:val="clear" w:color="auto" w:fill="CCEEFF"/>
          </w:tcPr>
          <w:p>
            <w:pPr>
              <w:jc w:val="right"/>
              <w:ind w:right="55"/>
              <w:spacing w:after="0" w:line="170"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55"/>
              <w:spacing w:after="0" w:line="170" w:lineRule="exact"/>
              <w:rPr>
                <w:sz w:val="20"/>
                <w:szCs w:val="20"/>
                <w:color w:val="auto"/>
              </w:rPr>
            </w:pPr>
            <w:r>
              <w:rPr>
                <w:rFonts w:ascii="Arial" w:cs="Arial" w:eastAsia="Arial" w:hAnsi="Arial"/>
                <w:sz w:val="17"/>
                <w:szCs w:val="17"/>
                <w:color w:val="auto"/>
              </w:rPr>
              <w:t>3,755</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tcPr>
          <w:p>
            <w:pPr>
              <w:spacing w:after="0" w:line="189" w:lineRule="exact"/>
              <w:rPr>
                <w:sz w:val="20"/>
                <w:szCs w:val="20"/>
                <w:color w:val="auto"/>
              </w:rPr>
            </w:pPr>
            <w:r>
              <w:rPr>
                <w:rFonts w:ascii="Arial" w:cs="Arial" w:eastAsia="Arial" w:hAnsi="Arial"/>
                <w:sz w:val="17"/>
                <w:szCs w:val="17"/>
                <w:color w:val="auto"/>
              </w:rPr>
              <w:t>- Average cash and cash equivalents</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(1,242)</w:t>
            </w:r>
          </w:p>
        </w:tc>
        <w:tc>
          <w:tcPr>
            <w:tcW w:w="280" w:type="dxa"/>
            <w:vAlign w:val="bottom"/>
          </w:tcPr>
          <w:p>
            <w:pPr>
              <w:spacing w:after="0"/>
              <w:rPr>
                <w:sz w:val="16"/>
                <w:szCs w:val="16"/>
                <w:color w:val="auto"/>
              </w:rPr>
            </w:pP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(1,294)</w:t>
            </w:r>
          </w:p>
        </w:tc>
        <w:tc>
          <w:tcPr>
            <w:tcW w:w="28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(899)</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Average non-interest bearing current liabilities</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(1,060)</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(819)</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(720)</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tcPr>
          <w:p>
            <w:pPr>
              <w:spacing w:after="0" w:line="189" w:lineRule="exact"/>
              <w:rPr>
                <w:sz w:val="20"/>
                <w:szCs w:val="20"/>
                <w:color w:val="auto"/>
              </w:rPr>
            </w:pPr>
            <w:r>
              <w:rPr>
                <w:rFonts w:ascii="Arial" w:cs="Arial" w:eastAsia="Arial" w:hAnsi="Arial"/>
                <w:sz w:val="17"/>
                <w:szCs w:val="17"/>
                <w:color w:val="auto"/>
              </w:rPr>
              <w:t>- Average merchandise inventories</w:t>
            </w:r>
          </w:p>
        </w:tc>
        <w:tc>
          <w:tcPr>
            <w:tcW w:w="700" w:type="dxa"/>
            <w:vAlign w:val="bottom"/>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(1,095)</w:t>
            </w:r>
          </w:p>
        </w:tc>
        <w:tc>
          <w:tcPr>
            <w:tcW w:w="280" w:type="dxa"/>
            <w:vAlign w:val="bottom"/>
          </w:tcPr>
          <w:p>
            <w:pPr>
              <w:spacing w:after="0"/>
              <w:rPr>
                <w:sz w:val="16"/>
                <w:szCs w:val="16"/>
                <w:color w:val="auto"/>
              </w:rPr>
            </w:pPr>
          </w:p>
        </w:tc>
        <w:tc>
          <w:tcPr>
            <w:tcW w:w="11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(1,066)</w:t>
            </w:r>
          </w:p>
        </w:tc>
        <w:tc>
          <w:tcPr>
            <w:tcW w:w="280" w:type="dxa"/>
            <w:vAlign w:val="bottom"/>
          </w:tcPr>
          <w:p>
            <w:pPr>
              <w:spacing w:after="0"/>
              <w:rPr>
                <w:sz w:val="16"/>
                <w:szCs w:val="16"/>
                <w:color w:val="auto"/>
              </w:rPr>
            </w:pPr>
          </w:p>
        </w:tc>
        <w:tc>
          <w:tcPr>
            <w:tcW w:w="108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(1,239)</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 xml:space="preserve">+ Average right-of-use assets </w:t>
            </w:r>
            <w:r>
              <w:rPr>
                <w:rFonts w:ascii="Arial" w:cs="Arial" w:eastAsia="Arial" w:hAnsi="Arial"/>
                <w:sz w:val="21"/>
                <w:szCs w:val="21"/>
                <w:color w:val="auto"/>
                <w:vertAlign w:val="superscript"/>
              </w:rPr>
              <w:t>(4)</w:t>
            </w:r>
          </w:p>
        </w:tc>
        <w:tc>
          <w:tcPr>
            <w:tcW w:w="7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w:t>
            </w: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3,024</w:t>
            </w:r>
          </w:p>
        </w:tc>
      </w:tr>
      <w:tr>
        <w:trPr>
          <w:trHeight w:val="189"/>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+ 13</w:t>
            </w:r>
            <w:r>
              <w:rPr>
                <w:rFonts w:ascii="MS PGothic" w:cs="MS PGothic" w:eastAsia="MS PGothic" w:hAnsi="MS PGothic"/>
                <w:sz w:val="17"/>
                <w:szCs w:val="17"/>
                <w:color w:val="auto"/>
              </w:rPr>
              <w:t>‑</w:t>
            </w:r>
            <w:r>
              <w:rPr>
                <w:rFonts w:ascii="Arial" w:cs="Arial" w:eastAsia="Arial" w:hAnsi="Arial"/>
                <w:sz w:val="17"/>
                <w:szCs w:val="17"/>
                <w:color w:val="auto"/>
              </w:rPr>
              <w:t>month average merchandise inventories</w:t>
            </w: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1,116</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color w:val="auto"/>
              </w:rPr>
              <w:t>1,243</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1,361</w:t>
            </w:r>
          </w:p>
        </w:tc>
      </w:tr>
      <w:tr>
        <w:trPr>
          <w:trHeight w:val="183"/>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 Average invested capital</w:t>
            </w:r>
          </w:p>
        </w:tc>
        <w:tc>
          <w:tcPr>
            <w:tcW w:w="7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5,308</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4,880</w:t>
            </w:r>
          </w:p>
        </w:tc>
        <w:tc>
          <w:tcPr>
            <w:tcW w:w="2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5,282</w:t>
            </w:r>
          </w:p>
        </w:tc>
      </w:tr>
      <w:tr>
        <w:trPr>
          <w:trHeight w:val="20"/>
        </w:trPr>
        <w:tc>
          <w:tcPr>
            <w:tcW w:w="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2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7"/>
                <w:szCs w:val="17"/>
                <w:color w:val="auto"/>
              </w:rPr>
              <w:t>ROIC %</w:t>
            </w:r>
          </w:p>
        </w:tc>
        <w:tc>
          <w:tcPr>
            <w:tcW w:w="7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17.4 %</w:t>
            </w: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8.6 %</w:t>
            </w: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12.5 %</w:t>
            </w:r>
          </w:p>
        </w:tc>
      </w:tr>
    </w:tbl>
    <w:p>
      <w:pPr>
        <w:spacing w:after="0" w:line="148" w:lineRule="exact"/>
        <w:rPr>
          <w:sz w:val="20"/>
          <w:szCs w:val="20"/>
          <w:color w:val="auto"/>
        </w:rPr>
      </w:pPr>
    </w:p>
    <w:p>
      <w:pPr>
        <w:jc w:val="both"/>
        <w:ind w:left="321" w:right="79" w:hanging="321"/>
        <w:spacing w:after="0" w:line="238" w:lineRule="auto"/>
        <w:tabs>
          <w:tab w:leader="none" w:pos="321"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add-back to operating income driven by the hypothetical interest expense we would incur if the property under our operating leases were owned or accounted for as finance leases. Calculated using the discount rate for each operating lease recorded as a component of rent expense. Operating lease interest is added back to adjusted net operating profit in the ROIC calculation to account for differences in capital structure between us and our competitors.</w:t>
      </w:r>
    </w:p>
    <w:p>
      <w:pPr>
        <w:spacing w:after="0" w:line="1" w:lineRule="exact"/>
        <w:rPr>
          <w:rFonts w:ascii="Arial" w:cs="Arial" w:eastAsia="Arial" w:hAnsi="Arial"/>
          <w:sz w:val="13"/>
          <w:szCs w:val="13"/>
          <w:color w:val="auto"/>
        </w:rPr>
      </w:pPr>
    </w:p>
    <w:p>
      <w:pPr>
        <w:ind w:left="321" w:hanging="321"/>
        <w:spacing w:after="0"/>
        <w:tabs>
          <w:tab w:leader="none" w:pos="32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adjusted income tax expense represents the marginal tax rate applied to adjusted net operating profit for each of the periods presented.</w:t>
      </w:r>
    </w:p>
    <w:p>
      <w:pPr>
        <w:ind w:left="321" w:right="79" w:hanging="321"/>
        <w:spacing w:after="0" w:line="238" w:lineRule="auto"/>
        <w:tabs>
          <w:tab w:leader="none" w:pos="321"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2019, the amount represents the average total assets for 2019 and 2018, excluding the 2019 right-of-use assets of $2,899 million for comparability to prior periods before the adoption of the new lease accounting standard.</w:t>
      </w:r>
    </w:p>
    <w:p>
      <w:pPr>
        <w:ind w:left="321" w:right="79" w:hanging="321"/>
        <w:spacing w:after="0" w:line="258" w:lineRule="auto"/>
        <w:tabs>
          <w:tab w:leader="none" w:pos="321"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2019, the amount represents the average of the right-of-use assets as of February 1, 2020 and February 3, 2019 (the date of the adoption of the new lease standard) of $2,899 million and $3,148 million, respectively.</w:t>
      </w:r>
    </w:p>
    <w:p>
      <w:pPr>
        <w:spacing w:after="0" w:line="112" w:lineRule="exact"/>
        <w:rPr>
          <w:sz w:val="20"/>
          <w:szCs w:val="20"/>
          <w:color w:val="auto"/>
        </w:rPr>
      </w:pPr>
    </w:p>
    <w:tbl>
      <w:tblPr>
        <w:tblLayout w:type="fixed"/>
        <w:tblInd w:w="1" w:type="dxa"/>
        <w:tblCellMar>
          <w:top w:w="0" w:type="dxa"/>
          <w:left w:w="0" w:type="dxa"/>
          <w:bottom w:w="0" w:type="dxa"/>
          <w:right w:w="0" w:type="dxa"/>
        </w:tblCellMar>
      </w:tblPr>
      <w:tr>
        <w:trPr>
          <w:trHeight w:val="225"/>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Overview of Consolidated Results</w:t>
            </w: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4180" w:type="dxa"/>
            <w:vAlign w:val="bottom"/>
            <w:gridSpan w:val="2"/>
          </w:tcPr>
          <w:p>
            <w:pPr>
              <w:spacing w:after="0"/>
              <w:rPr>
                <w:sz w:val="20"/>
                <w:szCs w:val="20"/>
                <w:color w:val="auto"/>
              </w:rPr>
            </w:pPr>
            <w:r>
              <w:rPr>
                <w:rFonts w:ascii="Arial" w:cs="Arial" w:eastAsia="Arial" w:hAnsi="Arial"/>
                <w:sz w:val="17"/>
                <w:szCs w:val="17"/>
                <w:color w:val="auto"/>
              </w:rPr>
              <w:t>(in millions, except per share data)</w:t>
            </w:r>
          </w:p>
        </w:tc>
        <w:tc>
          <w:tcPr>
            <w:tcW w:w="1040" w:type="dxa"/>
            <w:vAlign w:val="bottom"/>
          </w:tcPr>
          <w:p>
            <w:pPr>
              <w:spacing w:after="0"/>
              <w:rPr>
                <w:sz w:val="24"/>
                <w:szCs w:val="24"/>
                <w:color w:val="auto"/>
              </w:rPr>
            </w:pPr>
          </w:p>
        </w:tc>
        <w:tc>
          <w:tcPr>
            <w:tcW w:w="1080" w:type="dxa"/>
            <w:vAlign w:val="bottom"/>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36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2020</w:t>
            </w:r>
          </w:p>
        </w:tc>
        <w:tc>
          <w:tcPr>
            <w:tcW w:w="360" w:type="dxa"/>
            <w:vAlign w:val="bottom"/>
          </w:tcPr>
          <w:p>
            <w:pPr>
              <w:spacing w:after="0"/>
              <w:rPr>
                <w:sz w:val="24"/>
                <w:szCs w:val="24"/>
                <w:color w:val="auto"/>
              </w:rPr>
            </w:pPr>
          </w:p>
        </w:tc>
        <w:tc>
          <w:tcPr>
            <w:tcW w:w="980" w:type="dxa"/>
            <w:vAlign w:val="bottom"/>
          </w:tcPr>
          <w:p>
            <w:pPr>
              <w:jc w:val="right"/>
              <w:ind w:right="3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Sales</w:t>
            </w:r>
          </w:p>
        </w:tc>
        <w:tc>
          <w:tcPr>
            <w:tcW w:w="104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8,958</w:t>
            </w:r>
          </w:p>
        </w:tc>
        <w:tc>
          <w:tcPr>
            <w:tcW w:w="3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7,548</w:t>
            </w:r>
          </w:p>
        </w:tc>
        <w:tc>
          <w:tcPr>
            <w:tcW w:w="3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8,005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00"/>
              <w:spacing w:after="0" w:line="189" w:lineRule="exact"/>
              <w:rPr>
                <w:sz w:val="20"/>
                <w:szCs w:val="20"/>
                <w:color w:val="auto"/>
              </w:rPr>
            </w:pPr>
            <w:r>
              <w:rPr>
                <w:rFonts w:ascii="Arial" w:cs="Arial" w:eastAsia="Arial" w:hAnsi="Arial"/>
                <w:sz w:val="17"/>
                <w:szCs w:val="17"/>
                <w:color w:val="auto"/>
              </w:rPr>
              <w:t>Sales per average square foot</w:t>
            </w:r>
          </w:p>
        </w:tc>
        <w:tc>
          <w:tcPr>
            <w:tcW w:w="104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540</w:t>
            </w:r>
          </w:p>
        </w:tc>
        <w:tc>
          <w:tcPr>
            <w:tcW w:w="36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417</w:t>
            </w:r>
          </w:p>
        </w:tc>
        <w:tc>
          <w:tcPr>
            <w:tcW w:w="3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510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margin</w:t>
            </w: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3,080</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2,183</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104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1,851</w:t>
            </w:r>
          </w:p>
        </w:tc>
        <w:tc>
          <w:tcPr>
            <w:tcW w:w="36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1,587</w:t>
            </w:r>
          </w:p>
        </w:tc>
        <w:tc>
          <w:tcPr>
            <w:tcW w:w="3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197</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176</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Operating Results</w:t>
            </w: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Division profit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1,161</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491</w:t>
            </w:r>
          </w:p>
        </w:tc>
        <w:tc>
          <w:tcPr>
            <w:tcW w:w="3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Other charges</w:t>
            </w: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172</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117</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Less: Corporate expense</w:t>
            </w:r>
          </w:p>
        </w:tc>
        <w:tc>
          <w:tcPr>
            <w:tcW w:w="10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129</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71</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10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860</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303</w:t>
            </w: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Interest (expense) income, net</w:t>
            </w:r>
          </w:p>
        </w:tc>
        <w:tc>
          <w:tcPr>
            <w:tcW w:w="1040" w:type="dxa"/>
            <w:vAlign w:val="bottom"/>
          </w:tcPr>
          <w:p>
            <w:pPr>
              <w:spacing w:after="0"/>
              <w:rPr>
                <w:sz w:val="16"/>
                <w:szCs w:val="16"/>
                <w:color w:val="auto"/>
              </w:rPr>
            </w:pPr>
          </w:p>
        </w:tc>
        <w:tc>
          <w:tcPr>
            <w:tcW w:w="108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(14)</w:t>
            </w:r>
          </w:p>
        </w:tc>
        <w:tc>
          <w:tcPr>
            <w:tcW w:w="36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3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 income, net</w:t>
            </w:r>
          </w:p>
        </w:tc>
        <w:tc>
          <w:tcPr>
            <w:tcW w:w="10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394</w:t>
            </w:r>
          </w:p>
        </w:tc>
        <w:tc>
          <w:tcPr>
            <w:tcW w:w="3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198</w:t>
            </w: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160" w:type="dxa"/>
            <w:vAlign w:val="bottom"/>
          </w:tcPr>
          <w:p>
            <w:pPr>
              <w:spacing w:after="0" w:line="183" w:lineRule="exact"/>
              <w:rPr>
                <w:sz w:val="20"/>
                <w:szCs w:val="20"/>
                <w:color w:val="auto"/>
              </w:rPr>
            </w:pPr>
            <w:r>
              <w:rPr>
                <w:rFonts w:ascii="Arial" w:cs="Arial" w:eastAsia="Arial" w:hAnsi="Arial"/>
                <w:sz w:val="17"/>
                <w:szCs w:val="17"/>
                <w:color w:val="auto"/>
              </w:rPr>
              <w:t>Income before income taxes</w:t>
            </w:r>
          </w:p>
        </w:tc>
        <w:tc>
          <w:tcPr>
            <w:tcW w:w="104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3" w:lineRule="exact"/>
              <w:rPr>
                <w:sz w:val="20"/>
                <w:szCs w:val="20"/>
                <w:color w:val="auto"/>
              </w:rPr>
            </w:pPr>
            <w:r>
              <w:rPr>
                <w:rFonts w:ascii="Arial" w:cs="Arial" w:eastAsia="Arial" w:hAnsi="Arial"/>
                <w:sz w:val="17"/>
                <w:szCs w:val="17"/>
                <w:b w:val="1"/>
                <w:bCs w:val="1"/>
                <w:color w:val="auto"/>
              </w:rPr>
              <w:t>1,240</w:t>
            </w:r>
          </w:p>
        </w:tc>
        <w:tc>
          <w:tcPr>
            <w:tcW w:w="360" w:type="dxa"/>
            <w:vAlign w:val="bottom"/>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line="183" w:lineRule="exact"/>
              <w:rPr>
                <w:sz w:val="20"/>
                <w:szCs w:val="20"/>
                <w:color w:val="auto"/>
              </w:rPr>
            </w:pPr>
            <w:r>
              <w:rPr>
                <w:rFonts w:ascii="Arial" w:cs="Arial" w:eastAsia="Arial" w:hAnsi="Arial"/>
                <w:sz w:val="17"/>
                <w:szCs w:val="17"/>
                <w:color w:val="auto"/>
              </w:rPr>
              <w:t>494</w:t>
            </w:r>
          </w:p>
        </w:tc>
        <w:tc>
          <w:tcPr>
            <w:tcW w:w="360" w:type="dxa"/>
            <w:vAlign w:val="bottom"/>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160" w:type="dxa"/>
            <w:vAlign w:val="bottom"/>
          </w:tcPr>
          <w:p>
            <w:pPr>
              <w:spacing w:after="0" w:line="189" w:lineRule="exact"/>
              <w:rPr>
                <w:sz w:val="20"/>
                <w:szCs w:val="20"/>
                <w:color w:val="auto"/>
              </w:rPr>
            </w:pPr>
            <w:r>
              <w:rPr>
                <w:rFonts w:ascii="Arial" w:cs="Arial" w:eastAsia="Arial" w:hAnsi="Arial"/>
                <w:sz w:val="17"/>
                <w:szCs w:val="17"/>
                <w:color w:val="auto"/>
              </w:rPr>
              <w:t>Net income attributable to Foot Locker, Inc.</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893</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323</w:t>
            </w:r>
          </w:p>
        </w:tc>
        <w:tc>
          <w:tcPr>
            <w:tcW w:w="3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Diluted earnings per share</w:t>
            </w: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8.61</w:t>
            </w:r>
          </w:p>
        </w:tc>
        <w:tc>
          <w:tcPr>
            <w:tcW w:w="3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3.08</w:t>
            </w:r>
          </w:p>
        </w:tc>
        <w:tc>
          <w:tcPr>
            <w:tcW w:w="3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2021 Form 10-K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41"/>
          </w:cols>
          <w:pgMar w:left="1319" w:top="849" w:right="1440"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Highlights of our 2021 financial performance include:</w:t>
      </w:r>
    </w:p>
    <w:p>
      <w:pPr>
        <w:spacing w:after="0" w:line="156" w:lineRule="exact"/>
        <w:rPr>
          <w:sz w:val="20"/>
          <w:szCs w:val="20"/>
          <w:color w:val="auto"/>
        </w:rPr>
      </w:pPr>
    </w:p>
    <w:p>
      <w:pPr>
        <w:jc w:val="both"/>
        <w:ind w:left="680" w:right="59" w:hanging="330"/>
        <w:spacing w:after="0" w:line="232"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We delivered the highest sales in Foot Locker’s history as an athletic retailer, despite COVID-19’s continued effect on overall economic conditions in the various geographic areas in which we have operations. In response to the COVID-19 pandemic, stores across all of our brands in North America, EMEA, and Asia Pacific were temporarily closed for various periods during the year. As a result, our stores were open for approximately 89% of operating days in 2021, as compared with 75% in 2020.</w:t>
      </w:r>
    </w:p>
    <w:p>
      <w:pPr>
        <w:spacing w:after="0" w:line="2" w:lineRule="exact"/>
        <w:rPr>
          <w:rFonts w:ascii="Arial" w:cs="Arial" w:eastAsia="Arial" w:hAnsi="Arial"/>
          <w:sz w:val="18"/>
          <w:szCs w:val="18"/>
          <w:color w:val="auto"/>
        </w:rPr>
      </w:pPr>
    </w:p>
    <w:p>
      <w:pPr>
        <w:jc w:val="both"/>
        <w:ind w:left="680" w:right="79" w:hanging="330"/>
        <w:spacing w:after="0" w:line="227"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Apparel and accessory sales penetration increased to 20% as compared with 16% last year, our footwear sales represented 80% of sales, down from last year’s penetration as we had increased success with branded and private-label apparel offerings.</w:t>
      </w:r>
    </w:p>
    <w:p>
      <w:pPr>
        <w:spacing w:after="0" w:line="1" w:lineRule="exact"/>
        <w:rPr>
          <w:rFonts w:ascii="Arial" w:cs="Arial" w:eastAsia="Arial" w:hAnsi="Arial"/>
          <w:sz w:val="18"/>
          <w:szCs w:val="18"/>
          <w:color w:val="auto"/>
        </w:rPr>
      </w:pPr>
    </w:p>
    <w:p>
      <w:pPr>
        <w:ind w:left="680" w:right="79" w:hanging="330"/>
        <w:spacing w:after="0" w:line="23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Our stores channel sales rebounded well from the extensive store closures in 2020 as customer traffic returned to shopping centers and malls.</w:t>
      </w:r>
    </w:p>
    <w:p>
      <w:pPr>
        <w:ind w:left="680" w:hanging="330"/>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Sales per square foot increased to $540, increasing from $510 per square foot in 2019.</w:t>
      </w:r>
    </w:p>
    <w:p>
      <w:pPr>
        <w:jc w:val="both"/>
        <w:ind w:left="680" w:right="79" w:hanging="330"/>
        <w:spacing w:after="0" w:line="228"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Our direct-to-customers sales channel decreased to 21.5% of total sales in 2021 as shoppers began returning to our stores. Despite the decrease, this penetration exceeded the 16.1% in 2019. Our ongoing investments in our omnichannel ecosystem, including consumer experience and supply chain capabilities, have been instrumental in delivering a seamless customer experience.</w:t>
      </w:r>
    </w:p>
    <w:p>
      <w:pPr>
        <w:spacing w:after="0" w:line="2" w:lineRule="exact"/>
        <w:rPr>
          <w:rFonts w:ascii="Arial" w:cs="Arial" w:eastAsia="Arial" w:hAnsi="Arial"/>
          <w:sz w:val="18"/>
          <w:szCs w:val="18"/>
          <w:color w:val="auto"/>
        </w:rPr>
      </w:pPr>
    </w:p>
    <w:p>
      <w:pPr>
        <w:ind w:left="680" w:right="79" w:hanging="330"/>
        <w:spacing w:after="0" w:line="23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7"/>
          <w:szCs w:val="17"/>
          <w:color w:val="auto"/>
        </w:rPr>
        <w:t>As noted in the table below, sales and comparable sales both increased in 2021. Our stores generated significant increases, which more than offset the reduction in the direct-to-customers channel.</w:t>
      </w:r>
    </w:p>
    <w:p>
      <w:pPr>
        <w:spacing w:after="0" w:line="155"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3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13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2020</w:t>
            </w: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Sales increase/(decrease)</w:t>
            </w:r>
          </w:p>
        </w:tc>
        <w:tc>
          <w:tcPr>
            <w:tcW w:w="15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18.7 %</w:t>
            </w:r>
          </w:p>
        </w:tc>
        <w:tc>
          <w:tcPr>
            <w:tcW w:w="13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(5.7)%</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0.8 %</w:t>
            </w:r>
          </w:p>
        </w:tc>
      </w:tr>
      <w:tr>
        <w:trPr>
          <w:trHeight w:val="189"/>
        </w:trPr>
        <w:tc>
          <w:tcPr>
            <w:tcW w:w="38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Comparable-store sales increase/(decrease)</w:t>
            </w:r>
          </w:p>
        </w:tc>
        <w:tc>
          <w:tcPr>
            <w:tcW w:w="15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b w:val="1"/>
                <w:bCs w:val="1"/>
                <w:color w:val="auto"/>
              </w:rPr>
              <w:t>15.4 %</w:t>
            </w:r>
          </w:p>
        </w:tc>
        <w:tc>
          <w:tcPr>
            <w:tcW w:w="130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(5.9)%</w:t>
            </w: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2.2 %</w:t>
            </w:r>
          </w:p>
        </w:tc>
      </w:tr>
    </w:tbl>
    <w:p>
      <w:pPr>
        <w:spacing w:after="0" w:line="169" w:lineRule="exact"/>
        <w:rPr>
          <w:sz w:val="20"/>
          <w:szCs w:val="20"/>
          <w:color w:val="auto"/>
        </w:rPr>
      </w:pPr>
    </w:p>
    <w:p>
      <w:pPr>
        <w:ind w:left="680" w:right="79" w:hanging="330"/>
        <w:spacing w:after="0" w:line="225"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Gross margin, as a percentage of sales, increased to 34.4% as a result of decreased promotions, in part due to increased demand and relatively short supply of certain merchandise.</w:t>
      </w:r>
    </w:p>
    <w:p>
      <w:pPr>
        <w:jc w:val="both"/>
        <w:ind w:left="680" w:right="79" w:hanging="330"/>
        <w:spacing w:after="0" w:line="227"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SG&amp;A expenses were 20.7% of sales, a decrease of 30 basis points as compared with the prior year. The decrease reflected higher sales in the current year, partially offset by the effect of prior-year COVID-19 payroll subsidies from local governments and higher incentive compensation.</w:t>
      </w:r>
    </w:p>
    <w:p>
      <w:pPr>
        <w:spacing w:after="0" w:line="1" w:lineRule="exact"/>
        <w:rPr>
          <w:rFonts w:ascii="Arial" w:cs="Arial" w:eastAsia="Arial" w:hAnsi="Arial"/>
          <w:sz w:val="18"/>
          <w:szCs w:val="18"/>
          <w:color w:val="auto"/>
        </w:rPr>
      </w:pPr>
    </w:p>
    <w:p>
      <w:pPr>
        <w:jc w:val="both"/>
        <w:ind w:left="680" w:right="79" w:hanging="330"/>
        <w:spacing w:after="0" w:line="232"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7"/>
          <w:szCs w:val="17"/>
          <w:color w:val="auto"/>
        </w:rPr>
        <w:t>Net income attributable to Foot Locker, Inc. was $893 million, or $8.61 diluted earnings per share, both of which were record highs in the Company’s history as an athletic retailer. The $570 million increase from the prior-year period reflected higher sales and gross margin which outpaced increases in expenses, as well as an increase in other income primarily from fair value adjustments to our minority investments. Adjusted net income was $807 million, or $7.77 diluted earnings per share, as compared with adjusted net income of $296 million, or $2.81 diluted earnings per share, in the prior year.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Highlights of our financial position for the year ended January 29, 2022 include:</w:t>
      </w:r>
    </w:p>
    <w:p>
      <w:pPr>
        <w:spacing w:after="0" w:line="169" w:lineRule="exact"/>
        <w:rPr>
          <w:sz w:val="20"/>
          <w:szCs w:val="20"/>
          <w:color w:val="auto"/>
        </w:rPr>
      </w:pPr>
    </w:p>
    <w:p>
      <w:pPr>
        <w:ind w:left="680" w:right="79" w:hanging="330"/>
        <w:spacing w:after="0" w:line="225"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Our financial performance allowed us to use capital to strengthen our business through the strategic acquisitions of WSS and atmos.</w:t>
      </w:r>
    </w:p>
    <w:p>
      <w:pPr>
        <w:jc w:val="both"/>
        <w:ind w:left="680" w:right="79" w:hanging="330"/>
        <w:spacing w:after="0" w:line="23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We ended the year in a strong financial position. At year end, we had $347 million of cash and cash equivalents, net of debt. Cash and cash equivalents at January 29, 2022 were $804 million. Our ending cash balance declined, in part, due to the $1,056 million paid for the WSS and atmos acquisitions.</w:t>
      </w:r>
    </w:p>
    <w:p>
      <w:pPr>
        <w:ind w:left="680" w:hanging="330"/>
        <w:spacing w:after="0" w:line="234"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Net cash provided by operating activities was $666 million as compared with $1,062 million last year.</w:t>
      </w:r>
    </w:p>
    <w:p>
      <w:pPr>
        <w:ind w:left="680" w:right="79" w:hanging="330"/>
        <w:spacing w:after="0" w:line="225"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During the year we amended our $600 million asset-based revolving credit facility to reduce the interest rate and commitment fees. No amounts were outstanding at January 29, 2022.</w:t>
      </w:r>
    </w:p>
    <w:p>
      <w:pPr>
        <w:ind w:left="680" w:right="79" w:hanging="330"/>
        <w:spacing w:after="0" w:line="225"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In 2021, we completed the sale of $400 million of 4% Senior Notes due 2029 for net proceeds of $395 million and repaid the remaining $98 million of our 8.5% debentures.</w:t>
      </w:r>
    </w:p>
    <w:p>
      <w:pPr>
        <w:jc w:val="both"/>
        <w:ind w:left="680" w:right="79" w:hanging="330"/>
        <w:spacing w:after="0" w:line="227"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Cash capital expenditures during 2021 totaled $209 million and were primarily directed to the remodeling or relocation of 182 stores, the build-out of 57 new stores, and conversion of 63 Footaction stores to other banners, as well as other technology and infrastructure projects.</w:t>
      </w:r>
    </w:p>
    <w:p>
      <w:pPr>
        <w:spacing w:after="0" w:line="1" w:lineRule="exact"/>
        <w:rPr>
          <w:rFonts w:ascii="Arial" w:cs="Arial" w:eastAsia="Arial" w:hAnsi="Arial"/>
          <w:sz w:val="18"/>
          <w:szCs w:val="18"/>
          <w:color w:val="auto"/>
        </w:rPr>
      </w:pPr>
    </w:p>
    <w:p>
      <w:pPr>
        <w:jc w:val="both"/>
        <w:ind w:left="680" w:right="79" w:hanging="330"/>
        <w:spacing w:after="0" w:line="233"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7"/>
          <w:szCs w:val="17"/>
          <w:color w:val="auto"/>
        </w:rPr>
        <w:t>During 2021, we returned $449 million of cash to our shareholders. Dividends totaling $101 million were declared and paid during 2021, and 7,545,544 shares were repurchased under our share repurchase program at a cost of $348 million. In February 2022, our Board of Directors approved a dividend increase to $0.40 per share payable on April 29, 2022, and authorized a new share repurchase program of up to $1.2 billion. These initiatives demonstrate our commitment to delivering meaningful returns to our shareholders.</w:t>
      </w:r>
    </w:p>
    <w:p>
      <w:pPr>
        <w:spacing w:after="0" w:line="200" w:lineRule="exact"/>
        <w:rPr>
          <w:sz w:val="20"/>
          <w:szCs w:val="20"/>
          <w:color w:val="auto"/>
        </w:rPr>
      </w:pPr>
    </w:p>
    <w:p>
      <w:pPr>
        <w:spacing w:after="0" w:line="311"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2021 Form 10-K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u w:val="single" w:color="auto"/>
          <w:color w:val="auto"/>
        </w:rPr>
        <w:t>Sales</w:t>
      </w:r>
    </w:p>
    <w:p>
      <w:pPr>
        <w:spacing w:after="0" w:line="174" w:lineRule="exact"/>
        <w:rPr>
          <w:sz w:val="20"/>
          <w:szCs w:val="20"/>
          <w:color w:val="auto"/>
        </w:rPr>
      </w:pPr>
    </w:p>
    <w:p>
      <w:pPr>
        <w:jc w:val="both"/>
        <w:ind w:right="79"/>
        <w:spacing w:after="0" w:line="235" w:lineRule="auto"/>
        <w:rPr>
          <w:sz w:val="20"/>
          <w:szCs w:val="20"/>
          <w:color w:val="auto"/>
        </w:rPr>
      </w:pPr>
      <w:r>
        <w:rPr>
          <w:rFonts w:ascii="Arial" w:cs="Arial" w:eastAsia="Arial" w:hAnsi="Arial"/>
          <w:sz w:val="17"/>
          <w:szCs w:val="17"/>
          <w:color w:val="auto"/>
        </w:rPr>
        <w:t>All references to comparable-store sales for a given period relate to sales of stores that were open at the period-end and had been open for more than one year. The computation of consolidated comparable sales also includes direct-to-customers sales.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161"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Sales from acquired businesses that include inventory are included in the computation of comparable-store sales after 15 months of operations. Accordingly, sales of WSS and atmos have been excluded from the computation of comparable-store sales.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shown below represents certain sales metrics by sales channel: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2020</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2019</w:t>
            </w:r>
          </w:p>
        </w:tc>
      </w:tr>
      <w:tr>
        <w:trPr>
          <w:trHeight w:val="183"/>
        </w:trPr>
        <w:tc>
          <w:tcPr>
            <w:tcW w:w="35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Stores</w:t>
            </w:r>
          </w:p>
        </w:tc>
        <w:tc>
          <w:tcPr>
            <w:tcW w:w="9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Sales</w:t>
            </w:r>
          </w:p>
        </w:tc>
        <w:tc>
          <w:tcPr>
            <w:tcW w:w="94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7,029</w:t>
            </w:r>
          </w:p>
        </w:tc>
        <w:tc>
          <w:tcPr>
            <w:tcW w:w="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5,447</w:t>
            </w:r>
          </w:p>
        </w:tc>
        <w:tc>
          <w:tcPr>
            <w:tcW w:w="3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32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6,720</w:t>
            </w: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9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1,582</w:t>
            </w:r>
          </w:p>
        </w:tc>
        <w:tc>
          <w:tcPr>
            <w:tcW w:w="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(1,273)</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940" w:type="dxa"/>
            <w:vAlign w:val="bottom"/>
          </w:tcPr>
          <w:p>
            <w:pPr>
              <w:spacing w:after="0"/>
              <w:rPr>
                <w:sz w:val="16"/>
                <w:szCs w:val="16"/>
                <w:color w:val="auto"/>
              </w:rPr>
            </w:pPr>
          </w:p>
        </w:tc>
        <w:tc>
          <w:tcPr>
            <w:tcW w:w="128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29.0</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(18.9)%</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of total sales</w:t>
            </w:r>
          </w:p>
        </w:tc>
        <w:tc>
          <w:tcPr>
            <w:tcW w:w="9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78.5 %</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72.2 %</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83.9 %</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Comparable sales increase/(decrease)</w:t>
            </w:r>
          </w:p>
        </w:tc>
        <w:tc>
          <w:tcPr>
            <w:tcW w:w="9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25.8 %</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(19.3)%</w:t>
            </w:r>
          </w:p>
        </w:tc>
        <w:tc>
          <w:tcPr>
            <w:tcW w:w="340" w:type="dxa"/>
            <w:vAlign w:val="bottom"/>
          </w:tcPr>
          <w:p>
            <w:pPr>
              <w:spacing w:after="0"/>
              <w:rPr>
                <w:sz w:val="16"/>
                <w:szCs w:val="16"/>
                <w:color w:val="auto"/>
              </w:rPr>
            </w:pP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1.6 %</w:t>
            </w:r>
          </w:p>
        </w:tc>
      </w:tr>
      <w:tr>
        <w:trPr>
          <w:trHeight w:val="216"/>
        </w:trPr>
        <w:tc>
          <w:tcPr>
            <w:tcW w:w="3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b w:val="1"/>
                <w:bCs w:val="1"/>
                <w:color w:val="auto"/>
              </w:rPr>
              <w:t>Direct-to-customers</w:t>
            </w:r>
          </w:p>
        </w:tc>
        <w:tc>
          <w:tcPr>
            <w:tcW w:w="9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Sales</w:t>
            </w:r>
          </w:p>
        </w:tc>
        <w:tc>
          <w:tcPr>
            <w:tcW w:w="9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1,929</w:t>
            </w:r>
          </w:p>
        </w:tc>
        <w:tc>
          <w:tcPr>
            <w:tcW w:w="3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2,101</w:t>
            </w:r>
          </w:p>
        </w:tc>
        <w:tc>
          <w:tcPr>
            <w:tcW w:w="34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1,285</w:t>
            </w: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 Change</w:t>
            </w:r>
          </w:p>
        </w:tc>
        <w:tc>
          <w:tcPr>
            <w:tcW w:w="94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(172)</w:t>
            </w:r>
          </w:p>
        </w:tc>
        <w:tc>
          <w:tcPr>
            <w:tcW w:w="3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816</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9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(8.2)%</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63.5 %</w:t>
            </w:r>
          </w:p>
        </w:tc>
        <w:tc>
          <w:tcPr>
            <w:tcW w:w="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3580" w:type="dxa"/>
            <w:vAlign w:val="bottom"/>
          </w:tcPr>
          <w:p>
            <w:pPr>
              <w:spacing w:after="0" w:line="189" w:lineRule="exact"/>
              <w:rPr>
                <w:sz w:val="20"/>
                <w:szCs w:val="20"/>
                <w:color w:val="auto"/>
              </w:rPr>
            </w:pPr>
            <w:r>
              <w:rPr>
                <w:rFonts w:ascii="Arial" w:cs="Arial" w:eastAsia="Arial" w:hAnsi="Arial"/>
                <w:sz w:val="17"/>
                <w:szCs w:val="17"/>
                <w:color w:val="auto"/>
              </w:rPr>
              <w:t>% of total sales</w:t>
            </w:r>
          </w:p>
        </w:tc>
        <w:tc>
          <w:tcPr>
            <w:tcW w:w="94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21.5 %</w:t>
            </w:r>
          </w:p>
        </w:tc>
        <w:tc>
          <w:tcPr>
            <w:tcW w:w="320" w:type="dxa"/>
            <w:vAlign w:val="bottom"/>
          </w:tcPr>
          <w:p>
            <w:pPr>
              <w:spacing w:after="0"/>
              <w:rPr>
                <w:sz w:val="16"/>
                <w:szCs w:val="16"/>
                <w:color w:val="auto"/>
              </w:rPr>
            </w:pPr>
          </w:p>
        </w:tc>
        <w:tc>
          <w:tcPr>
            <w:tcW w:w="1280" w:type="dxa"/>
            <w:vAlign w:val="bottom"/>
          </w:tcPr>
          <w:p>
            <w:pPr>
              <w:jc w:val="right"/>
              <w:spacing w:after="0" w:line="189" w:lineRule="exact"/>
              <w:rPr>
                <w:sz w:val="20"/>
                <w:szCs w:val="20"/>
                <w:color w:val="auto"/>
              </w:rPr>
            </w:pPr>
            <w:r>
              <w:rPr>
                <w:rFonts w:ascii="Arial" w:cs="Arial" w:eastAsia="Arial" w:hAnsi="Arial"/>
                <w:sz w:val="17"/>
                <w:szCs w:val="17"/>
                <w:color w:val="auto"/>
              </w:rPr>
              <w:t>27.8 %</w:t>
            </w:r>
          </w:p>
        </w:tc>
        <w:tc>
          <w:tcPr>
            <w:tcW w:w="340" w:type="dxa"/>
            <w:vAlign w:val="bottom"/>
          </w:tcPr>
          <w:p>
            <w:pPr>
              <w:spacing w:after="0"/>
              <w:rPr>
                <w:sz w:val="16"/>
                <w:szCs w:val="16"/>
                <w:color w:val="auto"/>
              </w:rPr>
            </w:pPr>
          </w:p>
        </w:tc>
        <w:tc>
          <w:tcPr>
            <w:tcW w:w="13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16.1 %</w:t>
            </w:r>
          </w:p>
        </w:tc>
      </w:tr>
      <w:tr>
        <w:trPr>
          <w:trHeight w:val="189"/>
        </w:trPr>
        <w:tc>
          <w:tcPr>
            <w:tcW w:w="35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Comparable sales (decrease)/increase</w:t>
            </w:r>
          </w:p>
        </w:tc>
        <w:tc>
          <w:tcPr>
            <w:tcW w:w="94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(10.6)%</w:t>
            </w:r>
          </w:p>
        </w:tc>
        <w:tc>
          <w:tcPr>
            <w:tcW w:w="3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62.8 %</w:t>
            </w:r>
          </w:p>
        </w:tc>
        <w:tc>
          <w:tcPr>
            <w:tcW w:w="34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5.6 %</w:t>
            </w:r>
          </w:p>
        </w:tc>
      </w:tr>
    </w:tbl>
    <w:p>
      <w:pPr>
        <w:spacing w:after="0" w:line="16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In 2021, sales increased by 18.7% to $8,958 million from sales of $7,548 million in 2020. Excluding the effect of foreign currency fluctuations, sales increased by 17.8% as compared with 2020. Sales from our newly acquired WSS and atmos banners totaled $244 million for 2021 since their respective acquisition dates.</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comparisons to 2020 were significantly affected by the closures necessitated by the COVID-19 pandemic, as most of the stores were closed during the first quarter of 2020 when our stores were only open for 48% of the total available operating days. While our operating days improved overall, there remained geographic differences throughout 2021. Our stores in Canada and Europe were heavily affected in the first quarter and into the second quarter, while Asia Pacific experienced significant closures during the third quarter. During 2021, EMEA and Asia Pacific stores operated 76% of the available days, whereas North America operated 95% of the available days.</w:t>
      </w:r>
    </w:p>
    <w:p>
      <w:pPr>
        <w:spacing w:after="0" w:line="148"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While sales increased significantly compared with 2020, we also exceeded 2019 sales. Excluding the effect of foreign exchange rate fluctuations, sales increased by 10.3%, as compared with 2019 and excluding the sales from acquired businesses, sales increased 7.3% as compared with 2019.</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Comparable sales increased by 15.4% as compared with the prior year, by operating segment the increases were 13.7%, 21.7%, and 21.3% for North America, EMEA, and Asia Pacific, respectively. Our stores channel generated significant increases for both the quarter and year-to-date periods, which was a result of the temporary closure of our stores across all of our banners around the world during the first half of 2020, partially offset by a decline in our direct-to-customer channel as shopping navigated back to physical locations. While our digital penetration declined as compared with 2020, our penetration is higher than our historical levels. We continue to leverage our technology platforms to improve the digital experience for our customers. Our significant improvement also reflected increased consumer demand for exciting and new product offerings and the effect of government stimulus.</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For the combined channels, sales excluding foreign currency fluctuations increased in all operating segments. North America increased by 15.8%, EMEA increased by 19.9%, and Asia Pacific increased by 51.9%, as compared with 2020. Our North American operating segment’s sales, while strong, were negatively affected by our decision to wind down our Footaction banner in 2021. Sales growth in North America was led by Foot Locker, Champs Sports, and Kids Foot Locker. WSS contributed sales of $195 million. Within EMEA, sales for the Foot Locker banner increased, partially offset by a decline due to the Runners Point shutdown. Sidestep’s sales increased slightly as pressure from the COVID-19 closures was less significant and aided by growth in e-commerce sales.</w:t>
      </w:r>
    </w:p>
    <w:p>
      <w:pPr>
        <w:spacing w:after="0" w:line="15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31" w:right="1440" w:bottom="1440" w:gutter="0" w:footer="0" w:header="0"/>
        </w:sectPr>
      </w:pPr>
    </w:p>
    <w:bookmarkStart w:id="28" w:name="page29"/>
    <w:bookmarkEnd w:id="28"/>
    <w:p>
      <w:pPr>
        <w:jc w:val="both"/>
        <w:ind w:right="59"/>
        <w:spacing w:after="0" w:line="236" w:lineRule="auto"/>
        <w:rPr>
          <w:sz w:val="20"/>
          <w:szCs w:val="20"/>
          <w:color w:val="auto"/>
        </w:rPr>
      </w:pPr>
      <w:r>
        <w:rPr>
          <w:rFonts w:ascii="Arial" w:cs="Arial" w:eastAsia="Arial" w:hAnsi="Arial"/>
          <w:sz w:val="17"/>
          <w:szCs w:val="17"/>
          <w:color w:val="auto"/>
        </w:rPr>
        <w:t>Asia Pacific generated a significant increase in 2021 from strong performance in both Australia and New Zealand, coupled with growth in Asia, based on expansion in that region including the acquisition of atmos during the fourth quarter. Our e-commerce growth in this region was significant, partially as a result of atmos’ business which has a high digital penetration.</w:t>
      </w:r>
    </w:p>
    <w:p>
      <w:pPr>
        <w:spacing w:after="0" w:line="14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From a product perspective for the combined channels, the sales increase in 2021 was across all families of business - footwear, apparel, and accessories. Footwear sales benefited from increases in sales across all wearer segments, led by kids and women’s shoes. Similarly, apparel sales increased across the board, with men’s and kids’ apparel sales driving the most significant gains. The continued athleisure and fitness trend, coupled with exciting product offerings, drove the significant increase in apparel sales as compared with last year.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gridSpan w:val="2"/>
          </w:tcPr>
          <w:p>
            <w:pPr>
              <w:spacing w:after="0"/>
              <w:rPr>
                <w:sz w:val="20"/>
                <w:szCs w:val="20"/>
                <w:color w:val="auto"/>
              </w:rPr>
            </w:pPr>
            <w:r>
              <w:rPr>
                <w:rFonts w:ascii="Arial" w:cs="Arial" w:eastAsia="Arial" w:hAnsi="Arial"/>
                <w:sz w:val="17"/>
                <w:szCs w:val="17"/>
                <w:i w:val="1"/>
                <w:iCs w:val="1"/>
                <w:color w:val="auto"/>
              </w:rPr>
              <w:t>Gross Margin</w:t>
            </w:r>
          </w:p>
        </w:tc>
        <w:tc>
          <w:tcPr>
            <w:tcW w:w="1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02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8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Gross margin rate</w:t>
            </w:r>
          </w:p>
        </w:tc>
        <w:tc>
          <w:tcPr>
            <w:tcW w:w="1460" w:type="dxa"/>
            <w:vAlign w:val="bottom"/>
            <w:shd w:val="clear" w:color="auto" w:fill="CCEEFF"/>
          </w:tcPr>
          <w:p>
            <w:pPr>
              <w:jc w:val="right"/>
              <w:ind w:right="815"/>
              <w:spacing w:after="0" w:line="183" w:lineRule="exact"/>
              <w:rPr>
                <w:sz w:val="20"/>
                <w:szCs w:val="20"/>
                <w:color w:val="auto"/>
              </w:rPr>
            </w:pPr>
            <w:r>
              <w:rPr>
                <w:rFonts w:ascii="Arial" w:cs="Arial" w:eastAsia="Arial" w:hAnsi="Arial"/>
                <w:sz w:val="17"/>
                <w:szCs w:val="17"/>
                <w:b w:val="1"/>
                <w:bCs w:val="1"/>
                <w:color w:val="auto"/>
              </w:rPr>
              <w:t>34.4 %</w:t>
            </w:r>
          </w:p>
        </w:tc>
        <w:tc>
          <w:tcPr>
            <w:tcW w:w="82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28.9 %</w:t>
            </w:r>
          </w:p>
        </w:tc>
        <w:tc>
          <w:tcPr>
            <w:tcW w:w="13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31.8 %</w:t>
            </w:r>
          </w:p>
        </w:tc>
        <w:tc>
          <w:tcPr>
            <w:tcW w:w="0" w:type="dxa"/>
            <w:vAlign w:val="bottom"/>
          </w:tcPr>
          <w:p>
            <w:pPr>
              <w:spacing w:after="0"/>
              <w:rPr>
                <w:sz w:val="1"/>
                <w:szCs w:val="1"/>
                <w:color w:val="auto"/>
              </w:rPr>
            </w:pPr>
          </w:p>
        </w:tc>
      </w:tr>
      <w:tr>
        <w:trPr>
          <w:trHeight w:val="189"/>
        </w:trPr>
        <w:tc>
          <w:tcPr>
            <w:tcW w:w="5480" w:type="dxa"/>
            <w:vAlign w:val="bottom"/>
            <w:gridSpan w:val="2"/>
          </w:tcPr>
          <w:p>
            <w:pPr>
              <w:spacing w:after="0" w:line="189" w:lineRule="exact"/>
              <w:rPr>
                <w:sz w:val="20"/>
                <w:szCs w:val="20"/>
                <w:color w:val="auto"/>
              </w:rPr>
            </w:pPr>
            <w:r>
              <w:rPr>
                <w:rFonts w:ascii="Arial" w:cs="Arial" w:eastAsia="Arial" w:hAnsi="Arial"/>
                <w:sz w:val="17"/>
                <w:szCs w:val="17"/>
                <w:color w:val="auto"/>
              </w:rPr>
              <w:t>Basis point increase/(decrease) in the gross margin rate</w:t>
            </w:r>
          </w:p>
        </w:tc>
        <w:tc>
          <w:tcPr>
            <w:tcW w:w="146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550</w:t>
            </w:r>
          </w:p>
        </w:tc>
        <w:tc>
          <w:tcPr>
            <w:tcW w:w="820" w:type="dxa"/>
            <w:vAlign w:val="bottom"/>
          </w:tcPr>
          <w:p>
            <w:pPr>
              <w:jc w:val="right"/>
              <w:ind w:right="335"/>
              <w:spacing w:after="0" w:line="189" w:lineRule="exact"/>
              <w:rPr>
                <w:sz w:val="20"/>
                <w:szCs w:val="20"/>
                <w:color w:val="auto"/>
              </w:rPr>
            </w:pPr>
            <w:r>
              <w:rPr>
                <w:rFonts w:ascii="Arial" w:cs="Arial" w:eastAsia="Arial" w:hAnsi="Arial"/>
                <w:sz w:val="17"/>
                <w:szCs w:val="17"/>
                <w:color w:val="auto"/>
                <w:w w:val="95"/>
              </w:rPr>
              <w:t>(290)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Components of the change:</w:t>
            </w:r>
          </w:p>
        </w:tc>
        <w:tc>
          <w:tcPr>
            <w:tcW w:w="1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Merchandise margin rate improvement/(decline)</w:t>
            </w:r>
          </w:p>
        </w:tc>
        <w:tc>
          <w:tcPr>
            <w:tcW w:w="1460" w:type="dxa"/>
            <w:vAlign w:val="bottom"/>
          </w:tcPr>
          <w:p>
            <w:pPr>
              <w:jc w:val="right"/>
              <w:ind w:right="1015"/>
              <w:spacing w:after="0" w:line="189" w:lineRule="exact"/>
              <w:rPr>
                <w:sz w:val="20"/>
                <w:szCs w:val="20"/>
                <w:color w:val="auto"/>
              </w:rPr>
            </w:pPr>
            <w:r>
              <w:rPr>
                <w:rFonts w:ascii="Arial" w:cs="Arial" w:eastAsia="Arial" w:hAnsi="Arial"/>
                <w:sz w:val="17"/>
                <w:szCs w:val="17"/>
                <w:b w:val="1"/>
                <w:bCs w:val="1"/>
                <w:color w:val="auto"/>
              </w:rPr>
              <w:t>450</w:t>
            </w:r>
          </w:p>
        </w:tc>
        <w:tc>
          <w:tcPr>
            <w:tcW w:w="820" w:type="dxa"/>
            <w:vAlign w:val="bottom"/>
          </w:tcPr>
          <w:p>
            <w:pPr>
              <w:jc w:val="right"/>
              <w:ind w:right="335"/>
              <w:spacing w:after="0" w:line="189" w:lineRule="exact"/>
              <w:rPr>
                <w:sz w:val="20"/>
                <w:szCs w:val="20"/>
                <w:color w:val="auto"/>
              </w:rPr>
            </w:pPr>
            <w:r>
              <w:rPr>
                <w:rFonts w:ascii="Arial" w:cs="Arial" w:eastAsia="Arial" w:hAnsi="Arial"/>
                <w:sz w:val="17"/>
                <w:szCs w:val="17"/>
                <w:color w:val="auto"/>
                <w:w w:val="95"/>
              </w:rPr>
              <w:t>(340)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gridSpan w:val="2"/>
            <w:shd w:val="clear" w:color="auto" w:fill="CCEEFF"/>
          </w:tcPr>
          <w:p>
            <w:pPr>
              <w:ind w:left="220"/>
              <w:spacing w:after="0" w:line="183" w:lineRule="exact"/>
              <w:rPr>
                <w:sz w:val="20"/>
                <w:szCs w:val="20"/>
                <w:color w:val="auto"/>
              </w:rPr>
            </w:pPr>
            <w:r>
              <w:rPr>
                <w:rFonts w:ascii="Arial" w:cs="Arial" w:eastAsia="Arial" w:hAnsi="Arial"/>
                <w:sz w:val="17"/>
                <w:szCs w:val="17"/>
                <w:color w:val="auto"/>
              </w:rPr>
              <w:t>Lower occupancy and buyers’ compensation expense</w:t>
            </w:r>
          </w:p>
        </w:tc>
        <w:tc>
          <w:tcPr>
            <w:tcW w:w="1460" w:type="dxa"/>
            <w:vAlign w:val="bottom"/>
            <w:vMerge w:val="restart"/>
            <w:shd w:val="clear" w:color="auto" w:fill="CCEEFF"/>
          </w:tcPr>
          <w:p>
            <w:pPr>
              <w:jc w:val="right"/>
              <w:ind w:right="1015"/>
              <w:spacing w:after="0"/>
              <w:rPr>
                <w:sz w:val="20"/>
                <w:szCs w:val="20"/>
                <w:color w:val="auto"/>
              </w:rPr>
            </w:pPr>
            <w:r>
              <w:rPr>
                <w:rFonts w:ascii="Arial" w:cs="Arial" w:eastAsia="Arial" w:hAnsi="Arial"/>
                <w:sz w:val="17"/>
                <w:szCs w:val="17"/>
                <w:b w:val="1"/>
                <w:bCs w:val="1"/>
                <w:color w:val="auto"/>
              </w:rPr>
              <w:t>100</w:t>
            </w:r>
          </w:p>
        </w:tc>
        <w:tc>
          <w:tcPr>
            <w:tcW w:w="8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48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7"/>
                <w:szCs w:val="17"/>
                <w:color w:val="auto"/>
              </w:rPr>
              <w:t>rate</w:t>
            </w:r>
          </w:p>
        </w:tc>
        <w:tc>
          <w:tcPr>
            <w:tcW w:w="14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50</w:t>
            </w:r>
          </w:p>
        </w:tc>
        <w:tc>
          <w:tcPr>
            <w:tcW w:w="1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4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gross margin rate increased in 2021 by 550 basis points as compared to the prior year, reflecting a higher merchandise margin rate since we were significantly less promotional than a year ago, due to increased demand and relatively short supply of certain merchandise.</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occupancy rates in 2021 and 2020 were affected by COVID-19 related rent abatements. Upon agreement with our landlord partners, we secured $16 million of rent savings due to rent abatements in 2021, as compared with $67 million in the prior year. We record rent abatements in occupancy expense when the negotiations are completed and the leases are modified. Excluding the rent savings, occupancy and buyers’ compensation expense rate would have been lower in the current year due to the strong sales.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40" w:type="dxa"/>
            <w:vAlign w:val="bottom"/>
            <w:gridSpan w:val="2"/>
          </w:tcPr>
          <w:p>
            <w:pPr>
              <w:spacing w:after="0"/>
              <w:rPr>
                <w:sz w:val="20"/>
                <w:szCs w:val="20"/>
                <w:color w:val="auto"/>
              </w:rPr>
            </w:pPr>
            <w:r>
              <w:rPr>
                <w:rFonts w:ascii="Arial" w:cs="Arial" w:eastAsia="Arial" w:hAnsi="Arial"/>
                <w:sz w:val="17"/>
                <w:szCs w:val="17"/>
                <w:i w:val="1"/>
                <w:iCs w:val="1"/>
                <w:color w:val="auto"/>
              </w:rPr>
              <w:t>Selling, General and Administrative Expenses (SG&amp;A)</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5"/>
        </w:trPr>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2019</w:t>
            </w:r>
          </w:p>
        </w:tc>
      </w:tr>
      <w:tr>
        <w:trPr>
          <w:trHeight w:val="183"/>
        </w:trPr>
        <w:tc>
          <w:tcPr>
            <w:tcW w:w="41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SG&amp;A</w:t>
            </w:r>
          </w:p>
        </w:tc>
        <w:tc>
          <w:tcPr>
            <w:tcW w:w="920" w:type="dxa"/>
            <w:vAlign w:val="bottom"/>
            <w:shd w:val="clear" w:color="auto" w:fill="CCEEFF"/>
          </w:tcPr>
          <w:p>
            <w:pPr>
              <w:jc w:val="right"/>
              <w:ind w:right="695"/>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w w:val="98"/>
              </w:rPr>
              <w:t>1,851</w:t>
            </w:r>
          </w:p>
        </w:tc>
        <w:tc>
          <w:tcPr>
            <w:tcW w:w="94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98"/>
              </w:rPr>
              <w:t>1,587</w:t>
            </w:r>
          </w:p>
        </w:tc>
        <w:tc>
          <w:tcPr>
            <w:tcW w:w="3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1,650</w:t>
            </w:r>
          </w:p>
        </w:tc>
      </w:tr>
      <w:tr>
        <w:trPr>
          <w:trHeight w:val="189"/>
        </w:trPr>
        <w:tc>
          <w:tcPr>
            <w:tcW w:w="4140" w:type="dxa"/>
            <w:vAlign w:val="bottom"/>
            <w:gridSpan w:val="2"/>
          </w:tcPr>
          <w:p>
            <w:pPr>
              <w:spacing w:after="0" w:line="189" w:lineRule="exact"/>
              <w:rPr>
                <w:sz w:val="20"/>
                <w:szCs w:val="20"/>
                <w:color w:val="auto"/>
              </w:rPr>
            </w:pPr>
            <w:r>
              <w:rPr>
                <w:rFonts w:ascii="Arial" w:cs="Arial" w:eastAsia="Arial" w:hAnsi="Arial"/>
                <w:sz w:val="17"/>
                <w:szCs w:val="17"/>
                <w:color w:val="auto"/>
              </w:rPr>
              <w:t>$ Change</w:t>
            </w:r>
          </w:p>
        </w:tc>
        <w:tc>
          <w:tcPr>
            <w:tcW w:w="920" w:type="dxa"/>
            <w:vAlign w:val="bottom"/>
          </w:tcPr>
          <w:p>
            <w:pPr>
              <w:jc w:val="right"/>
              <w:ind w:right="69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264</w:t>
            </w:r>
          </w:p>
        </w:tc>
        <w:tc>
          <w:tcPr>
            <w:tcW w:w="9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(63)</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9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16.6 %</w:t>
            </w: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w:t>
            </w:r>
          </w:p>
        </w:tc>
        <w:tc>
          <w:tcPr>
            <w:tcW w:w="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9"/>
        </w:trPr>
        <w:tc>
          <w:tcPr>
            <w:tcW w:w="41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SG&amp;A as a percentage of sales</w:t>
            </w: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20.7 %</w:t>
            </w:r>
          </w:p>
        </w:tc>
        <w:tc>
          <w:tcPr>
            <w:tcW w:w="9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21.0 %</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20.6 %</w:t>
            </w:r>
          </w:p>
        </w:tc>
      </w:tr>
    </w:tbl>
    <w:p>
      <w:pPr>
        <w:spacing w:after="0" w:line="15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SG&amp;A increased by $264 million, or 16.6%, in 2021, as compared with the prior year. As a percentage of sales, the SG&amp;A rate decreased by 30 basis points as compared with 2020. Excluding the effect of foreign currency fluctuations, SG&amp;A increased by $247 million, or 15.6%, as compared with the prior year. WSS, which was acquired in mid-September 2021, and atmos, acquired at the beginning of the fourth quarter, contributed $54 million to SG&amp;A.</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SG&amp;A, as a percentage of sales, was affected by the higher sales in the current year and the effect of prior-year COVID-19 related matters. SG&amp;A in 2021 and 2020 included payroll subsidies from local governments of $16 million and $71 million, respectively. The higher prior year amounts related to the fact that we continued to pay our employees throughout most of the first quarter of 2020 despite the temporary store closures. In 2021, personal protective equipment expense decreased by $8 million, as compared with the prior year.</w:t>
      </w:r>
    </w:p>
    <w:p>
      <w:pPr>
        <w:spacing w:after="0" w:line="163"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Incentive compensation expense increased by $14 million in 2021, as compared with the prior year, as we outperformed the targeted results in 2021.</w:t>
      </w:r>
    </w:p>
    <w:p>
      <w:pPr>
        <w:spacing w:after="0" w:line="144"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Excluding the above-mentioned items and the effect of foreign currency fluctuations, SG&amp;A increased primarily representing variable expenses associated with higher sales.</w:t>
      </w:r>
    </w:p>
    <w:p>
      <w:pPr>
        <w:spacing w:after="0" w:line="158"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3240" w:type="dxa"/>
            <w:vAlign w:val="bottom"/>
            <w:gridSpan w:val="2"/>
          </w:tcPr>
          <w:p>
            <w:pPr>
              <w:spacing w:after="0"/>
              <w:rPr>
                <w:sz w:val="20"/>
                <w:szCs w:val="20"/>
                <w:color w:val="auto"/>
              </w:rPr>
            </w:pPr>
            <w:r>
              <w:rPr>
                <w:rFonts w:ascii="Arial" w:cs="Arial" w:eastAsia="Arial" w:hAnsi="Arial"/>
                <w:sz w:val="17"/>
                <w:szCs w:val="17"/>
                <w:i w:val="1"/>
                <w:iCs w:val="1"/>
                <w:color w:val="auto"/>
              </w:rPr>
              <w:t>Depreciation and Amortization</w:t>
            </w:r>
          </w:p>
        </w:tc>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72"/>
        </w:trPr>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color w:val="auto"/>
              </w:rPr>
              <w:t>2019</w:t>
            </w:r>
          </w:p>
        </w:tc>
      </w:tr>
      <w:tr>
        <w:trPr>
          <w:trHeight w:val="183"/>
        </w:trPr>
        <w:tc>
          <w:tcPr>
            <w:tcW w:w="32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Depreciation and amortization</w:t>
            </w:r>
          </w:p>
        </w:tc>
        <w:tc>
          <w:tcPr>
            <w:tcW w:w="188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197</w:t>
            </w:r>
          </w:p>
        </w:tc>
        <w:tc>
          <w:tcPr>
            <w:tcW w:w="100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176</w:t>
            </w:r>
          </w:p>
        </w:tc>
        <w:tc>
          <w:tcPr>
            <w:tcW w:w="3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235"/>
              <w:spacing w:after="0" w:line="183" w:lineRule="exact"/>
              <w:rPr>
                <w:sz w:val="20"/>
                <w:szCs w:val="20"/>
                <w:color w:val="auto"/>
              </w:rPr>
            </w:pPr>
            <w:r>
              <w:rPr>
                <w:rFonts w:ascii="Arial" w:cs="Arial" w:eastAsia="Arial" w:hAnsi="Arial"/>
                <w:sz w:val="17"/>
                <w:szCs w:val="17"/>
                <w:color w:val="auto"/>
              </w:rPr>
              <w:t>179</w:t>
            </w:r>
          </w:p>
        </w:tc>
      </w:tr>
      <w:tr>
        <w:trPr>
          <w:trHeight w:val="189"/>
        </w:trPr>
        <w:tc>
          <w:tcPr>
            <w:tcW w:w="3240" w:type="dxa"/>
            <w:vAlign w:val="bottom"/>
            <w:gridSpan w:val="2"/>
          </w:tcPr>
          <w:p>
            <w:pPr>
              <w:spacing w:after="0" w:line="189" w:lineRule="exact"/>
              <w:rPr>
                <w:sz w:val="20"/>
                <w:szCs w:val="20"/>
                <w:color w:val="auto"/>
              </w:rPr>
            </w:pPr>
            <w:r>
              <w:rPr>
                <w:rFonts w:ascii="Arial" w:cs="Arial" w:eastAsia="Arial" w:hAnsi="Arial"/>
                <w:sz w:val="17"/>
                <w:szCs w:val="17"/>
                <w:color w:val="auto"/>
              </w:rPr>
              <w:t>$ Change</w:t>
            </w:r>
          </w:p>
        </w:tc>
        <w:tc>
          <w:tcPr>
            <w:tcW w:w="1880" w:type="dxa"/>
            <w:vAlign w:val="bottom"/>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640" w:type="dxa"/>
            <w:vAlign w:val="bottom"/>
          </w:tcPr>
          <w:p>
            <w:pPr>
              <w:jc w:val="right"/>
              <w:ind w:right="175"/>
              <w:spacing w:after="0" w:line="189" w:lineRule="exact"/>
              <w:rPr>
                <w:sz w:val="20"/>
                <w:szCs w:val="20"/>
                <w:color w:val="auto"/>
              </w:rPr>
            </w:pPr>
            <w:r>
              <w:rPr>
                <w:rFonts w:ascii="Arial" w:cs="Arial" w:eastAsia="Arial" w:hAnsi="Arial"/>
                <w:sz w:val="17"/>
                <w:szCs w:val="17"/>
                <w:b w:val="1"/>
                <w:bCs w:val="1"/>
                <w:color w:val="auto"/>
              </w:rPr>
              <w:t>21</w:t>
            </w:r>
          </w:p>
        </w:tc>
        <w:tc>
          <w:tcPr>
            <w:tcW w:w="1000" w:type="dxa"/>
            <w:vAlign w:val="bottom"/>
          </w:tcPr>
          <w:p>
            <w:pPr>
              <w:jc w:val="right"/>
              <w:ind w:right="775"/>
              <w:spacing w:after="0" w:line="189" w:lineRule="exact"/>
              <w:rPr>
                <w:sz w:val="20"/>
                <w:szCs w:val="20"/>
                <w:color w:val="auto"/>
              </w:rPr>
            </w:pPr>
            <w:r>
              <w:rPr>
                <w:rFonts w:ascii="Arial" w:cs="Arial" w:eastAsia="Arial" w:hAnsi="Arial"/>
                <w:sz w:val="17"/>
                <w:szCs w:val="17"/>
                <w:color w:val="auto"/>
              </w:rPr>
              <w:t>$</w:t>
            </w:r>
          </w:p>
        </w:tc>
        <w:tc>
          <w:tcPr>
            <w:tcW w:w="6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(3)</w:t>
            </w: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324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 Change</w:t>
            </w:r>
          </w:p>
        </w:tc>
        <w:tc>
          <w:tcPr>
            <w:tcW w:w="18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11.9 %</w:t>
            </w:r>
          </w:p>
        </w:tc>
        <w:tc>
          <w:tcPr>
            <w:tcW w:w="10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3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spacing w:after="0"/>
              <w:rPr>
                <w:sz w:val="16"/>
                <w:szCs w:val="16"/>
                <w:color w:val="auto"/>
              </w:rPr>
            </w:pP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Depreciation and amortization increased by $21 million and excluding the effect of foreign currency fluctuations, depreciation and amortization increased by $20 million as compared with the prior year. The increase was related to the additions of WSS and atmos which contributed $11 million, as well as acceleration of depreciation and amortization associated with the Footaction closures.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Operating Results</w:t>
      </w:r>
    </w:p>
    <w:p>
      <w:pPr>
        <w:spacing w:after="0" w:line="228"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Division profit was $1,161 million, or 13.0% of sales in 2021. This compares with $491 million, or 6.5% of sales, for the prior year. The significant increase in sales, due primarily to store closures in the prior year, resulted in expense leverage and coupled with gross margin improvement generated a meaningful increase in our results. The division profit results from our recent acquisitions were accretive but not significant to the overall results.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Impairment and Other Charges</w:t>
      </w:r>
    </w:p>
    <w:p>
      <w:pPr>
        <w:spacing w:after="0" w:line="18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During the second quarter of 2021, we conducted an impairment review of Footaction stores as a result of our decision to convert part of the stores to other existing banner concepts and close the remaining stores. We evaluated the long-lived assets, including the right-of-use assets and recorded non-cash charges to write down store fixtures, leasehold improvements, and right-of-use assets for approximately 60 locations, and accelerated tenancy charges for leases we expect to terminate prior to the end of the lease term. In connection with this, we recorded charges totaling $66 million. During the fourth quarter of 2021, we conducted an impairment review for approximately 100 underperforming stores. We evaluated the long-lived assets, including the right-of-use assets and recorded non-cash charges of $26 million to write down store fixtures, leasehold improvements, and right-of-use assets for approximately 55 of these stores.</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During 2021, we recorded non-cash charges of $42 million related to the write-down of certain minority investments representing full write downs on three of the Company’s minority investments due to the investee’s continued losses and updated estimate of value.</w:t>
      </w:r>
    </w:p>
    <w:p>
      <w:pPr>
        <w:spacing w:after="0" w:line="147"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In connection with the acquisitions, we recorded acquisition and integration costs of $24 million, which primarily represented investment banking and integration consulting fees related to the WSS and atmos acquisitions.</w:t>
      </w:r>
    </w:p>
    <w:p>
      <w:pPr>
        <w:spacing w:after="0" w:line="158"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In 2021, we recorded $15 million of lease termination costs related to the closure of certain stores. We also recorded $4 million of reorganization expense related to Footaction and certain support functions, as well as $2 million of intangible asset impairment on the Footaction tradename.</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Losses related to social unrest represented inventory losses, damages to store property, repairs, and other costs incurred in connection with the riots that affected certain parts of the United States and Canada during the second quarter of 2020. In addition to the $10 million of insurance settlement income we recorded in 2020, in 2021, we reached a final insurance settlement for an additional $13 million, of which $7 million is classified in impairment and other charges, as it relates to the book value of property losses recorded in 2020.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4, </w:t>
      </w:r>
      <w:r>
        <w:rPr>
          <w:rFonts w:ascii="Arial" w:cs="Arial" w:eastAsia="Arial" w:hAnsi="Arial"/>
          <w:sz w:val="17"/>
          <w:szCs w:val="17"/>
          <w:i w:val="1"/>
          <w:iCs w:val="1"/>
          <w:color w:val="auto"/>
        </w:rPr>
        <w:t>Impairment and Other Charges</w:t>
      </w:r>
      <w:r>
        <w:rPr>
          <w:rFonts w:ascii="Arial" w:cs="Arial" w:eastAsia="Arial" w:hAnsi="Arial"/>
          <w:sz w:val="17"/>
          <w:szCs w:val="17"/>
          <w:color w:val="auto"/>
        </w:rPr>
        <w:t xml:space="preserve"> for additional information.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Corporate Expense</w:t>
            </w:r>
          </w:p>
        </w:tc>
        <w:tc>
          <w:tcPr>
            <w:tcW w:w="13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5"/>
        </w:trPr>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2020</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2019</w:t>
            </w:r>
          </w:p>
        </w:tc>
      </w:tr>
      <w:tr>
        <w:trPr>
          <w:trHeight w:val="183"/>
        </w:trPr>
        <w:tc>
          <w:tcPr>
            <w:tcW w:w="28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Corporate expense</w:t>
            </w:r>
          </w:p>
        </w:tc>
        <w:tc>
          <w:tcPr>
            <w:tcW w:w="232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129</w:t>
            </w:r>
          </w:p>
        </w:tc>
        <w:tc>
          <w:tcPr>
            <w:tcW w:w="1160" w:type="dxa"/>
            <w:vAlign w:val="bottom"/>
            <w:shd w:val="clear" w:color="auto" w:fill="CCEEFF"/>
          </w:tcPr>
          <w:p>
            <w:pPr>
              <w:jc w:val="right"/>
              <w:ind w:right="815"/>
              <w:spacing w:after="0" w:line="183"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71</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74</w:t>
            </w:r>
          </w:p>
        </w:tc>
      </w:tr>
      <w:tr>
        <w:trPr>
          <w:trHeight w:val="189"/>
        </w:trPr>
        <w:tc>
          <w:tcPr>
            <w:tcW w:w="284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2320" w:type="dxa"/>
            <w:vAlign w:val="bottom"/>
            <w:tcBorders>
              <w:bottom w:val="single" w:sz="8" w:color="auto"/>
            </w:tcBorders>
          </w:tcPr>
          <w:p>
            <w:pPr>
              <w:jc w:val="right"/>
              <w:ind w:right="775"/>
              <w:spacing w:after="0" w:line="18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58</w:t>
            </w:r>
          </w:p>
        </w:tc>
        <w:tc>
          <w:tcPr>
            <w:tcW w:w="1160" w:type="dxa"/>
            <w:vAlign w:val="bottom"/>
            <w:tcBorders>
              <w:bottom w:val="single" w:sz="8" w:color="auto"/>
            </w:tcBorders>
          </w:tcPr>
          <w:p>
            <w:pPr>
              <w:jc w:val="right"/>
              <w:ind w:right="815"/>
              <w:spacing w:after="0" w:line="189" w:lineRule="exact"/>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156"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$34 million, $24 million, and $19 million in 2021, 2020, and 2019, respectively.</w:t>
      </w:r>
    </w:p>
    <w:p>
      <w:pPr>
        <w:spacing w:after="0" w:line="16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2" w:right="1440" w:bottom="1440" w:gutter="0" w:footer="0" w:header="0"/>
        </w:sectPr>
      </w:pPr>
    </w:p>
    <w:bookmarkStart w:id="30" w:name="page31"/>
    <w:bookmarkEnd w:id="30"/>
    <w:p>
      <w:pPr>
        <w:jc w:val="both"/>
        <w:ind w:right="59"/>
        <w:spacing w:after="0" w:line="236" w:lineRule="auto"/>
        <w:rPr>
          <w:sz w:val="20"/>
          <w:szCs w:val="20"/>
          <w:color w:val="auto"/>
        </w:rPr>
      </w:pPr>
      <w:r>
        <w:rPr>
          <w:rFonts w:ascii="Arial" w:cs="Arial" w:eastAsia="Arial" w:hAnsi="Arial"/>
          <w:sz w:val="17"/>
          <w:szCs w:val="17"/>
          <w:color w:val="auto"/>
        </w:rPr>
        <w:t>The allocation of corporate expense to the operating divisions is adjusted annually based upon an internal study; accordingly, the allocation increased by $19 million in 2021, thus reducing corporate expense. Excluding the corporate allocation change, corporate expense increased by $77 million as compared with 2020. The increase was primarily due to higher information technology and support expenses coupled with higher incentive compensation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7"/>
                <w:szCs w:val="17"/>
                <w:i w:val="1"/>
                <w:iCs w:val="1"/>
                <w:color w:val="auto"/>
                <w:w w:val="99"/>
              </w:rPr>
              <w:t>Interest (Expense) Income, net</w:t>
            </w:r>
          </w:p>
        </w:tc>
        <w:tc>
          <w:tcPr>
            <w:tcW w:w="1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5"/>
        </w:trPr>
        <w:tc>
          <w:tcPr>
            <w:tcW w:w="3940" w:type="dxa"/>
            <w:vAlign w:val="bottom"/>
            <w:gridSpan w:val="3"/>
          </w:tcPr>
          <w:p>
            <w:pPr>
              <w:spacing w:after="0"/>
              <w:rPr>
                <w:sz w:val="20"/>
                <w:szCs w:val="20"/>
                <w:color w:val="auto"/>
              </w:rPr>
            </w:pPr>
            <w:r>
              <w:rPr>
                <w:rFonts w:ascii="Arial" w:cs="Arial" w:eastAsia="Arial" w:hAnsi="Arial"/>
                <w:sz w:val="17"/>
                <w:szCs w:val="17"/>
                <w:color w:val="auto"/>
              </w:rPr>
              <w:t>($ in millions)</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Pr>
          <w:p>
            <w:pPr>
              <w:spacing w:after="0"/>
              <w:rPr>
                <w:sz w:val="24"/>
                <w:szCs w:val="24"/>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2020</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655"/>
              <w:spacing w:after="0"/>
              <w:rPr>
                <w:sz w:val="20"/>
                <w:szCs w:val="20"/>
                <w:color w:val="auto"/>
              </w:rPr>
            </w:pPr>
            <w:r>
              <w:rPr>
                <w:rFonts w:ascii="Arial" w:cs="Arial" w:eastAsia="Arial" w:hAnsi="Arial"/>
                <w:sz w:val="17"/>
                <w:szCs w:val="17"/>
                <w:color w:val="auto"/>
              </w:rPr>
              <w:t>2019</w:t>
            </w:r>
          </w:p>
        </w:tc>
      </w:tr>
      <w:tr>
        <w:trPr>
          <w:trHeight w:val="183"/>
        </w:trPr>
        <w:tc>
          <w:tcPr>
            <w:tcW w:w="20" w:type="dxa"/>
            <w:vAlign w:val="bottom"/>
          </w:tcPr>
          <w:p>
            <w:pPr>
              <w:spacing w:after="0"/>
              <w:rPr>
                <w:sz w:val="15"/>
                <w:szCs w:val="15"/>
                <w:color w:val="auto"/>
              </w:rPr>
            </w:pPr>
          </w:p>
        </w:tc>
        <w:tc>
          <w:tcPr>
            <w:tcW w:w="39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Interest expense</w:t>
            </w:r>
          </w:p>
        </w:tc>
        <w:tc>
          <w:tcPr>
            <w:tcW w:w="1300" w:type="dxa"/>
            <w:vAlign w:val="bottom"/>
            <w:tcBorders>
              <w:top w:val="single" w:sz="8" w:color="auto"/>
            </w:tcBorders>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(17)</w:t>
            </w:r>
          </w:p>
        </w:tc>
        <w:tc>
          <w:tcPr>
            <w:tcW w:w="1000" w:type="dxa"/>
            <w:vAlign w:val="bottom"/>
            <w:tcBorders>
              <w:top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(13)</w:t>
            </w:r>
          </w:p>
        </w:tc>
        <w:tc>
          <w:tcPr>
            <w:tcW w:w="36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(10)</w:t>
            </w:r>
          </w:p>
        </w:tc>
      </w:tr>
      <w:tr>
        <w:trPr>
          <w:trHeight w:val="189"/>
        </w:trPr>
        <w:tc>
          <w:tcPr>
            <w:tcW w:w="20" w:type="dxa"/>
            <w:vAlign w:val="bottom"/>
          </w:tcPr>
          <w:p>
            <w:pPr>
              <w:spacing w:after="0"/>
              <w:rPr>
                <w:sz w:val="16"/>
                <w:szCs w:val="16"/>
                <w:color w:val="auto"/>
              </w:rPr>
            </w:pPr>
          </w:p>
        </w:tc>
        <w:tc>
          <w:tcPr>
            <w:tcW w:w="39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Interest income</w:t>
            </w:r>
          </w:p>
        </w:tc>
        <w:tc>
          <w:tcPr>
            <w:tcW w:w="13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3</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6</w:t>
            </w: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21</w:t>
            </w:r>
          </w:p>
        </w:tc>
      </w:tr>
      <w:tr>
        <w:trPr>
          <w:trHeight w:val="183"/>
        </w:trPr>
        <w:tc>
          <w:tcPr>
            <w:tcW w:w="20" w:type="dxa"/>
            <w:vAlign w:val="bottom"/>
          </w:tcPr>
          <w:p>
            <w:pPr>
              <w:spacing w:after="0"/>
              <w:rPr>
                <w:sz w:val="15"/>
                <w:szCs w:val="15"/>
                <w:color w:val="auto"/>
              </w:rPr>
            </w:pPr>
          </w:p>
        </w:tc>
        <w:tc>
          <w:tcPr>
            <w:tcW w:w="392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Interest (expense) income, net</w:t>
            </w:r>
          </w:p>
        </w:tc>
        <w:tc>
          <w:tcPr>
            <w:tcW w:w="1300" w:type="dxa"/>
            <w:vAlign w:val="bottom"/>
            <w:tcBorders>
              <w:bottom w:val="single" w:sz="8" w:color="auto"/>
            </w:tcBorders>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(14)</w:t>
            </w:r>
          </w:p>
        </w:tc>
        <w:tc>
          <w:tcPr>
            <w:tcW w:w="100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(7)</w:t>
            </w:r>
          </w:p>
        </w:tc>
        <w:tc>
          <w:tcPr>
            <w:tcW w:w="3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color w:val="auto"/>
              </w:rPr>
              <w:t>11</w:t>
            </w:r>
          </w:p>
        </w:tc>
      </w:tr>
      <w:tr>
        <w:trPr>
          <w:trHeight w:val="20"/>
        </w:trPr>
        <w:tc>
          <w:tcPr>
            <w:tcW w:w="23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3920" w:type="dxa"/>
            <w:vAlign w:val="bottom"/>
            <w:tcBorders>
              <w:top w:val="single" w:sz="8" w:color="auto"/>
              <w:bottom w:val="single" w:sz="8" w:color="auto"/>
            </w:tcBorders>
            <w:gridSpan w:val="2"/>
          </w:tcPr>
          <w:p>
            <w:pPr>
              <w:spacing w:after="0" w:line="170" w:lineRule="exact"/>
              <w:rPr>
                <w:sz w:val="20"/>
                <w:szCs w:val="20"/>
                <w:color w:val="auto"/>
              </w:rPr>
            </w:pPr>
            <w:r>
              <w:rPr>
                <w:rFonts w:ascii="Arial" w:cs="Arial" w:eastAsia="Arial" w:hAnsi="Arial"/>
                <w:sz w:val="17"/>
                <w:szCs w:val="17"/>
                <w:color w:val="auto"/>
              </w:rPr>
              <w:t>Weighted-average interest rate (excluding fees)</w:t>
            </w:r>
          </w:p>
        </w:tc>
        <w:tc>
          <w:tcPr>
            <w:tcW w:w="13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b w:val="1"/>
                <w:bCs w:val="1"/>
                <w:color w:val="auto"/>
              </w:rPr>
              <w:t>4.8 %</w:t>
            </w:r>
          </w:p>
        </w:tc>
        <w:tc>
          <w:tcPr>
            <w:tcW w:w="10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7"/>
                <w:szCs w:val="17"/>
                <w:color w:val="auto"/>
              </w:rPr>
              <w:t>6.6 %</w:t>
            </w: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15"/>
              <w:spacing w:after="0" w:line="170" w:lineRule="exact"/>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b w:val="1"/>
                <w:bCs w:val="1"/>
                <w:color w:val="auto"/>
              </w:rPr>
              <w:t>%</w:t>
            </w: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recorded net interest expense of $14 million in 2021 as compared with $7 million in 2020. Interest income decreased as a result of lower average interest rates and a reduction in our cash and cash equivalents. Additionally, interest expense increased due to the issuance of the 4% Senior Notes due 2029 coupled with the interest associated with the WSS finance lease obligations.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80" w:type="dxa"/>
            <w:vAlign w:val="bottom"/>
            <w:gridSpan w:val="2"/>
          </w:tcPr>
          <w:p>
            <w:pPr>
              <w:spacing w:after="0"/>
              <w:rPr>
                <w:sz w:val="20"/>
                <w:szCs w:val="20"/>
                <w:color w:val="auto"/>
              </w:rPr>
            </w:pPr>
            <w:r>
              <w:rPr>
                <w:rFonts w:ascii="Arial" w:cs="Arial" w:eastAsia="Arial" w:hAnsi="Arial"/>
                <w:sz w:val="17"/>
                <w:szCs w:val="17"/>
                <w:i w:val="1"/>
                <w:iCs w:val="1"/>
                <w:color w:val="auto"/>
              </w:rPr>
              <w:t>Other Income, net</w:t>
            </w:r>
          </w:p>
        </w:tc>
        <w:tc>
          <w:tcPr>
            <w:tcW w:w="2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5"/>
        </w:trPr>
        <w:tc>
          <w:tcPr>
            <w:tcW w:w="1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2020</w:t>
            </w: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2019</w:t>
            </w:r>
          </w:p>
        </w:tc>
      </w:tr>
      <w:tr>
        <w:trPr>
          <w:trHeight w:val="183"/>
        </w:trPr>
        <w:tc>
          <w:tcPr>
            <w:tcW w:w="278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Other income, net</w:t>
            </w:r>
          </w:p>
        </w:tc>
        <w:tc>
          <w:tcPr>
            <w:tcW w:w="238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394</w:t>
            </w:r>
          </w:p>
        </w:tc>
        <w:tc>
          <w:tcPr>
            <w:tcW w:w="4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198</w:t>
            </w:r>
          </w:p>
        </w:tc>
        <w:tc>
          <w:tcPr>
            <w:tcW w:w="4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12</w:t>
            </w:r>
          </w:p>
        </w:tc>
      </w:tr>
    </w:tbl>
    <w:p>
      <w:pPr>
        <w:spacing w:after="0" w:line="18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One of our minority investments, GOAT, which is measured using the fair value alternative, received funding at higher valuations in both 2021 and 2020 resulting in non-cash gains of $290 million and $190 million, respectively. As of January 29, 2022, the fair value of our investment in GOAT totaled $613 million.</w:t>
      </w:r>
    </w:p>
    <w:p>
      <w:pPr>
        <w:spacing w:after="0" w:line="16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During 2021, we invested $68 million to take a common stock minority stake in a public entity, Retailors, Ltd., which is traded on the Tel Aviv stock exchange. This investment was at a discount of $9 million to the initial public offering price, resulting in a non-cash gain of $9 million. Changes in fair value represented on our Retailors, Ltd. investment also generated non-cash gains of $68 million during the year.</w:t>
      </w:r>
    </w:p>
    <w:p>
      <w:pPr>
        <w:spacing w:after="0" w:line="14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Other income, net also included $10 million in royalty income, $7 million of net benefit income related to our pension and postretirement programs, $7 million of insurance recoveries in excess of the losses sustained in the prior year related to the social unrest, and $3 million of income related to our equity method investments.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7"/>
              </w:rPr>
              <w:t>Income Taxes</w:t>
            </w:r>
          </w:p>
        </w:tc>
        <w:tc>
          <w:tcPr>
            <w:tcW w:w="20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412"/>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1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2021</w:t>
            </w: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2020</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2019</w:t>
            </w:r>
          </w:p>
        </w:tc>
      </w:tr>
      <w:tr>
        <w:trPr>
          <w:trHeight w:val="196"/>
        </w:trPr>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4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348</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171</w:t>
            </w:r>
          </w:p>
        </w:tc>
        <w:tc>
          <w:tcPr>
            <w:tcW w:w="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181</w:t>
            </w:r>
          </w:p>
        </w:tc>
      </w:tr>
      <w:tr>
        <w:trPr>
          <w:trHeight w:val="203"/>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Effective tax rate</w:t>
            </w:r>
          </w:p>
        </w:tc>
        <w:tc>
          <w:tcPr>
            <w:tcW w:w="1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28.1 %</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34.5 %</w:t>
            </w: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27.0 %</w:t>
            </w:r>
          </w:p>
        </w:tc>
      </w:tr>
    </w:tbl>
    <w:p>
      <w:pPr>
        <w:spacing w:after="0" w:line="18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effective tax rate for 2021 was 28.1%, as compared with 34.5% in 2020. The decrease was primarily due to significantly higher pretax income earned in the United States reducing the effect of nondeductible expenses on the effective tax rate. We recorded a $11 million tax charge in 2021 related to the revaluation of certain intellectual property rights pursuant to a non-U.S. advance pricing agreement. During 2020, a $25 million tax charge was recognized in connection with the revaluation. Additionally, during the fourth quarters of 2021 and 2020, we recorded tax benefits of $1 million and $5 million, respectively, in connection with tax law changes in the Netherlands.</w:t>
      </w:r>
    </w:p>
    <w:p>
      <w:pPr>
        <w:spacing w:after="0" w:line="148"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The changes in the tax reserves were not significant in 2021 and 2020.</w:t>
      </w:r>
    </w:p>
    <w:p>
      <w:pPr>
        <w:spacing w:after="0" w:line="35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Liquidity</w:t>
      </w:r>
    </w:p>
    <w:p>
      <w:pPr>
        <w:spacing w:after="0" w:line="18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quarterly dividend payments; and interest payments; and fund other cash requirements to support the development of our short-term and long-term operating strategies.</w:t>
      </w:r>
    </w:p>
    <w:p>
      <w:pPr>
        <w:spacing w:after="0" w:line="163"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We generally finance real estate with operating leases. We believe our cash, cash equivalents, future cash flow from operations, and amounts available under our credit agreement will be adequate to fund these requirements.</w:t>
      </w:r>
    </w:p>
    <w:p>
      <w:pPr>
        <w:spacing w:after="0" w:line="144" w:lineRule="exact"/>
        <w:rPr>
          <w:sz w:val="20"/>
          <w:szCs w:val="20"/>
          <w:color w:val="auto"/>
        </w:rPr>
      </w:pPr>
    </w:p>
    <w:p>
      <w:pPr>
        <w:jc w:val="both"/>
        <w:ind w:right="79"/>
        <w:spacing w:after="0" w:line="235" w:lineRule="auto"/>
        <w:rPr>
          <w:sz w:val="20"/>
          <w:szCs w:val="20"/>
          <w:color w:val="auto"/>
        </w:rPr>
      </w:pPr>
      <w:r>
        <w:rPr>
          <w:rFonts w:ascii="Arial" w:cs="Arial" w:eastAsia="Arial" w:hAnsi="Arial"/>
          <w:sz w:val="17"/>
          <w:szCs w:val="17"/>
          <w:color w:val="auto"/>
        </w:rPr>
        <w:t>We may also repurchase our common stock through open market purchases, privately negotiated transactions, or otherwise. Such repurchases if any, will depend on prevailing market conditions, liquidity requirements, contractual restrictions, and other factors. The amounts involved may be material. On February 24, 2022, the Board of Directors approved a new share repurchase program authorizing the Company to repurchase up to $1.2 billion of its common stock replacing the prior authorization. The new share repurchase program does not have an expiration date.</w:t>
      </w:r>
    </w:p>
    <w:p>
      <w:pPr>
        <w:spacing w:after="0" w:line="163"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On February 24, 2022, the Board of Directors declared a quarterly dividend of $0.40 per share to be paid on April 29, 2022. This dividend represents a 33% increase from the previous quarterly per share amount of $0.30 per share and represents a return to the rate in effect prior to the COVID-19 pandemic.</w:t>
      </w:r>
    </w:p>
    <w:p>
      <w:pPr>
        <w:spacing w:after="0" w:line="161"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On October 5, 2021, Foot Locker, Inc. completed the sale of $400 million 4% Senior Notes due 2029. We received net proceeds from the offering of $395 million, after deducting the initial purchasers’ discount. The proceeds will be used for general corporate purposes.</w:t>
      </w:r>
    </w:p>
    <w:p>
      <w:pPr>
        <w:spacing w:after="0" w:line="14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uncertainties caused by COVID-19, as well as other factors listed under the heading “Disclosure Regarding Forward-Looking Statements,” could affect our ability to continue to fund our liquidity needs from business operations.</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87% and 91% of our merchandise from our top five suppliers in 2021 and 2020, respectively. Approximately 68% and 75% was purchased from one supplier, Nike, Inc., in 2021 and 2020, respectively. Beginning with the fourth quarter of 2022, we do not expect any one supplier to represent more than 55% of merchandise purchases.</w:t>
      </w:r>
    </w:p>
    <w:p>
      <w:pPr>
        <w:spacing w:after="0" w:line="16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Planned capital expenditures in 2022 are $275 million. Included in the planned amount is $190 million dedicated to real estate projects designed to elevate our customers’ in-store experience. The real estate total includes the remodeling or expansion of approximately 100 existing stores, as well as the planned opening of approximately 110 new stores, primarily representing the continued expansion of our off-mall community-based and “power” store formats, which provide pinnacle retail experiences that deliver connected customer interactions through service, experience, product, and a sense of community. The real estate total includes continued expansion in Asia and funding for 30 WSS stores. Finally, the capital plan for 2022 also includes $85 million primarily for digital and supply chain initiatives. We have the ability to revise and reschedule some of the anticipated capital expenditure program should our financial position require it.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Operating Activities</w:t>
            </w:r>
          </w:p>
        </w:tc>
        <w:tc>
          <w:tcPr>
            <w:tcW w:w="2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7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162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666</w:t>
            </w:r>
          </w:p>
        </w:tc>
        <w:tc>
          <w:tcPr>
            <w:tcW w:w="1020" w:type="dxa"/>
            <w:vAlign w:val="bottom"/>
            <w:shd w:val="clear" w:color="auto" w:fill="CCEEFF"/>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93"/>
              </w:rPr>
              <w:t>1,062</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696</w:t>
            </w:r>
          </w:p>
        </w:tc>
      </w:tr>
      <w:tr>
        <w:trPr>
          <w:trHeight w:val="189"/>
        </w:trPr>
        <w:tc>
          <w:tcPr>
            <w:tcW w:w="37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620" w:type="dxa"/>
            <w:vAlign w:val="bottom"/>
            <w:tcBorders>
              <w:bottom w:val="single" w:sz="8" w:color="auto"/>
            </w:tcBorders>
          </w:tcPr>
          <w:p>
            <w:pPr>
              <w:jc w:val="right"/>
              <w:ind w:right="755"/>
              <w:spacing w:after="0" w:line="189"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(396)</w:t>
            </w:r>
          </w:p>
        </w:tc>
        <w:tc>
          <w:tcPr>
            <w:tcW w:w="1020" w:type="dxa"/>
            <w:vAlign w:val="bottom"/>
            <w:tcBorders>
              <w:bottom w:val="single" w:sz="8" w:color="auto"/>
            </w:tcBorders>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366</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 amount provided by operating activities reflects income adjusted for non-cash items and working capital changes. Adjustments to net income for non-cash items include non-cash gains, non-cash impairment and other charges, depreciation and amortization, deferred income taxes, and share-based compensation expense. The decrease in cash provided by operating activities in 2021 as compared with the prior year reflected higher outflows associated with working capital changes, partially offset by higher net income and non-cash gains.</w:t>
      </w:r>
    </w:p>
    <w:p>
      <w:pPr>
        <w:spacing w:after="0" w:line="150"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32" w:name="page33"/>
    <w:bookmarkEnd w:id="32"/>
    <w:p>
      <w:pPr>
        <w:jc w:val="both"/>
        <w:ind w:right="59"/>
        <w:spacing w:after="0" w:line="238" w:lineRule="auto"/>
        <w:rPr>
          <w:sz w:val="20"/>
          <w:szCs w:val="20"/>
          <w:color w:val="auto"/>
        </w:rPr>
      </w:pPr>
      <w:r>
        <w:rPr>
          <w:rFonts w:ascii="Arial" w:cs="Arial" w:eastAsia="Arial" w:hAnsi="Arial"/>
          <w:sz w:val="17"/>
          <w:szCs w:val="17"/>
          <w:color w:val="auto"/>
        </w:rPr>
        <w:t>Our merchandise inventory levels last year were significantly affected by the COVID-19 pandemic and during the current year we experienced some easing of the inventory shortages, however slowdowns in the supply chain environment were challenging and we expect this to continue during 2022.</w:t>
      </w:r>
    </w:p>
    <w:p>
      <w:pPr>
        <w:spacing w:after="0" w:line="147"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During 2021 and 2020, we did not make any contributions to our U.S. qualified pension plan, as compared with $55 million made in 2019. No U.S. qualified pension plan contributions were required due to the strong funded position of the plan. The amounts and timing of pension contributions are dependent on several factors, including asset performance.</w:t>
      </w:r>
    </w:p>
    <w:p>
      <w:pPr>
        <w:spacing w:after="0" w:line="345"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As of January 29, 2022, we have withheld $12 million of lease and lease-related payments as we continue to negotiate rent deferrals or abatements with our landlords for the period that our stores were closed due to the COVID-19 pandemic.</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Cash paid for income taxes was $387 million, $100 million, and $201 million for 2021, 2020, and 2019,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gridSpan w:val="2"/>
          </w:tcPr>
          <w:p>
            <w:pPr>
              <w:spacing w:after="0"/>
              <w:rPr>
                <w:sz w:val="20"/>
                <w:szCs w:val="20"/>
                <w:color w:val="auto"/>
              </w:rPr>
            </w:pPr>
            <w:r>
              <w:rPr>
                <w:rFonts w:ascii="Arial" w:cs="Arial" w:eastAsia="Arial" w:hAnsi="Arial"/>
                <w:sz w:val="17"/>
                <w:szCs w:val="17"/>
                <w:i w:val="1"/>
                <w:iCs w:val="1"/>
                <w:color w:val="auto"/>
              </w:rPr>
              <w:t>Investing Activities</w:t>
            </w: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1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5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116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(1,376)</w:t>
            </w:r>
          </w:p>
        </w:tc>
        <w:tc>
          <w:tcPr>
            <w:tcW w:w="108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168</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235</w:t>
            </w:r>
          </w:p>
        </w:tc>
      </w:tr>
      <w:tr>
        <w:trPr>
          <w:trHeight w:val="189"/>
        </w:trPr>
        <w:tc>
          <w:tcPr>
            <w:tcW w:w="35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16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(1,544)</w:t>
            </w:r>
          </w:p>
        </w:tc>
        <w:tc>
          <w:tcPr>
            <w:tcW w:w="1080" w:type="dxa"/>
            <w:vAlign w:val="bottom"/>
            <w:tcBorders>
              <w:bottom w:val="single" w:sz="8" w:color="auto"/>
            </w:tcBorders>
          </w:tcPr>
          <w:p>
            <w:pPr>
              <w:jc w:val="right"/>
              <w:ind w:right="775"/>
              <w:spacing w:after="0" w:line="189"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(67)</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Net cash used in investing activities increased significantly in 2021 primarily due our acquisitions of WSS and atmos. During the third quarter, we completed the acquisition of WSS for $737 million, net of cash acquired and in the fourth quarter, we completed the acquisition of atmos for $319, net of cash acquired.</w:t>
      </w:r>
    </w:p>
    <w:p>
      <w:pPr>
        <w:spacing w:after="0" w:line="147"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Capital expenditures in 2021 increased to $209 million from $159 million in the prior year. During 2021, we completed the remodeling or relocation of 182 existing stores, the build-out of 57 new stores, and conversion of 63 Footaction stores to other banners.</w:t>
      </w:r>
    </w:p>
    <w:p>
      <w:pPr>
        <w:spacing w:after="0" w:line="161"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Additionally, we invested $118 million in other companies primarily comprised of an additional $33 million investment in GOAT, a $68 million investment in a public entity (Retailors Ltd.), and $9 million invested in various limited partner venture capital funds managed by Black fund managers, who are committed to advancing diverse-led businesses as part of our Leading in Education and Economic Development (LEED) initiative.</w:t>
      </w:r>
    </w:p>
    <w:p>
      <w:pPr>
        <w:spacing w:after="0" w:line="163"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In connection with the shutdown of the Runners Point banner completed last year, during the first quarter of 2021, we sold the former headquarters, resulting in proceeds of $3 million. As noted above, related to our insurance claim from the social unrest in 2020, we received proceeds of $4 million related to property and equipment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80" w:type="dxa"/>
            <w:vAlign w:val="bottom"/>
            <w:gridSpan w:val="2"/>
          </w:tcPr>
          <w:p>
            <w:pPr>
              <w:spacing w:after="0"/>
              <w:rPr>
                <w:sz w:val="20"/>
                <w:szCs w:val="20"/>
                <w:color w:val="auto"/>
              </w:rPr>
            </w:pPr>
            <w:r>
              <w:rPr>
                <w:rFonts w:ascii="Arial" w:cs="Arial" w:eastAsia="Arial" w:hAnsi="Arial"/>
                <w:sz w:val="17"/>
                <w:szCs w:val="17"/>
                <w:i w:val="1"/>
                <w:iCs w:val="1"/>
                <w:color w:val="auto"/>
              </w:rPr>
              <w:t>Financing Activities</w:t>
            </w:r>
          </w:p>
        </w:tc>
        <w:tc>
          <w:tcPr>
            <w:tcW w:w="1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5"/>
        </w:trPr>
        <w:tc>
          <w:tcPr>
            <w:tcW w:w="1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5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182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152</w:t>
            </w:r>
          </w:p>
        </w:tc>
        <w:tc>
          <w:tcPr>
            <w:tcW w:w="108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126</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493</w:t>
            </w:r>
          </w:p>
        </w:tc>
      </w:tr>
      <w:tr>
        <w:trPr>
          <w:trHeight w:val="189"/>
        </w:trPr>
        <w:tc>
          <w:tcPr>
            <w:tcW w:w="35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 Change</w:t>
            </w:r>
          </w:p>
        </w:tc>
        <w:tc>
          <w:tcPr>
            <w:tcW w:w="1820" w:type="dxa"/>
            <w:vAlign w:val="bottom"/>
            <w:tcBorders>
              <w:bottom w:val="single" w:sz="8" w:color="auto"/>
            </w:tcBorders>
          </w:tcPr>
          <w:p>
            <w:pPr>
              <w:jc w:val="right"/>
              <w:ind w:right="775"/>
              <w:spacing w:after="0" w:line="18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26</w:t>
            </w:r>
          </w:p>
        </w:tc>
        <w:tc>
          <w:tcPr>
            <w:tcW w:w="1080" w:type="dxa"/>
            <w:vAlign w:val="bottom"/>
            <w:tcBorders>
              <w:bottom w:val="single" w:sz="8" w:color="auto"/>
            </w:tcBorders>
          </w:tcPr>
          <w:p>
            <w:pPr>
              <w:jc w:val="right"/>
              <w:ind w:right="755"/>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(367)</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Cash used in financing activities consisted primarily of our return to shareholders initiatives, including our share repurchase program and cash dividend payments,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3"/>
        </w:trPr>
        <w:tc>
          <w:tcPr>
            <w:tcW w:w="3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Share repurchases</w:t>
            </w:r>
          </w:p>
        </w:tc>
        <w:tc>
          <w:tcPr>
            <w:tcW w:w="192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348</w:t>
            </w:r>
          </w:p>
        </w:tc>
        <w:tc>
          <w:tcPr>
            <w:tcW w:w="1100" w:type="dxa"/>
            <w:vAlign w:val="bottom"/>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37</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335</w:t>
            </w:r>
          </w:p>
        </w:tc>
      </w:tr>
      <w:tr>
        <w:trPr>
          <w:trHeight w:val="189"/>
        </w:trPr>
        <w:tc>
          <w:tcPr>
            <w:tcW w:w="34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Dividends paid on common stock</w:t>
            </w:r>
          </w:p>
        </w:tc>
        <w:tc>
          <w:tcPr>
            <w:tcW w:w="19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101</w:t>
            </w: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73</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164</w:t>
            </w:r>
          </w:p>
        </w:tc>
      </w:tr>
      <w:tr>
        <w:trPr>
          <w:trHeight w:val="183"/>
        </w:trPr>
        <w:tc>
          <w:tcPr>
            <w:tcW w:w="3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returned to shareholders</w:t>
            </w:r>
          </w:p>
        </w:tc>
        <w:tc>
          <w:tcPr>
            <w:tcW w:w="192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449</w:t>
            </w:r>
          </w:p>
        </w:tc>
        <w:tc>
          <w:tcPr>
            <w:tcW w:w="1100" w:type="dxa"/>
            <w:vAlign w:val="bottom"/>
            <w:tcBorders>
              <w:bottom w:val="single" w:sz="8" w:color="auto"/>
            </w:tcBorders>
            <w:shd w:val="clear" w:color="auto" w:fill="CCEEFF"/>
          </w:tcPr>
          <w:p>
            <w:pPr>
              <w:jc w:val="right"/>
              <w:ind w:right="775"/>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110</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499</w:t>
            </w:r>
          </w:p>
        </w:tc>
      </w:tr>
      <w:tr>
        <w:trPr>
          <w:trHeight w:val="20"/>
        </w:trPr>
        <w:tc>
          <w:tcPr>
            <w:tcW w:w="34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Cash provided by financing activities included of the sale of $400 million aggregate principal amount of our 4% Senior Notes due 2029, for which we received $395 million in proceeds, net of the initial purchasers’ discount. During the fourth quarter of 2021, we repaid $98 million of principal related to the 8.5% debentures as well as paying $4 million related to our finance lease obligations.</w:t>
      </w:r>
    </w:p>
    <w:p>
      <w:pPr>
        <w:spacing w:after="0" w:line="163"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During 2021, we repurchased 7,545,544 shares of common stock for $348 million under our share repurchase program, whereas in the prior year we spent $37 million to repurchase shares. We also declared and paid $101 million in dividends representing quarterly rates of $0.20 per share for the first two quarters of 2021 and an increase to $0.30 per share for the third and fourth quarters.</w:t>
      </w:r>
    </w:p>
    <w:p>
      <w:pPr>
        <w:spacing w:after="0" w:line="14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33" w:name="page34"/>
    <w:bookmarkEnd w:id="33"/>
    <w:p>
      <w:pPr>
        <w:jc w:val="both"/>
        <w:ind w:right="59"/>
        <w:spacing w:after="0" w:line="243" w:lineRule="auto"/>
        <w:rPr>
          <w:sz w:val="20"/>
          <w:szCs w:val="20"/>
          <w:color w:val="auto"/>
        </w:rPr>
      </w:pPr>
      <w:r>
        <w:rPr>
          <w:rFonts w:ascii="Arial" w:cs="Arial" w:eastAsia="Arial" w:hAnsi="Arial"/>
          <w:sz w:val="17"/>
          <w:szCs w:val="17"/>
          <w:color w:val="auto"/>
        </w:rPr>
        <w:t>We paid $11 million to satisfy tax withholding obligations relating to the vesting of share-based equity awards during 2021. Offsetting this amount were proceeds received in connection with employee stock programs of $17 million.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Free Cash Flow (non-GAAP measure)</w:t>
      </w:r>
    </w:p>
    <w:p>
      <w:pPr>
        <w:spacing w:after="0" w:line="18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163" w:lineRule="exact"/>
        <w:rPr>
          <w:sz w:val="20"/>
          <w:szCs w:val="20"/>
          <w:color w:val="auto"/>
        </w:rPr>
      </w:pPr>
    </w:p>
    <w:p>
      <w:pPr>
        <w:jc w:val="both"/>
        <w:ind w:right="59"/>
        <w:spacing w:after="0" w:line="243" w:lineRule="auto"/>
        <w:rPr>
          <w:sz w:val="20"/>
          <w:szCs w:val="20"/>
          <w:color w:val="auto"/>
        </w:rPr>
      </w:pPr>
      <w:r>
        <w:rPr>
          <w:rFonts w:ascii="Arial" w:cs="Arial" w:eastAsia="Arial" w:hAnsi="Arial"/>
          <w:sz w:val="17"/>
          <w:szCs w:val="17"/>
          <w:color w:val="auto"/>
        </w:rPr>
        <w:t>The following table presents a reconciliation of net cash flow provided by operating activities, the most directly comparable U.S. GAAP financial measure, to free cash flow.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9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2020</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8"/>
                <w:szCs w:val="18"/>
                <w:color w:val="auto"/>
              </w:rPr>
            </w:pPr>
          </w:p>
        </w:tc>
      </w:tr>
      <w:tr>
        <w:trPr>
          <w:trHeight w:val="183"/>
        </w:trPr>
        <w:tc>
          <w:tcPr>
            <w:tcW w:w="3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98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666</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1,062</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696</w:t>
            </w:r>
          </w:p>
        </w:tc>
        <w:tc>
          <w:tcPr>
            <w:tcW w:w="20" w:type="dxa"/>
            <w:vAlign w:val="bottom"/>
          </w:tcPr>
          <w:p>
            <w:pPr>
              <w:spacing w:after="0"/>
              <w:rPr>
                <w:sz w:val="15"/>
                <w:szCs w:val="15"/>
                <w:color w:val="auto"/>
              </w:rPr>
            </w:pPr>
          </w:p>
        </w:tc>
      </w:tr>
      <w:tr>
        <w:trPr>
          <w:trHeight w:val="189"/>
        </w:trPr>
        <w:tc>
          <w:tcPr>
            <w:tcW w:w="37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Capital expenditures</w:t>
            </w:r>
          </w:p>
        </w:tc>
        <w:tc>
          <w:tcPr>
            <w:tcW w:w="9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(209)</w:t>
            </w:r>
          </w:p>
        </w:tc>
        <w:tc>
          <w:tcPr>
            <w:tcW w:w="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(159)</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(187)</w:t>
            </w:r>
          </w:p>
        </w:tc>
        <w:tc>
          <w:tcPr>
            <w:tcW w:w="20" w:type="dxa"/>
            <w:vAlign w:val="bottom"/>
          </w:tcPr>
          <w:p>
            <w:pPr>
              <w:spacing w:after="0"/>
              <w:rPr>
                <w:sz w:val="16"/>
                <w:szCs w:val="16"/>
                <w:color w:val="auto"/>
              </w:rPr>
            </w:pPr>
          </w:p>
        </w:tc>
      </w:tr>
      <w:tr>
        <w:trPr>
          <w:trHeight w:val="183"/>
        </w:trPr>
        <w:tc>
          <w:tcPr>
            <w:tcW w:w="37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Free cash flow</w:t>
            </w:r>
          </w:p>
        </w:tc>
        <w:tc>
          <w:tcPr>
            <w:tcW w:w="9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457</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903</w:t>
            </w:r>
          </w:p>
        </w:tc>
        <w:tc>
          <w:tcPr>
            <w:tcW w:w="4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509</w:t>
            </w:r>
          </w:p>
        </w:tc>
        <w:tc>
          <w:tcPr>
            <w:tcW w:w="20" w:type="dxa"/>
            <w:vAlign w:val="bottom"/>
          </w:tcPr>
          <w:p>
            <w:pPr>
              <w:spacing w:after="0"/>
              <w:rPr>
                <w:sz w:val="15"/>
                <w:szCs w:val="15"/>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Structure</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On July 14, 2020, we amended our then-existing revolving credit agreement to provide for a $600 million asset-based revolving credit facility that is scheduled to mature on July 14, 2025 (as amended, “2020 Credit Agreement”). Under the 2020 Credit Agreement interest was determined, at our option, by either (1) the eurodollar rate, which is determined by reference to LIBOR, plus a margin of 1.75% to 2.25% per annum, or (2) the base rate, which is determined by reference to the federal funds rate, plus a margin of 0.75% to 1.25%, in each case. In addition, the commitment fee was 0.50% per annum on the unused portion of the commitments under the 2020 Credit Agreement.</w:t>
      </w:r>
    </w:p>
    <w:p>
      <w:pPr>
        <w:spacing w:after="0" w:line="202"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In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to 0.75% per annum, or a Eurodollar rate, determined by reference to LIBOR, plus a margin of 1.25% to 1.75% per annum, in each case, depending on availability under the Amended Credit Agreement. In addition, we will pay a commitment fee of 0.25% per annum on the unused portion of the commitments under the Amended Credit Agreement. On October 1, 2021, WSS became a party to, and bound by the terms of the Amended Credit Agreement and other applicable Loan Documents (as defined in the Amended Credit Agreement) as guarantor. No events of default occurred during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Credit Rating</w:t>
      </w:r>
    </w:p>
    <w:p>
      <w:pPr>
        <w:spacing w:after="0" w:line="174" w:lineRule="exact"/>
        <w:rPr>
          <w:sz w:val="20"/>
          <w:szCs w:val="20"/>
          <w:color w:val="auto"/>
        </w:rPr>
      </w:pPr>
    </w:p>
    <w:p>
      <w:pPr>
        <w:jc w:val="both"/>
        <w:ind w:right="79"/>
        <w:spacing w:after="0" w:line="243" w:lineRule="auto"/>
        <w:rPr>
          <w:sz w:val="20"/>
          <w:szCs w:val="20"/>
          <w:color w:val="auto"/>
        </w:rPr>
      </w:pPr>
      <w:r>
        <w:rPr>
          <w:rFonts w:ascii="Arial" w:cs="Arial" w:eastAsia="Arial" w:hAnsi="Arial"/>
          <w:sz w:val="17"/>
          <w:szCs w:val="17"/>
          <w:color w:val="auto"/>
        </w:rPr>
        <w:t>As of March 24, 2022, our corporate credit ratings from Standard &amp; Poor’s and Moody’s Investors Service are BB+ and Ba1, respectively. In addition, Moody’s Investors Service has rated our senior unsecured notes Ba2.</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gridSpan w:val="3"/>
          </w:tcPr>
          <w:p>
            <w:pPr>
              <w:spacing w:after="0"/>
              <w:rPr>
                <w:sz w:val="20"/>
                <w:szCs w:val="20"/>
                <w:color w:val="auto"/>
              </w:rPr>
            </w:pPr>
            <w:r>
              <w:rPr>
                <w:rFonts w:ascii="Arial" w:cs="Arial" w:eastAsia="Arial" w:hAnsi="Arial"/>
                <w:sz w:val="17"/>
                <w:szCs w:val="17"/>
                <w:i w:val="1"/>
                <w:iCs w:val="1"/>
                <w:color w:val="auto"/>
              </w:rPr>
              <w:t>Debt Capitalization and Equity</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 in millions)</w:t>
            </w:r>
          </w:p>
        </w:tc>
        <w:tc>
          <w:tcPr>
            <w:tcW w:w="3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280" w:type="dxa"/>
            <w:vAlign w:val="bottom"/>
          </w:tcPr>
          <w:p>
            <w:pPr>
              <w:spacing w:after="0"/>
              <w:rPr>
                <w:sz w:val="24"/>
                <w:szCs w:val="24"/>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Long-term debt and obligations under finance leases</w:t>
            </w:r>
          </w:p>
        </w:tc>
        <w:tc>
          <w:tcPr>
            <w:tcW w:w="62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457</w:t>
            </w:r>
          </w:p>
        </w:tc>
        <w:tc>
          <w:tcPr>
            <w:tcW w:w="2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c>
          <w:tcPr>
            <w:tcW w:w="1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Operating lease liability</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5"/>
              <w:spacing w:after="0" w:line="189" w:lineRule="exact"/>
              <w:rPr>
                <w:sz w:val="20"/>
                <w:szCs w:val="20"/>
                <w:color w:val="auto"/>
              </w:rPr>
            </w:pPr>
            <w:r>
              <w:rPr>
                <w:rFonts w:ascii="Arial" w:cs="Arial" w:eastAsia="Arial" w:hAnsi="Arial"/>
                <w:sz w:val="17"/>
                <w:szCs w:val="17"/>
                <w:b w:val="1"/>
                <w:bCs w:val="1"/>
                <w:color w:val="auto"/>
              </w:rPr>
              <w:t>2,935</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3,079</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gridSpan w:val="2"/>
            <w:shd w:val="clear" w:color="auto" w:fill="CCEEFF"/>
          </w:tcPr>
          <w:p>
            <w:pPr>
              <w:ind w:left="100"/>
              <w:spacing w:after="0" w:line="183" w:lineRule="exact"/>
              <w:rPr>
                <w:sz w:val="20"/>
                <w:szCs w:val="20"/>
                <w:color w:val="auto"/>
              </w:rPr>
            </w:pPr>
            <w:r>
              <w:rPr>
                <w:rFonts w:ascii="Arial" w:cs="Arial" w:eastAsia="Arial" w:hAnsi="Arial"/>
                <w:sz w:val="17"/>
                <w:szCs w:val="17"/>
                <w:color w:val="auto"/>
              </w:rPr>
              <w:t>Total debt including finance and operating leases</w:t>
            </w:r>
          </w:p>
        </w:tc>
        <w:tc>
          <w:tcPr>
            <w:tcW w:w="6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3,392</w:t>
            </w: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3,189</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gridSpan w:val="2"/>
          </w:tcPr>
          <w:p>
            <w:pPr>
              <w:spacing w:after="0" w:line="189" w:lineRule="exact"/>
              <w:rPr>
                <w:sz w:val="20"/>
                <w:szCs w:val="20"/>
                <w:color w:val="auto"/>
              </w:rPr>
            </w:pPr>
            <w:r>
              <w:rPr>
                <w:rFonts w:ascii="Arial" w:cs="Arial" w:eastAsia="Arial" w:hAnsi="Arial"/>
                <w:sz w:val="17"/>
                <w:szCs w:val="17"/>
                <w:color w:val="auto"/>
              </w:rPr>
              <w:t>Less:</w:t>
            </w: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6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804</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1,680</w:t>
            </w: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20" w:type="dxa"/>
            <w:vAlign w:val="bottom"/>
            <w:gridSpan w:val="2"/>
          </w:tcPr>
          <w:p>
            <w:pPr>
              <w:ind w:left="100"/>
              <w:spacing w:after="0" w:line="183" w:lineRule="exact"/>
              <w:rPr>
                <w:sz w:val="20"/>
                <w:szCs w:val="20"/>
                <w:color w:val="auto"/>
              </w:rPr>
            </w:pPr>
            <w:r>
              <w:rPr>
                <w:rFonts w:ascii="Arial" w:cs="Arial" w:eastAsia="Arial" w:hAnsi="Arial"/>
                <w:sz w:val="17"/>
                <w:szCs w:val="17"/>
                <w:color w:val="auto"/>
              </w:rPr>
              <w:t>Total net debt including the present value of finance and operating leases</w:t>
            </w:r>
          </w:p>
        </w:tc>
        <w:tc>
          <w:tcPr>
            <w:tcW w:w="620" w:type="dxa"/>
            <w:vAlign w:val="bottom"/>
          </w:tcPr>
          <w:p>
            <w:pPr>
              <w:spacing w:after="0"/>
              <w:rPr>
                <w:sz w:val="15"/>
                <w:szCs w:val="15"/>
                <w:color w:val="auto"/>
              </w:rPr>
            </w:pPr>
          </w:p>
        </w:tc>
        <w:tc>
          <w:tcPr>
            <w:tcW w:w="1080" w:type="dxa"/>
            <w:vAlign w:val="bottom"/>
          </w:tcPr>
          <w:p>
            <w:pPr>
              <w:jc w:val="right"/>
              <w:ind w:right="175"/>
              <w:spacing w:after="0" w:line="183" w:lineRule="exact"/>
              <w:rPr>
                <w:sz w:val="20"/>
                <w:szCs w:val="20"/>
                <w:color w:val="auto"/>
              </w:rPr>
            </w:pPr>
            <w:r>
              <w:rPr>
                <w:rFonts w:ascii="Arial" w:cs="Arial" w:eastAsia="Arial" w:hAnsi="Arial"/>
                <w:sz w:val="17"/>
                <w:szCs w:val="17"/>
                <w:b w:val="1"/>
                <w:bCs w:val="1"/>
                <w:color w:val="auto"/>
              </w:rPr>
              <w:t>2,588</w:t>
            </w:r>
          </w:p>
        </w:tc>
        <w:tc>
          <w:tcPr>
            <w:tcW w:w="2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7"/>
                <w:szCs w:val="17"/>
                <w:color w:val="auto"/>
              </w:rPr>
              <w:t>1,509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2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Shareholders’ equity</w:t>
            </w:r>
          </w:p>
        </w:tc>
        <w:tc>
          <w:tcPr>
            <w:tcW w:w="6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3,243</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2,776</w:t>
            </w:r>
          </w:p>
        </w:tc>
        <w:tc>
          <w:tcPr>
            <w:tcW w:w="1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7"/>
                <w:szCs w:val="17"/>
                <w:color w:val="auto"/>
              </w:rPr>
              <w:t>Total capitalization</w:t>
            </w:r>
          </w:p>
        </w:tc>
        <w:tc>
          <w:tcPr>
            <w:tcW w:w="6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b w:val="1"/>
                <w:bCs w:val="1"/>
                <w:color w:val="auto"/>
              </w:rPr>
              <w:t>5,831</w:t>
            </w:r>
          </w:p>
        </w:tc>
        <w:tc>
          <w:tcPr>
            <w:tcW w:w="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4,285</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02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auto"/>
              </w:rPr>
              <w:t>Total net debt capitalization percent including finance and operating leases</w:t>
            </w: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44.4 %</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b w:val="1"/>
                <w:bCs w:val="1"/>
                <w:color w:val="auto"/>
              </w:rPr>
              <w:t xml:space="preserve">35.2 </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20" w:type="dxa"/>
            <w:vAlign w:val="bottom"/>
            <w:gridSpan w:val="4"/>
          </w:tcPr>
          <w:p>
            <w:pPr>
              <w:jc w:val="right"/>
              <w:spacing w:after="0"/>
              <w:rPr>
                <w:sz w:val="20"/>
                <w:szCs w:val="20"/>
                <w:color w:val="auto"/>
              </w:rPr>
            </w:pPr>
            <w:r>
              <w:rPr>
                <w:rFonts w:ascii="Arial" w:cs="Arial" w:eastAsia="Arial" w:hAnsi="Arial"/>
                <w:sz w:val="17"/>
                <w:szCs w:val="17"/>
                <w:color w:val="auto"/>
              </w:rPr>
              <w:t>2021 Form 10-K Page 31</w:t>
            </w:r>
          </w:p>
        </w:tc>
        <w:tc>
          <w:tcPr>
            <w:tcW w:w="0" w:type="dxa"/>
            <w:vAlign w:val="bottom"/>
          </w:tcPr>
          <w:p>
            <w:pPr>
              <w:spacing w:after="0"/>
              <w:rPr>
                <w:sz w:val="1"/>
                <w:szCs w:val="1"/>
                <w:color w:val="auto"/>
              </w:rPr>
            </w:pPr>
          </w:p>
        </w:tc>
      </w:tr>
      <w:tr>
        <w:trPr>
          <w:trHeight w:val="734"/>
        </w:trPr>
        <w:tc>
          <w:tcPr>
            <w:tcW w:w="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39"/>
          </w:cols>
          <w:pgMar w:left="1320" w:top="849" w:right="1440" w:bottom="1440" w:gutter="0" w:footer="0" w:header="0"/>
        </w:sectPr>
      </w:pPr>
    </w:p>
    <w:bookmarkStart w:id="34" w:name="page35"/>
    <w:bookmarkEnd w:id="34"/>
    <w:p>
      <w:pPr>
        <w:jc w:val="both"/>
        <w:ind w:right="59"/>
        <w:spacing w:after="0" w:line="243" w:lineRule="auto"/>
        <w:rPr>
          <w:sz w:val="20"/>
          <w:szCs w:val="20"/>
          <w:color w:val="auto"/>
        </w:rPr>
      </w:pPr>
      <w:r>
        <w:rPr>
          <w:rFonts w:ascii="Arial" w:cs="Arial" w:eastAsia="Arial" w:hAnsi="Arial"/>
          <w:sz w:val="17"/>
          <w:szCs w:val="17"/>
          <w:color w:val="auto"/>
        </w:rPr>
        <w:t>Net debt capitalization percent increased to 44.4% as compared with 35.2% in the prior year, primarily reflecting higher debt and lower cash and cash equivalents.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9" w:lineRule="exact"/>
        <w:rPr>
          <w:sz w:val="20"/>
          <w:szCs w:val="20"/>
          <w:color w:val="auto"/>
        </w:rPr>
      </w:pPr>
    </w:p>
    <w:p>
      <w:pPr>
        <w:jc w:val="both"/>
        <w:ind w:right="79"/>
        <w:spacing w:after="0" w:line="238" w:lineRule="auto"/>
        <w:rPr>
          <w:sz w:val="20"/>
          <w:szCs w:val="20"/>
          <w:color w:val="auto"/>
        </w:rPr>
      </w:pPr>
      <w:r>
        <w:rPr>
          <w:rFonts w:ascii="Arial" w:cs="Arial" w:eastAsia="Arial" w:hAnsi="Arial"/>
          <w:sz w:val="17"/>
          <w:szCs w:val="17"/>
          <w:color w:val="auto"/>
        </w:rPr>
        <w:t>We have not entered into any transactions with unconsolidated entities that expose us to material continuing risks, contingent liabilities, or any other obligation under a variable interest in an unconsolidated entity. Also, our financial policies prohibit the use of derivatives for which there is no underlying exposure.</w:t>
      </w:r>
    </w:p>
    <w:p>
      <w:pPr>
        <w:spacing w:after="0" w:line="16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In connection with the sale of various businesses and assets, we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we believe that the resolution of such contingencies will not significantly affect our consolidated financial position, liquidity, or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We also operate certain stores for which lease agreements are in the process of being negotiated with landlords.</w:t>
      </w:r>
    </w:p>
    <w:p>
      <w:pPr>
        <w:spacing w:after="0"/>
        <w:rPr>
          <w:sz w:val="20"/>
          <w:szCs w:val="20"/>
          <w:color w:val="auto"/>
        </w:rPr>
      </w:pPr>
      <w:r>
        <w:rPr>
          <w:rFonts w:ascii="Arial" w:cs="Arial" w:eastAsia="Arial" w:hAnsi="Arial"/>
          <w:sz w:val="17"/>
          <w:szCs w:val="17"/>
          <w:color w:val="auto"/>
        </w:rPr>
        <w:t>Although there is no contractual commitment to make these payments, it is likely that leases will be executed.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89"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 is a summary of the most significant accounting policies. In some cases, we are required to calculate amounts based on estimates for matters that are inherently uncertain. We believe the following to be the most critical of those accounting policies that necessitate subjective judgments.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Merchandise Inventories and Cost of Sales</w:t>
      </w:r>
    </w:p>
    <w:p>
      <w:pPr>
        <w:spacing w:after="0" w:line="187"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Merchandise inventories for our stores are valued at the lower of cost or market using the retail inventory method (“RIM”). The RIM is used by retail companies to value inventories at cost and calculate gross margins due to its practicality. Under the RIM, cost is determined by applying a cost-to-retail percentage across groupings of similar items, known as departments. The cost-to-retail percentage is applied to ending inventory at its current owned retail valuation to determine the cost of ending inventory on a department basis.</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RIM is a system of averages that requires estimates and assumptions regarding markups, markdowns and shrink, among others, and as such, could result in distortions of inventory amounts. Judgment is required for these estimates and assumptions, as well as to differentiate between promotional and other markdowns that may be required to correctly reflect merchandise inventories at the lower of cost or market. Reserves are established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We believe this method and its related assumptions, which have been consistently applied, to be reasonable.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Leases</w:t>
      </w:r>
    </w:p>
    <w:p>
      <w:pPr>
        <w:spacing w:after="0" w:line="187"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determine if an arrangement is a lease at inception. Right-of-use assets and liabilities are recognized at the commencement date based on the present value of lease payments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63"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 Our incremental borrowing rate is calculated as the weighted average risk-free (sovereign) rate plus a spread to reflect our current unsecured credit rating plus the fees to borrow under our credit facility. The weighted average risk-free (sovereign) rates were based on the Treasury BVAL rates curve in Bloomberg. In the regions that we have stores, rates were developed for 3, 5, 7, 10, and 15 years. The weighting given to each region was determined by the number of stores in each region.</w:t>
      </w:r>
    </w:p>
    <w:p>
      <w:pPr>
        <w:spacing w:after="0" w:line="149"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35" w:name="page36"/>
    <w:bookmarkEnd w:id="35"/>
    <w:p>
      <w:pPr>
        <w:jc w:val="both"/>
        <w:ind w:right="59"/>
        <w:spacing w:after="0" w:line="238" w:lineRule="auto"/>
        <w:rPr>
          <w:sz w:val="20"/>
          <w:szCs w:val="20"/>
          <w:color w:val="auto"/>
        </w:rPr>
      </w:pPr>
      <w:r>
        <w:rPr>
          <w:rFonts w:ascii="Arial" w:cs="Arial" w:eastAsia="Arial" w:hAnsi="Arial"/>
          <w:sz w:val="17"/>
          <w:szCs w:val="17"/>
          <w:color w:val="auto"/>
        </w:rPr>
        <w:t>The spread to reflect our current credit rating represented the spread between U.S. Treasury rates and Bloomberg’s USD BVAL curve for non-financial companies with the Company’s credit rating. The fees to borrow represent the facility fees paid on the Company’s revolving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Impairment of Long-Lived Tangible Assets and Right-of-Use Assets</w:t>
      </w:r>
    </w:p>
    <w:p>
      <w:pPr>
        <w:spacing w:after="0" w:line="187"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generally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 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w:t>
      </w:r>
    </w:p>
    <w:p>
      <w:pPr>
        <w:spacing w:after="0" w:line="167"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spacing w:after="0" w:line="147"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During the second quarter of 2021, we conducted an impairment review of Footaction stores as a result of our decision to convert part of the stores to other existing banner concepts and close the remaining stores. We evaluated the long-lived assets, including the right-of-use assets and recorded non-cash charges to write down store fixtures, leasehold improvements, and right-of-use assets for approximately 60 locations, and accelerated tenancy charges for leases we expect to terminate prior to the end of the lease term. In connection with this, we recorded charges totaling $66 million in 2021. Additionally, we performed an impairment review for certain underperforming stores during the fourth quarter and recorded non-cash impairment charges totaling $26 million for approximately 55 stores.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Business Combinations</w:t>
      </w:r>
    </w:p>
    <w:p>
      <w:pPr>
        <w:spacing w:after="0" w:line="187"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We account for business combinations using the acquisition method of accounting, which requires that once control is obtained, all the assets acquired and liabilities assumed are recorded at their respective fair values at the date of acquisition. Additionally, contingent consideration is recorded at fair value on the acquisition date and classified as a liability. We allocate the purchase price of acquired businesses to the tangible, intangible assets, and contingent consideration based, in part, upon internal estimates of cash flows and considering the report of a third-party valuation expert retained to assist the Company and requires a significant amount of management judgment. The determination of fair values of identifiable assets and liabilities as well as contingent consideration requires estimates and the use of valuation techniques when market value is not readily available. For intangible assets acquired in a business combination, we typically determine the fair value based on the discounted cash flow model, specifically the relief from royalty method for intangible assets related to a tradename. Significant estimates in valuing certain intangible assets and contingent consideration include, but are not limited to, the amount and timing of future cash flows, growth rates, customer attrition rates, discount rates and useful lives. Changes to the assumptions used to estimate the fair value could affect the recorded amounts of the assets acquired and the resultant goodwill, as well as the depreciation and amortization expense recorded in future periods.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Recoverability of Goodwill</w:t>
      </w:r>
    </w:p>
    <w:p>
      <w:pPr>
        <w:spacing w:after="0" w:line="201" w:lineRule="exact"/>
        <w:rPr>
          <w:sz w:val="20"/>
          <w:szCs w:val="20"/>
          <w:color w:val="auto"/>
        </w:rPr>
      </w:pPr>
    </w:p>
    <w:p>
      <w:pPr>
        <w:jc w:val="both"/>
        <w:ind w:right="79"/>
        <w:spacing w:after="0" w:line="236" w:lineRule="auto"/>
        <w:rPr>
          <w:sz w:val="20"/>
          <w:szCs w:val="20"/>
          <w:color w:val="auto"/>
        </w:rPr>
      </w:pPr>
      <w:r>
        <w:rPr>
          <w:rFonts w:ascii="Arial" w:cs="Arial" w:eastAsia="Arial" w:hAnsi="Arial"/>
          <w:sz w:val="17"/>
          <w:szCs w:val="17"/>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qualitative impairment test.</w:t>
      </w:r>
    </w:p>
    <w:p>
      <w:pPr>
        <w:spacing w:after="0" w:line="176" w:lineRule="exact"/>
        <w:rPr>
          <w:sz w:val="20"/>
          <w:szCs w:val="20"/>
          <w:color w:val="auto"/>
        </w:rPr>
      </w:pPr>
    </w:p>
    <w:p>
      <w:pPr>
        <w:jc w:val="both"/>
        <w:ind w:right="79"/>
        <w:spacing w:after="0" w:line="232" w:lineRule="auto"/>
        <w:rPr>
          <w:sz w:val="20"/>
          <w:szCs w:val="20"/>
          <w:color w:val="auto"/>
        </w:rPr>
      </w:pPr>
      <w:r>
        <w:rPr>
          <w:rFonts w:ascii="Arial" w:cs="Arial" w:eastAsia="Arial" w:hAnsi="Arial"/>
          <w:sz w:val="17"/>
          <w:szCs w:val="17"/>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ind w:left="7160"/>
        <w:spacing w:after="0"/>
        <w:rPr>
          <w:sz w:val="20"/>
          <w:szCs w:val="20"/>
          <w:color w:val="auto"/>
        </w:rPr>
      </w:pPr>
      <w:r>
        <w:rPr>
          <w:rFonts w:ascii="Arial" w:cs="Arial" w:eastAsia="Arial" w:hAnsi="Arial"/>
          <w:sz w:val="17"/>
          <w:szCs w:val="17"/>
          <w:color w:val="auto"/>
        </w:rPr>
        <w:t>2021 Form 10-K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36" w:name="page37"/>
    <w:bookmarkEnd w:id="36"/>
    <w:p>
      <w:pPr>
        <w:jc w:val="both"/>
        <w:ind w:right="59"/>
        <w:spacing w:after="0" w:line="234" w:lineRule="auto"/>
        <w:rPr>
          <w:sz w:val="20"/>
          <w:szCs w:val="20"/>
          <w:color w:val="auto"/>
        </w:rPr>
      </w:pPr>
      <w:r>
        <w:rPr>
          <w:rFonts w:ascii="Arial" w:cs="Arial" w:eastAsia="Arial" w:hAnsi="Arial"/>
          <w:sz w:val="17"/>
          <w:szCs w:val="17"/>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annual impairment test in 2021 did not result in the recognition of impairment.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Pension and Postretirement Liabilities</w:t>
      </w:r>
    </w:p>
    <w:p>
      <w:pPr>
        <w:spacing w:after="0" w:line="174" w:lineRule="exact"/>
        <w:rPr>
          <w:sz w:val="20"/>
          <w:szCs w:val="20"/>
          <w:color w:val="auto"/>
        </w:rPr>
      </w:pPr>
    </w:p>
    <w:p>
      <w:pPr>
        <w:jc w:val="both"/>
        <w:ind w:right="59"/>
        <w:spacing w:after="0" w:line="238" w:lineRule="auto"/>
        <w:rPr>
          <w:sz w:val="20"/>
          <w:szCs w:val="20"/>
          <w:color w:val="auto"/>
        </w:rPr>
      </w:pPr>
      <w:r>
        <w:rPr>
          <w:rFonts w:ascii="Arial" w:cs="Arial" w:eastAsia="Arial" w:hAnsi="Arial"/>
          <w:sz w:val="17"/>
          <w:szCs w:val="17"/>
          <w:color w:val="auto"/>
        </w:rPr>
        <w:t>We review all assumptions used to determine our obligations for pension and postretirement liabilities annually with our independent actuaries, taking into consideration existing and future economic conditions and our intentions with regard to the plans. The assumptions used 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ind w:left="260"/>
              <w:spacing w:after="0"/>
              <w:rPr>
                <w:sz w:val="20"/>
                <w:szCs w:val="20"/>
                <w:color w:val="auto"/>
              </w:rPr>
            </w:pPr>
            <w:r>
              <w:rPr>
                <w:rFonts w:ascii="Arial" w:cs="Arial" w:eastAsia="Arial" w:hAnsi="Arial"/>
                <w:sz w:val="17"/>
                <w:szCs w:val="17"/>
                <w:color w:val="auto"/>
              </w:rPr>
              <w:t>Long-Term</w:t>
            </w:r>
          </w:p>
        </w:tc>
        <w:tc>
          <w:tcPr>
            <w:tcW w:w="7540" w:type="dxa"/>
            <w:vAlign w:val="bottom"/>
          </w:tcPr>
          <w:p>
            <w:pPr>
              <w:ind w:left="120"/>
              <w:spacing w:after="0"/>
              <w:rPr>
                <w:sz w:val="20"/>
                <w:szCs w:val="20"/>
                <w:color w:val="auto"/>
              </w:rPr>
            </w:pPr>
            <w:r>
              <w:rPr>
                <w:rFonts w:ascii="Arial" w:cs="Arial" w:eastAsia="Arial" w:hAnsi="Arial"/>
                <w:sz w:val="17"/>
                <w:szCs w:val="17"/>
                <w:color w:val="auto"/>
              </w:rPr>
              <w:t>The expected rate of return on plan assets is the long-term rate of return expected to be earned</w:t>
            </w:r>
          </w:p>
        </w:tc>
      </w:tr>
      <w:tr>
        <w:trPr>
          <w:trHeight w:val="189"/>
        </w:trPr>
        <w:tc>
          <w:tcPr>
            <w:tcW w:w="1540" w:type="dxa"/>
            <w:vAlign w:val="bottom"/>
          </w:tcPr>
          <w:p>
            <w:pPr>
              <w:ind w:left="260"/>
              <w:spacing w:after="0" w:line="189" w:lineRule="exact"/>
              <w:rPr>
                <w:sz w:val="20"/>
                <w:szCs w:val="20"/>
                <w:color w:val="auto"/>
              </w:rPr>
            </w:pPr>
            <w:r>
              <w:rPr>
                <w:rFonts w:ascii="Arial" w:cs="Arial" w:eastAsia="Arial" w:hAnsi="Arial"/>
                <w:sz w:val="17"/>
                <w:szCs w:val="17"/>
                <w:color w:val="auto"/>
              </w:rPr>
              <w:t>Rate of Return</w:t>
            </w: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on the plans’ assets and is recognized as a component of pension expense. The rate is based on</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the plans’ weighted-average target asset allocation, as well as historical and future expected</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performance of those assets. The target asset allocation is selected to obtain an investment</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return that is sufficient to cover the expected benefit payments and to reduce the variability of</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future contributions. The expected rate of return on plan assets is reviewed annually and revised,</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as necessary, to reflect changes in the financial markets and our investment strategy.</w:t>
            </w:r>
          </w:p>
        </w:tc>
      </w:tr>
      <w:tr>
        <w:trPr>
          <w:trHeight w:val="362"/>
        </w:trPr>
        <w:tc>
          <w:tcPr>
            <w:tcW w:w="154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The weighted-average long-term rate of return used to determine 2021 pension expense was</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5.3%.</w:t>
            </w:r>
          </w:p>
        </w:tc>
      </w:tr>
      <w:tr>
        <w:trPr>
          <w:trHeight w:val="362"/>
        </w:trPr>
        <w:tc>
          <w:tcPr>
            <w:tcW w:w="154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A decrease of 50 basis points in the weighted-average expected long-term rate of return would</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have increased 2021 pension expense by approximately $3 million. The actual return on plan</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assets in a given year typically differs from the expected long-term rate of return, and the resulting</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gain or loss is deferred and amortized into expense over the average life expectancy of the</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inactive participants.</w:t>
            </w:r>
          </w:p>
        </w:tc>
      </w:tr>
      <w:tr>
        <w:trPr>
          <w:trHeight w:val="362"/>
        </w:trPr>
        <w:tc>
          <w:tcPr>
            <w:tcW w:w="1540" w:type="dxa"/>
            <w:vAlign w:val="bottom"/>
          </w:tcPr>
          <w:p>
            <w:pPr>
              <w:ind w:left="320"/>
              <w:spacing w:after="0"/>
              <w:rPr>
                <w:sz w:val="20"/>
                <w:szCs w:val="20"/>
                <w:color w:val="auto"/>
              </w:rPr>
            </w:pPr>
            <w:r>
              <w:rPr>
                <w:rFonts w:ascii="Arial" w:cs="Arial" w:eastAsia="Arial" w:hAnsi="Arial"/>
                <w:sz w:val="17"/>
                <w:szCs w:val="17"/>
                <w:color w:val="auto"/>
              </w:rPr>
              <w:t>Discount Rate</w:t>
            </w:r>
          </w:p>
        </w:tc>
        <w:tc>
          <w:tcPr>
            <w:tcW w:w="7540" w:type="dxa"/>
            <w:vAlign w:val="bottom"/>
          </w:tcPr>
          <w:p>
            <w:pPr>
              <w:ind w:left="120"/>
              <w:spacing w:after="0"/>
              <w:rPr>
                <w:sz w:val="20"/>
                <w:szCs w:val="20"/>
                <w:color w:val="auto"/>
              </w:rPr>
            </w:pPr>
            <w:r>
              <w:rPr>
                <w:rFonts w:ascii="Arial" w:cs="Arial" w:eastAsia="Arial" w:hAnsi="Arial"/>
                <w:sz w:val="17"/>
                <w:szCs w:val="17"/>
                <w:color w:val="auto"/>
              </w:rPr>
              <w:t>An assumed discount rate is used to measure the present value of future cash flow obligations of</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the plans and the interest cost component of pension expense and postretirement income. The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cash flows are then discounted to their present value and an overall discount rate is determined.</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The discount rate for our U.S. plans are determined by reference to the Bond:Link interest rate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model based upon a portfolio of highly-rated U.S. corporate bonds with individual bonds that are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theoretically purchased to settle the plan’s anticipated cash outflows. The discount rate selected</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to measure the present value of our Canadian benefit obligations is similar to the approach used</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for the U.S. plan and was determined by reference to the Canadian Rate:Link interest rate model.</w:t>
            </w:r>
          </w:p>
        </w:tc>
      </w:tr>
      <w:tr>
        <w:trPr>
          <w:trHeight w:val="362"/>
        </w:trPr>
        <w:tc>
          <w:tcPr>
            <w:tcW w:w="154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The weighted-average discount rates used to determine the 2021 benefit obligations related to</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our pension and postretirement plans was 3.2% for both plans.</w:t>
            </w:r>
          </w:p>
        </w:tc>
      </w:tr>
      <w:tr>
        <w:trPr>
          <w:trHeight w:val="362"/>
        </w:trPr>
        <w:tc>
          <w:tcPr>
            <w:tcW w:w="1540" w:type="dxa"/>
            <w:vAlign w:val="bottom"/>
          </w:tcPr>
          <w:p>
            <w:pPr>
              <w:spacing w:after="0"/>
              <w:rPr>
                <w:sz w:val="24"/>
                <w:szCs w:val="24"/>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Changing the weighted-average discount rate by 50 basis points would have changed the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accumulated benefit obligation of the pension plans at January 29, 2022 by approximately</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$30  million  and  $33  million,  depending  on  if  the  change  was  an  increase  or  decrease,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respectively. A decrease of 50 basis points in the weighted-average discount rate would have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increased or decreased the accumulated benefit obligation on the postretirement plan by</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approximately $1 million depending on if the change was an increase or decrease, respectively.</w:t>
            </w:r>
          </w:p>
        </w:tc>
      </w:tr>
      <w:tr>
        <w:trPr>
          <w:trHeight w:val="362"/>
        </w:trPr>
        <w:tc>
          <w:tcPr>
            <w:tcW w:w="1540" w:type="dxa"/>
            <w:vAlign w:val="bottom"/>
          </w:tcPr>
          <w:p>
            <w:pPr>
              <w:ind w:left="260"/>
              <w:spacing w:after="0"/>
              <w:rPr>
                <w:sz w:val="20"/>
                <w:szCs w:val="20"/>
                <w:color w:val="auto"/>
              </w:rPr>
            </w:pPr>
            <w:r>
              <w:rPr>
                <w:rFonts w:ascii="Arial" w:cs="Arial" w:eastAsia="Arial" w:hAnsi="Arial"/>
                <w:sz w:val="17"/>
                <w:szCs w:val="17"/>
                <w:color w:val="auto"/>
              </w:rPr>
              <w:t>Trend Rate</w:t>
            </w:r>
          </w:p>
        </w:tc>
        <w:tc>
          <w:tcPr>
            <w:tcW w:w="7540" w:type="dxa"/>
            <w:vAlign w:val="bottom"/>
          </w:tcPr>
          <w:p>
            <w:pPr>
              <w:ind w:left="120"/>
              <w:spacing w:after="0"/>
              <w:rPr>
                <w:sz w:val="20"/>
                <w:szCs w:val="20"/>
                <w:color w:val="auto"/>
              </w:rPr>
            </w:pPr>
            <w:r>
              <w:rPr>
                <w:rFonts w:ascii="Arial" w:cs="Arial" w:eastAsia="Arial" w:hAnsi="Arial"/>
                <w:sz w:val="17"/>
                <w:szCs w:val="17"/>
                <w:color w:val="auto"/>
              </w:rPr>
              <w:t>We maintain two postretirement medical plans, one covering certain executive officers and key</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employees (“SERP Medical Plan”), and the other covering all other team members. With respect</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to the SERP Medical Plan, a 100-basis point change in the assumed health care cost trend rate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would not significantly change this plan’s accumulated benefit obligation. With respect to the</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postretirement medical plan covering all other team members, there is limited risk to us for</w:t>
            </w:r>
          </w:p>
        </w:tc>
      </w:tr>
      <w:tr>
        <w:trPr>
          <w:trHeight w:val="189"/>
        </w:trPr>
        <w:tc>
          <w:tcPr>
            <w:tcW w:w="1540" w:type="dxa"/>
            <w:vAlign w:val="bottom"/>
          </w:tcPr>
          <w:p>
            <w:pPr>
              <w:spacing w:after="0"/>
              <w:rPr>
                <w:sz w:val="16"/>
                <w:szCs w:val="16"/>
                <w:color w:val="auto"/>
              </w:rPr>
            </w:pPr>
          </w:p>
        </w:tc>
        <w:tc>
          <w:tcPr>
            <w:tcW w:w="7540" w:type="dxa"/>
            <w:vAlign w:val="bottom"/>
          </w:tcPr>
          <w:p>
            <w:pPr>
              <w:ind w:left="120"/>
              <w:spacing w:after="0" w:line="189" w:lineRule="exact"/>
              <w:rPr>
                <w:sz w:val="20"/>
                <w:szCs w:val="20"/>
                <w:color w:val="auto"/>
              </w:rPr>
            </w:pPr>
            <w:r>
              <w:rPr>
                <w:rFonts w:ascii="Arial" w:cs="Arial" w:eastAsia="Arial" w:hAnsi="Arial"/>
                <w:sz w:val="17"/>
                <w:szCs w:val="17"/>
                <w:color w:val="auto"/>
              </w:rPr>
              <w:t>increases in health care costs since, beginning in 2001, new retirees have assumed the full</w:t>
            </w:r>
          </w:p>
        </w:tc>
      </w:tr>
      <w:tr>
        <w:trPr>
          <w:trHeight w:val="205"/>
        </w:trPr>
        <w:tc>
          <w:tcPr>
            <w:tcW w:w="1540" w:type="dxa"/>
            <w:vAlign w:val="bottom"/>
          </w:tcPr>
          <w:p>
            <w:pPr>
              <w:spacing w:after="0"/>
              <w:rPr>
                <w:sz w:val="17"/>
                <w:szCs w:val="17"/>
                <w:color w:val="auto"/>
              </w:rPr>
            </w:pPr>
          </w:p>
        </w:tc>
        <w:tc>
          <w:tcPr>
            <w:tcW w:w="7540" w:type="dxa"/>
            <w:vAlign w:val="bottom"/>
          </w:tcPr>
          <w:p>
            <w:pPr>
              <w:ind w:left="120"/>
              <w:spacing w:after="0"/>
              <w:rPr>
                <w:sz w:val="20"/>
                <w:szCs w:val="20"/>
                <w:color w:val="auto"/>
              </w:rPr>
            </w:pPr>
            <w:r>
              <w:rPr>
                <w:rFonts w:ascii="Arial" w:cs="Arial" w:eastAsia="Arial" w:hAnsi="Arial"/>
                <w:sz w:val="17"/>
                <w:szCs w:val="17"/>
                <w:color w:val="auto"/>
              </w:rPr>
              <w:t>expected costs and then-existing retirees have assumed all increases in such costs.</w:t>
            </w:r>
          </w:p>
        </w:tc>
      </w:tr>
      <w:tr>
        <w:trPr>
          <w:trHeight w:val="378"/>
        </w:trPr>
        <w:tc>
          <w:tcPr>
            <w:tcW w:w="1540" w:type="dxa"/>
            <w:vAlign w:val="bottom"/>
          </w:tcPr>
          <w:p>
            <w:pPr>
              <w:spacing w:after="0"/>
              <w:rPr>
                <w:sz w:val="24"/>
                <w:szCs w:val="24"/>
                <w:color w:val="auto"/>
              </w:rPr>
            </w:pPr>
          </w:p>
        </w:tc>
        <w:tc>
          <w:tcPr>
            <w:tcW w:w="7540" w:type="dxa"/>
            <w:vAlign w:val="bottom"/>
          </w:tcPr>
          <w:p>
            <w:pPr>
              <w:ind w:left="5620"/>
              <w:spacing w:after="0"/>
              <w:rPr>
                <w:sz w:val="20"/>
                <w:szCs w:val="20"/>
                <w:color w:val="auto"/>
              </w:rPr>
            </w:pPr>
            <w:r>
              <w:rPr>
                <w:rFonts w:ascii="Arial" w:cs="Arial" w:eastAsia="Arial" w:hAnsi="Arial"/>
                <w:sz w:val="17"/>
                <w:szCs w:val="17"/>
                <w:color w:val="auto"/>
                <w:w w:val="99"/>
              </w:rPr>
              <w:t>2021 Form 10-K Page 34</w:t>
            </w:r>
          </w:p>
        </w:tc>
      </w:tr>
      <w:tr>
        <w:trPr>
          <w:trHeight w:val="754"/>
        </w:trPr>
        <w:tc>
          <w:tcPr>
            <w:tcW w:w="154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9139"/>
          </w:cols>
          <w:pgMar w:left="1320" w:top="849" w:right="1440" w:bottom="1440" w:gutter="0" w:footer="0" w:header="0"/>
        </w:sectPr>
      </w:pPr>
    </w:p>
    <w:bookmarkStart w:id="37" w:name="page38"/>
    <w:bookmarkEnd w:id="37"/>
    <w:p>
      <w:pPr>
        <w:ind w:left="260"/>
        <w:spacing w:after="0" w:line="243" w:lineRule="auto"/>
        <w:rPr>
          <w:sz w:val="20"/>
          <w:szCs w:val="20"/>
          <w:color w:val="auto"/>
        </w:rPr>
      </w:pPr>
      <w:r>
        <w:rPr>
          <w:rFonts w:ascii="Arial" w:cs="Arial" w:eastAsia="Arial" w:hAnsi="Arial"/>
          <w:sz w:val="17"/>
          <w:szCs w:val="17"/>
          <w:color w:val="auto"/>
        </w:rPr>
        <w:t>Mortality Assumptions</w:t>
      </w:r>
    </w:p>
    <w:p>
      <w:pPr>
        <w:spacing w:after="0" w:line="20" w:lineRule="exact"/>
        <w:rPr>
          <w:sz w:val="20"/>
          <w:szCs w:val="20"/>
          <w:color w:val="auto"/>
        </w:rPr>
      </w:pPr>
      <w:r>
        <w:rPr>
          <w:sz w:val="20"/>
          <w:szCs w:val="20"/>
          <w:color w:val="auto"/>
        </w:rPr>
        <w:br w:type="column"/>
      </w:r>
    </w:p>
    <w:p>
      <w:pPr>
        <w:jc w:val="both"/>
        <w:ind w:right="59"/>
        <w:spacing w:after="0"/>
        <w:rPr>
          <w:sz w:val="20"/>
          <w:szCs w:val="20"/>
          <w:color w:val="auto"/>
        </w:rPr>
      </w:pPr>
      <w:r>
        <w:rPr>
          <w:rFonts w:ascii="Arial" w:cs="Arial" w:eastAsia="Arial" w:hAnsi="Arial"/>
          <w:sz w:val="17"/>
          <w:szCs w:val="17"/>
          <w:color w:val="auto"/>
        </w:rPr>
        <w:t>The mortality assumption used to value our 2021 U.S. pension obligations was the Pri-2012 mortality table with generational projection using MP-2021 for both males and females, while in the prior year the obligation was valued using the Pri-2012 mortality table with generational projection using MP-2020. We used the 2014 CPM Private Sector mortality table projected generationally with Scale CPM-B for both males and females to value our Canadian pension obligations for 2021.</w:t>
      </w:r>
    </w:p>
    <w:p>
      <w:pPr>
        <w:spacing w:after="0" w:line="200" w:lineRule="exact"/>
        <w:rPr>
          <w:sz w:val="20"/>
          <w:szCs w:val="20"/>
          <w:color w:val="auto"/>
        </w:rPr>
      </w:pPr>
    </w:p>
    <w:p>
      <w:pPr>
        <w:sectPr>
          <w:pgSz w:w="11900" w:h="16838" w:orient="portrait"/>
          <w:cols w:equalWidth="0" w:num="2">
            <w:col w:w="1240" w:space="420"/>
            <w:col w:w="7479"/>
          </w:cols>
          <w:pgMar w:left="1320" w:top="849" w:right="1440" w:bottom="1440" w:gutter="0" w:footer="0" w:header="0"/>
        </w:sectPr>
      </w:pPr>
    </w:p>
    <w:p>
      <w:pPr>
        <w:spacing w:after="0" w:line="119" w:lineRule="exact"/>
        <w:rPr>
          <w:sz w:val="20"/>
          <w:szCs w:val="20"/>
          <w:color w:val="auto"/>
        </w:rPr>
      </w:pPr>
    </w:p>
    <w:p>
      <w:pPr>
        <w:jc w:val="both"/>
        <w:ind w:left="1660" w:right="79"/>
        <w:spacing w:after="0" w:line="238" w:lineRule="auto"/>
        <w:rPr>
          <w:sz w:val="20"/>
          <w:szCs w:val="20"/>
          <w:color w:val="auto"/>
        </w:rPr>
      </w:pPr>
      <w:r>
        <w:rPr>
          <w:rFonts w:ascii="Arial" w:cs="Arial" w:eastAsia="Arial" w:hAnsi="Arial"/>
          <w:sz w:val="17"/>
          <w:szCs w:val="17"/>
          <w:color w:val="auto"/>
        </w:rPr>
        <w:t>For the SERP Medical Plan, the mortality assumption used to value the 2021 obligation was updated to the PriH-2012 table with generational projection using MP-2021. Each year we update this assumption to the most recent study from the Society of Actuaries.</w:t>
      </w:r>
    </w:p>
    <w:p>
      <w:pPr>
        <w:sectPr>
          <w:pgSz w:w="11900" w:h="16838" w:orient="portrait"/>
          <w:cols w:equalWidth="0" w:num="1">
            <w:col w:w="9139"/>
          </w:cols>
          <w:pgMar w:left="1320" w:top="849"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17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Deferred tax assets are reduced by a valuation allowance, which is established when it is more likely than not that some portion or all of the deferred tax assets will not be realized. We are required to estimate taxable income for future years by taxing jurisdiction and to use our judgment to determine whether to record a valuation allowance for part or all of a deferred tax asset. Estimates of taxable income are based upon our long-range strategic plans. A 1% change in the overall statutory tax rate for 2021 would have resulted in a change of $5 million to the carrying value of the net deferred tax liability and a corresponding charge or credit to income tax expense depending on whether the tax rate change was a decrease or an increase.</w:t>
      </w:r>
    </w:p>
    <w:p>
      <w:pPr>
        <w:spacing w:after="0" w:line="164" w:lineRule="exact"/>
        <w:rPr>
          <w:sz w:val="20"/>
          <w:szCs w:val="20"/>
          <w:color w:val="auto"/>
        </w:rPr>
      </w:pPr>
    </w:p>
    <w:p>
      <w:pPr>
        <w:jc w:val="both"/>
        <w:ind w:right="59"/>
        <w:spacing w:after="0" w:line="236" w:lineRule="auto"/>
        <w:rPr>
          <w:sz w:val="20"/>
          <w:szCs w:val="20"/>
          <w:color w:val="auto"/>
        </w:rPr>
      </w:pPr>
      <w:r>
        <w:rPr>
          <w:rFonts w:ascii="Arial" w:cs="Arial" w:eastAsia="Arial" w:hAnsi="Arial"/>
          <w:sz w:val="17"/>
          <w:szCs w:val="17"/>
          <w:color w:val="auto"/>
        </w:rPr>
        <w:t>We have operations in multiple taxing jurisdictions, and we are subject to audit in these jurisdictions. Tax audits by their nature are often complex and can require several years to resolve. Accruals of tax contingencies require us to make estimates and judgments with respect to the ultimate outcome of tax audits. Actual results could vary from these estimates.</w:t>
      </w:r>
    </w:p>
    <w:p>
      <w:pPr>
        <w:spacing w:after="0" w:line="163"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Our effective tax rates could be affected by numerous factors, such as level and geographic mix of income and losses, acquisitions, investments, intercompany transactions, foreign currency exchange rates, our stock price, changes in our deferred tax assets and liabilities and their valuation, changes in the laws, regulations, administrative practices, principles, and interpretations related to tax, including changes to the global tax framework and other laws and accounting rules in various jurisdictions.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jc w:val="both"/>
        <w:ind w:right="59"/>
        <w:spacing w:after="0" w:line="265" w:lineRule="auto"/>
        <w:rPr>
          <w:sz w:val="20"/>
          <w:szCs w:val="20"/>
          <w:color w:val="auto"/>
        </w:rPr>
      </w:pPr>
      <w:r>
        <w:rPr>
          <w:rFonts w:ascii="Arial" w:cs="Arial" w:eastAsia="Arial" w:hAnsi="Arial"/>
          <w:sz w:val="17"/>
          <w:szCs w:val="17"/>
          <w:color w:val="auto"/>
        </w:rPr>
        <w:t xml:space="preserve">Descriptions of the recently issued accounting principles are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7A. Quantitative and Qualitative Disclosures About Market Risk</w:t>
      </w:r>
    </w:p>
    <w:p>
      <w:pPr>
        <w:spacing w:after="0" w:line="158" w:lineRule="exact"/>
        <w:rPr>
          <w:sz w:val="20"/>
          <w:szCs w:val="20"/>
          <w:color w:val="auto"/>
        </w:rPr>
      </w:pPr>
    </w:p>
    <w:p>
      <w:pPr>
        <w:jc w:val="both"/>
        <w:ind w:right="79"/>
        <w:spacing w:after="0" w:line="265" w:lineRule="auto"/>
        <w:rPr>
          <w:sz w:val="20"/>
          <w:szCs w:val="20"/>
          <w:color w:val="auto"/>
        </w:rPr>
      </w:pPr>
      <w:r>
        <w:rPr>
          <w:rFonts w:ascii="Arial" w:cs="Arial" w:eastAsia="Arial" w:hAnsi="Arial"/>
          <w:sz w:val="17"/>
          <w:szCs w:val="17"/>
          <w:color w:val="auto"/>
        </w:rPr>
        <w:t xml:space="preserve">Information regarding foreign exchange risk management is included in the </w:t>
      </w:r>
      <w:r>
        <w:rPr>
          <w:rFonts w:ascii="Arial" w:cs="Arial" w:eastAsia="Arial" w:hAnsi="Arial"/>
          <w:sz w:val="17"/>
          <w:szCs w:val="17"/>
          <w:i w:val="1"/>
          <w:iCs w:val="1"/>
          <w:color w:val="auto"/>
        </w:rPr>
        <w:t>Financial Instruments and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note under “Item 8. Consolidated Financial Statements and Supplementary Data.”</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8. Consolidated Financial Statements and Supplementary Data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Consolidated Financial Statements of the Company are included as part of this Report:</w:t>
      </w:r>
    </w:p>
    <w:p>
      <w:pPr>
        <w:spacing w:after="0" w:line="167" w:lineRule="exact"/>
        <w:rPr>
          <w:sz w:val="20"/>
          <w:szCs w:val="20"/>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Consolidated Statements of Operations for the fiscal years ended:</w:t>
      </w:r>
    </w:p>
    <w:p>
      <w:pPr>
        <w:spacing w:after="0" w:line="36" w:lineRule="exact"/>
        <w:rPr>
          <w:rFonts w:ascii="Arial" w:cs="Arial" w:eastAsia="Arial" w:hAnsi="Arial"/>
          <w:sz w:val="18"/>
          <w:szCs w:val="18"/>
          <w:color w:val="auto"/>
        </w:rPr>
      </w:pPr>
    </w:p>
    <w:p>
      <w:pPr>
        <w:ind w:left="1000" w:hanging="326"/>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7"/>
          <w:szCs w:val="17"/>
          <w:color w:val="auto"/>
        </w:rPr>
        <w:t>January 29, 2022, January 30, 2021, and February 1, 2020</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Consolidated Statements of Comprehensive Income for the fiscal years ended:</w:t>
      </w:r>
    </w:p>
    <w:p>
      <w:pPr>
        <w:spacing w:after="0" w:line="36" w:lineRule="exact"/>
        <w:rPr>
          <w:rFonts w:ascii="Arial" w:cs="Arial" w:eastAsia="Arial" w:hAnsi="Arial"/>
          <w:sz w:val="18"/>
          <w:szCs w:val="18"/>
          <w:color w:val="auto"/>
        </w:rPr>
      </w:pPr>
    </w:p>
    <w:p>
      <w:pPr>
        <w:ind w:left="1000" w:hanging="326"/>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7"/>
          <w:szCs w:val="17"/>
          <w:color w:val="auto"/>
        </w:rPr>
        <w:t>January 29, 2022, January 30, 2021, and February 1, 2020</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Consolidated Balance Sheets as of:</w:t>
      </w:r>
    </w:p>
    <w:p>
      <w:pPr>
        <w:spacing w:after="0" w:line="36" w:lineRule="exact"/>
        <w:rPr>
          <w:rFonts w:ascii="Arial" w:cs="Arial" w:eastAsia="Arial" w:hAnsi="Arial"/>
          <w:sz w:val="18"/>
          <w:szCs w:val="18"/>
          <w:color w:val="auto"/>
        </w:rPr>
      </w:pPr>
    </w:p>
    <w:p>
      <w:pPr>
        <w:ind w:left="1000" w:hanging="326"/>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7"/>
          <w:szCs w:val="17"/>
          <w:color w:val="auto"/>
        </w:rPr>
        <w:t>January 29, 2022 and January 30, 2021</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Consolidated Statements of Changes in Shareholders’ Equity for the fiscal years ended:</w:t>
      </w:r>
    </w:p>
    <w:p>
      <w:pPr>
        <w:spacing w:after="0" w:line="36" w:lineRule="exact"/>
        <w:rPr>
          <w:rFonts w:ascii="Arial" w:cs="Arial" w:eastAsia="Arial" w:hAnsi="Arial"/>
          <w:sz w:val="18"/>
          <w:szCs w:val="18"/>
          <w:color w:val="auto"/>
        </w:rPr>
      </w:pPr>
    </w:p>
    <w:p>
      <w:pPr>
        <w:ind w:left="1000" w:hanging="326"/>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7"/>
          <w:szCs w:val="17"/>
          <w:color w:val="auto"/>
        </w:rPr>
        <w:t>January 29, 2022, January 30, 2021, and February 1, 2020</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Consolidated Statements of Cash Flows for the fiscal years ended:</w:t>
      </w:r>
    </w:p>
    <w:p>
      <w:pPr>
        <w:spacing w:after="0" w:line="36" w:lineRule="exact"/>
        <w:rPr>
          <w:rFonts w:ascii="Arial" w:cs="Arial" w:eastAsia="Arial" w:hAnsi="Arial"/>
          <w:sz w:val="18"/>
          <w:szCs w:val="18"/>
          <w:color w:val="auto"/>
        </w:rPr>
      </w:pPr>
    </w:p>
    <w:p>
      <w:pPr>
        <w:ind w:left="1000" w:hanging="326"/>
        <w:spacing w:after="0"/>
        <w:tabs>
          <w:tab w:leader="none" w:pos="1000" w:val="left"/>
        </w:tabs>
        <w:numPr>
          <w:ilvl w:val="1"/>
          <w:numId w:val="14"/>
        </w:numPr>
        <w:rPr>
          <w:rFonts w:ascii="Arial" w:cs="Arial" w:eastAsia="Arial" w:hAnsi="Arial"/>
          <w:sz w:val="18"/>
          <w:szCs w:val="18"/>
          <w:color w:val="auto"/>
        </w:rPr>
      </w:pPr>
      <w:r>
        <w:rPr>
          <w:rFonts w:ascii="Arial" w:cs="Arial" w:eastAsia="Arial" w:hAnsi="Arial"/>
          <w:sz w:val="17"/>
          <w:szCs w:val="17"/>
          <w:color w:val="auto"/>
        </w:rPr>
        <w:t>January 29, 2022, January 30, 2021, and February 1, 2020</w:t>
      </w:r>
    </w:p>
    <w:p>
      <w:pPr>
        <w:spacing w:after="0" w:line="36" w:lineRule="exact"/>
        <w:rPr>
          <w:rFonts w:ascii="Arial" w:cs="Arial" w:eastAsia="Arial" w:hAnsi="Arial"/>
          <w:sz w:val="18"/>
          <w:szCs w:val="18"/>
          <w:color w:val="auto"/>
        </w:rPr>
      </w:pPr>
    </w:p>
    <w:p>
      <w:pPr>
        <w:ind w:left="680" w:hanging="330"/>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7"/>
          <w:szCs w:val="17"/>
          <w:color w:val="auto"/>
        </w:rPr>
        <w:t>Notes to the Consolidated Financial Statements.</w:t>
      </w:r>
    </w:p>
    <w:p>
      <w:pPr>
        <w:spacing w:after="0" w:line="214"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Board of Directors</w:t>
      </w:r>
    </w:p>
    <w:p>
      <w:pPr>
        <w:spacing w:after="0"/>
        <w:rPr>
          <w:sz w:val="20"/>
          <w:szCs w:val="20"/>
          <w:color w:val="auto"/>
        </w:rPr>
      </w:pPr>
      <w:r>
        <w:rPr>
          <w:rFonts w:ascii="Arial" w:cs="Arial" w:eastAsia="Arial" w:hAnsi="Arial"/>
          <w:sz w:val="17"/>
          <w:szCs w:val="17"/>
          <w:color w:val="auto"/>
        </w:rPr>
        <w:t>Foot Locker, Inc.:</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14"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have audited the accompanying consolidated balance sheets of Foot Locker, Inc. and subsidiaries (the Company) as of January 29, 2022 and January 30, 2021, the related consolidated statements of operations, comprehensive income, changes in shareholders’ equity, and cash flows for each of the years in the three-year period ended January 29, 2022, and the related notes (collectively, the consolidated financial statements). In our opinion, the consolidated financial statements present fairly, in all material respects, the financial position of the Company as of January 29, 2022 and January 30, 2021, and the results of its operations and its cash flows for each of the years in the three-year period ended January 29, 2022, in conformity with U.S. generally accepted accounting principles.</w:t>
      </w:r>
    </w:p>
    <w:p>
      <w:pPr>
        <w:spacing w:after="0" w:line="15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January 29, 2022, based on criteria established in Internal Control – Integrated Framework (2013) issued by the Committee of Sponsoring Organizations of the Treadway Commission, and our report dated March 24, 2022 expressed an unqualified opinion on the effectiveness of the Company’s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14"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Critical Audit Matters</w:t>
      </w:r>
    </w:p>
    <w:p>
      <w:pPr>
        <w:spacing w:after="0" w:line="196"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asset group related to certain underperforming stores</w:t>
      </w:r>
    </w:p>
    <w:p>
      <w:pPr>
        <w:spacing w:after="0" w:line="201"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As discussed in Notes 1 and 4 to the consolidated financial statements, the Company performs an impairment review when circumstances indicate that the carrying amount of long-lived tangible assets and right-of-use assets may not be recoverable. The long-lived tangible assets and the right-of-use assets of the Company as of January 29, 2022 were $917 million and $2,616 million, respectively. If a triggering event is identified, the Company compares the carrying amount of the asset group with the estimated future cash flows expected to result from the use of the asset group. If the carrying amount of the asset group exceeds the estimated undiscounted future cash flows, the Company measures the amount of the impairment by comparing the carrying amount of the asset group with its estimated fair value.</w:t>
      </w:r>
    </w:p>
    <w:p>
      <w:pPr>
        <w:spacing w:after="0" w:line="164"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29" w:right="1440" w:bottom="1440" w:gutter="0" w:footer="0" w:header="0"/>
        </w:sectPr>
      </w:pPr>
    </w:p>
    <w:bookmarkStart w:id="39" w:name="page40"/>
    <w:bookmarkEnd w:id="39"/>
    <w:p>
      <w:pPr>
        <w:jc w:val="both"/>
        <w:ind w:right="79"/>
        <w:spacing w:after="0" w:line="238" w:lineRule="auto"/>
        <w:rPr>
          <w:sz w:val="20"/>
          <w:szCs w:val="20"/>
          <w:color w:val="auto"/>
        </w:rPr>
      </w:pPr>
      <w:r>
        <w:rPr>
          <w:rFonts w:ascii="Arial" w:cs="Arial" w:eastAsia="Arial" w:hAnsi="Arial"/>
          <w:sz w:val="17"/>
          <w:szCs w:val="17"/>
          <w:color w:val="auto"/>
        </w:rPr>
        <w:t>The estimation of fair value of the asset group is measured by discounting expected future cash flows using a risk-adjusted discount rate and current market-based information for right-of-use assets. During the year ended January 29, 2022, the Company recorded impairment charges of $92 million related to certain underperforming stores.</w:t>
      </w:r>
    </w:p>
    <w:p>
      <w:pPr>
        <w:spacing w:after="0" w:line="147" w:lineRule="exact"/>
        <w:rPr>
          <w:sz w:val="20"/>
          <w:szCs w:val="20"/>
          <w:color w:val="auto"/>
        </w:rPr>
      </w:pPr>
    </w:p>
    <w:p>
      <w:pPr>
        <w:jc w:val="both"/>
        <w:ind w:right="59"/>
        <w:spacing w:after="0"/>
        <w:rPr>
          <w:sz w:val="20"/>
          <w:szCs w:val="20"/>
          <w:color w:val="auto"/>
        </w:rPr>
      </w:pPr>
      <w:r>
        <w:rPr>
          <w:rFonts w:ascii="Arial" w:cs="Arial" w:eastAsia="Arial" w:hAnsi="Arial"/>
          <w:sz w:val="17"/>
          <w:szCs w:val="17"/>
          <w:color w:val="auto"/>
        </w:rPr>
        <w:t>We identified the evaluation of the fair value of the asset group related to certain underperforming stores as a critical audit matter. The market-based assumptions used to estimate the fair value of the asset group included market rent estimates for comparable stores that required a high degree of auditor judgment to evaluate and were challenging to test in the current economic environment, as the COVID-19 shutdowns impacted the retail real estate market significantly. Changes in the selection of the market rent estimates could have had a significant effect on the determination of the fair value of the asset group, which impacted the measurement and allocation of the impairment loss within the asset group.</w:t>
      </w:r>
    </w:p>
    <w:p>
      <w:pPr>
        <w:spacing w:after="0" w:line="326"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 xml:space="preserve">The following are the primary procedures we performed to address this critical audit matter. We evaluated the design and tested the operating effectiveness of certain internal controls over the Company’s long-lived tangible asset and right-of-use asset impairment assessment process, including a control related to the estimate of the fair value of the asset group. We involved valuation professionals with specialized skills and knowledge, who assisted in (1) </w:t>
      </w:r>
      <w:r>
        <w:rPr>
          <w:rFonts w:ascii="Arial" w:cs="Arial" w:eastAsia="Arial" w:hAnsi="Arial"/>
          <w:sz w:val="16"/>
          <w:szCs w:val="16"/>
          <w:color w:val="auto"/>
        </w:rPr>
        <w:t>evaluating</w:t>
      </w:r>
      <w:r>
        <w:rPr>
          <w:rFonts w:ascii="Arial" w:cs="Arial" w:eastAsia="Arial" w:hAnsi="Arial"/>
          <w:sz w:val="17"/>
          <w:szCs w:val="17"/>
          <w:color w:val="auto"/>
        </w:rPr>
        <w:t xml:space="preserve"> </w:t>
      </w:r>
      <w:r>
        <w:rPr>
          <w:rFonts w:ascii="Arial" w:cs="Arial" w:eastAsia="Arial" w:hAnsi="Arial"/>
          <w:sz w:val="16"/>
          <w:szCs w:val="16"/>
          <w:color w:val="auto"/>
        </w:rPr>
        <w:t xml:space="preserve">the market rent estimates by assessing comparable retail leasing activity applicable to each location, and (2) </w:t>
      </w:r>
      <w:r>
        <w:rPr>
          <w:rFonts w:ascii="Arial" w:cs="Arial" w:eastAsia="Arial" w:hAnsi="Arial"/>
          <w:sz w:val="17"/>
          <w:szCs w:val="17"/>
          <w:color w:val="auto"/>
        </w:rPr>
        <w:t>assessing</w:t>
      </w:r>
      <w:r>
        <w:rPr>
          <w:rFonts w:ascii="Arial" w:cs="Arial" w:eastAsia="Arial" w:hAnsi="Arial"/>
          <w:sz w:val="16"/>
          <w:szCs w:val="16"/>
          <w:color w:val="auto"/>
        </w:rPr>
        <w:t xml:space="preserve"> </w:t>
      </w:r>
      <w:r>
        <w:rPr>
          <w:rFonts w:ascii="Arial" w:cs="Arial" w:eastAsia="Arial" w:hAnsi="Arial"/>
          <w:sz w:val="17"/>
          <w:szCs w:val="17"/>
          <w:color w:val="auto"/>
        </w:rPr>
        <w:t>historic leasing activity of the Company in relation to historical store sales performance.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tradename intangible assets</w:t>
      </w:r>
    </w:p>
    <w:p>
      <w:pPr>
        <w:spacing w:after="0" w:line="201" w:lineRule="exact"/>
        <w:rPr>
          <w:sz w:val="20"/>
          <w:szCs w:val="20"/>
          <w:color w:val="auto"/>
        </w:rPr>
      </w:pPr>
    </w:p>
    <w:p>
      <w:pPr>
        <w:jc w:val="both"/>
        <w:ind w:right="59"/>
        <w:spacing w:after="0" w:line="235" w:lineRule="auto"/>
        <w:rPr>
          <w:sz w:val="20"/>
          <w:szCs w:val="20"/>
          <w:color w:val="auto"/>
        </w:rPr>
      </w:pPr>
      <w:r>
        <w:rPr>
          <w:rFonts w:ascii="Arial" w:cs="Arial" w:eastAsia="Arial" w:hAnsi="Arial"/>
          <w:sz w:val="17"/>
          <w:szCs w:val="17"/>
          <w:color w:val="auto"/>
        </w:rPr>
        <w:t>As discussed in Note 2 to the consolidated financial statements, on September 18, 2021, the Company acquired Eurostar, Inc., operating as WSS (“WSS”), and on November 1, 2021, the Company acquired certain entities collectively referred to as atmos. In connection with these business combinations, the Company acquired certain tradename intangible assets. The preliminary, estimated acquisition-date fair value for the tradename intangible assets of WSS and atmos was $296 million and $135 million, respectively. The Company used the relief from royalty method to determine the fair value of the tradename intangible assets.</w:t>
      </w:r>
    </w:p>
    <w:p>
      <w:pPr>
        <w:spacing w:after="0" w:line="148" w:lineRule="exact"/>
        <w:rPr>
          <w:sz w:val="20"/>
          <w:szCs w:val="20"/>
          <w:color w:val="auto"/>
        </w:rPr>
      </w:pPr>
    </w:p>
    <w:p>
      <w:pPr>
        <w:jc w:val="both"/>
        <w:ind w:right="59"/>
        <w:spacing w:after="0" w:line="234" w:lineRule="auto"/>
        <w:rPr>
          <w:sz w:val="20"/>
          <w:szCs w:val="20"/>
          <w:color w:val="auto"/>
        </w:rPr>
      </w:pPr>
      <w:r>
        <w:rPr>
          <w:rFonts w:ascii="Arial" w:cs="Arial" w:eastAsia="Arial" w:hAnsi="Arial"/>
          <w:sz w:val="17"/>
          <w:szCs w:val="17"/>
          <w:color w:val="auto"/>
        </w:rPr>
        <w:t>We identified the assessment of the acquisition-date fair value of the tradename intangible assets acquired in these business combinations as a critical audit matter. A high degree of subjective auditor judgment was required to evaluate the amount and timing of near-term forecasted revenue, long-term revenue growth rates, the royalty rates, and the discount rates used to value the tradename intangible assets. Changes in these assumptions could have had a significant impact on the acquisition-date fair value of the tradename intangible assets. Valuation professionals with specialized skills and knowledge were also required to assess the long-term growth rates, royalty rates and discount rates assumptions.</w:t>
      </w:r>
    </w:p>
    <w:p>
      <w:pPr>
        <w:spacing w:after="0" w:line="164" w:lineRule="exact"/>
        <w:rPr>
          <w:sz w:val="20"/>
          <w:szCs w:val="20"/>
          <w:color w:val="auto"/>
        </w:rPr>
      </w:pPr>
    </w:p>
    <w:p>
      <w:pPr>
        <w:jc w:val="both"/>
        <w:ind w:right="59"/>
        <w:spacing w:after="0" w:line="233"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 including controls related to the assumptions discussed above. We evaluated the amount and timing of near-term forecasted revenue, and long-term revenue growth rates used by the Company by comparing the near-term forecasted revenue to historical results of the acquired entities. To assess the impact that changes in certain assumptions would have had on the Company’s determination of fair value of the tradename intangible assets, we performed sensitivity analyses over the Company’s near-term forecasted revenue attributable to the tradename, royalty rates, and discount rates. We involved valuation professionals with specialized skills and knowledge, who assisted in (1) evaluating the long-term revenue growth rates by comparing them to certain nationwide economic trend data such as GDP and inflation, and to relevant industry data, and (2) assessing the royalty rates and certain elements of the discount rates applied by comparing them to publicly available market data.</w:t>
      </w:r>
    </w:p>
    <w:p>
      <w:pPr>
        <w:spacing w:after="0" w:line="356"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9139"/>
          </w:cols>
          <w:pgMar w:left="1320" w:top="849" w:right="1440" w:bottom="1440" w:gutter="0" w:footer="0" w:header="0"/>
        </w:sectPr>
      </w:pPr>
    </w:p>
    <w:bookmarkStart w:id="40" w:name="page41"/>
    <w:bookmarkEnd w:id="40"/>
    <w:p>
      <w:pPr>
        <w:ind w:left="1"/>
        <w:spacing w:after="0"/>
        <w:rPr>
          <w:sz w:val="20"/>
          <w:szCs w:val="20"/>
          <w:color w:val="auto"/>
        </w:rPr>
      </w:pPr>
      <w:r>
        <w:rPr>
          <w:rFonts w:ascii="Arial" w:cs="Arial" w:eastAsia="Arial" w:hAnsi="Arial"/>
          <w:sz w:val="17"/>
          <w:szCs w:val="17"/>
          <w:i w:val="1"/>
          <w:iCs w:val="1"/>
          <w:color w:val="auto"/>
        </w:rPr>
        <w:t>Fair value of contingent consideration</w:t>
      </w:r>
    </w:p>
    <w:p>
      <w:pPr>
        <w:spacing w:after="0" w:line="160" w:lineRule="exact"/>
        <w:rPr>
          <w:sz w:val="20"/>
          <w:szCs w:val="20"/>
          <w:color w:val="auto"/>
        </w:rPr>
      </w:pPr>
    </w:p>
    <w:p>
      <w:pPr>
        <w:jc w:val="both"/>
        <w:ind w:left="1" w:right="59"/>
        <w:spacing w:after="0" w:line="233" w:lineRule="auto"/>
        <w:rPr>
          <w:sz w:val="20"/>
          <w:szCs w:val="20"/>
          <w:color w:val="auto"/>
        </w:rPr>
      </w:pPr>
      <w:r>
        <w:rPr>
          <w:rFonts w:ascii="Arial" w:cs="Arial" w:eastAsia="Arial" w:hAnsi="Arial"/>
          <w:sz w:val="17"/>
          <w:szCs w:val="17"/>
          <w:color w:val="auto"/>
        </w:rPr>
        <w:t>As discussed in Notes 1 and 2 to the consolidated financial statements, on November 1, 2021, the Company acquired certain entities collectively referred to as atmos in a business combination for total purchase consideration of $360 million, including the fair value of contingent consideration initially measured at $35 million, which can reach up to $111 million based on the achievement of certain revenue and earnings before interest, taxes, depreciation, and amortization (EBITDA) performance. The fair value of the contingent consideration liability is estimated using an option pricing model simulation that determines an average projected payment value across numerous iterations. This technique determines projected payments based on simulated forecasted revenue and EBITDA, adjusted for selected revenue and EBITDA volatilities and risk premiums based on market data for comparable guideline public companies. The projected payments are then discounted back to the valuation date at the Company's cost of debt using a term commensurate with the contractual payment dates.</w:t>
      </w:r>
    </w:p>
    <w:p>
      <w:pPr>
        <w:spacing w:after="0" w:line="168" w:lineRule="exact"/>
        <w:rPr>
          <w:sz w:val="20"/>
          <w:szCs w:val="20"/>
          <w:color w:val="auto"/>
        </w:rPr>
      </w:pPr>
    </w:p>
    <w:p>
      <w:pPr>
        <w:jc w:val="both"/>
        <w:ind w:left="1" w:right="59"/>
        <w:spacing w:after="0" w:line="235" w:lineRule="auto"/>
        <w:rPr>
          <w:sz w:val="20"/>
          <w:szCs w:val="20"/>
          <w:color w:val="auto"/>
        </w:rPr>
      </w:pPr>
      <w:r>
        <w:rPr>
          <w:rFonts w:ascii="Arial" w:cs="Arial" w:eastAsia="Arial" w:hAnsi="Arial"/>
          <w:sz w:val="17"/>
          <w:szCs w:val="17"/>
          <w:color w:val="auto"/>
        </w:rPr>
        <w:t>We identified the assessment of the acquisition-date fair value of the contingent consideration liability resulting from the atmos business combination as a critical audit matter. A high degree of subjective auditor judgment was required to evaluate the amount and timing of forecasted revenue, forecasted EBITDA, and the discount rate. Changes in these assumptions could have had a significant impact on the acquisition-date fair value of the contingent consideration. Valuation professionals with specialized skills and knowledge were also required to assess the discount rate.</w:t>
      </w:r>
    </w:p>
    <w:p>
      <w:pPr>
        <w:spacing w:after="0" w:line="163" w:lineRule="exact"/>
        <w:rPr>
          <w:sz w:val="20"/>
          <w:szCs w:val="20"/>
          <w:color w:val="auto"/>
        </w:rPr>
      </w:pPr>
    </w:p>
    <w:p>
      <w:pPr>
        <w:jc w:val="both"/>
        <w:ind w:left="1" w:right="59"/>
        <w:spacing w:after="0" w:line="232"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acquisition-date valuation process, including a control related to the assumptions discussed above. We evaluated the amount and timing of forecasted revenue and EBITDA by comparing them to historical results of the acquired entity. To assess the impact that changes in certain assumptions would have had on the Company’s determination of acquisition-date fair value of the contingent consideration liability, we performed sensitivity analyses over the Company’s forecasted revenue, forecasted EBITDA, and discount rate. We involved valuation professionals with specialized skills and knowledge, who assisted in</w:t>
      </w:r>
    </w:p>
    <w:p>
      <w:pPr>
        <w:jc w:val="both"/>
        <w:ind w:left="1" w:right="79" w:hanging="1"/>
        <w:spacing w:after="0" w:line="238" w:lineRule="auto"/>
        <w:tabs>
          <w:tab w:leader="none" w:pos="2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evaluating the long-term revenue growth rates used to forecast revenue and EBITDA by comparing them to certain nationwide economic trend data such as GDP and inflation, and to relevant industry data, and (2) assessing certain elements of the discount rate applied by comparing them to publicly available market data.</w:t>
      </w:r>
    </w:p>
    <w:p>
      <w:pPr>
        <w:spacing w:after="0" w:line="200" w:lineRule="exact"/>
        <w:rPr>
          <w:sz w:val="20"/>
          <w:szCs w:val="20"/>
          <w:color w:val="auto"/>
        </w:rPr>
      </w:pPr>
    </w:p>
    <w:p>
      <w:pPr>
        <w:spacing w:after="0" w:line="344" w:lineRule="exact"/>
        <w:rPr>
          <w:sz w:val="20"/>
          <w:szCs w:val="20"/>
          <w:color w:val="auto"/>
        </w:rPr>
      </w:pPr>
    </w:p>
    <w:p>
      <w:pPr>
        <w:ind w:left="1"/>
        <w:spacing w:after="0"/>
        <w:rPr>
          <w:sz w:val="20"/>
          <w:szCs w:val="20"/>
          <w:color w:val="auto"/>
        </w:rPr>
      </w:pPr>
      <w:r>
        <w:rPr>
          <w:rFonts w:ascii="Arial" w:cs="Arial" w:eastAsia="Arial" w:hAnsi="Arial"/>
          <w:sz w:val="18"/>
          <w:szCs w:val="18"/>
          <w:color w:val="auto"/>
        </w:rPr>
        <w:t>/s</w:t>
      </w:r>
      <w:r>
        <w:rPr>
          <w:rFonts w:ascii="Arial" w:cs="Arial" w:eastAsia="Arial" w:hAnsi="Arial"/>
          <w:sz w:val="17"/>
          <w:szCs w:val="17"/>
          <w:color w:val="auto"/>
        </w:rPr>
        <w:t>/ KPMG LLP</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17"/>
          <w:szCs w:val="17"/>
          <w:color w:val="auto"/>
        </w:rPr>
        <w:t>We have served as the Company’s auditor since 1995.</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color w:val="auto"/>
        </w:rPr>
        <w:t>New York, New York</w:t>
      </w:r>
    </w:p>
    <w:p>
      <w:pPr>
        <w:ind w:left="1"/>
        <w:spacing w:after="0"/>
        <w:rPr>
          <w:sz w:val="20"/>
          <w:szCs w:val="20"/>
          <w:color w:val="auto"/>
        </w:rPr>
      </w:pPr>
      <w:r>
        <w:rPr>
          <w:rFonts w:ascii="Arial" w:cs="Arial" w:eastAsia="Arial" w:hAnsi="Arial"/>
          <w:sz w:val="17"/>
          <w:szCs w:val="17"/>
          <w:color w:val="auto"/>
        </w:rPr>
        <w:t>March 24,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161"/>
        <w:spacing w:after="0"/>
        <w:rPr>
          <w:sz w:val="20"/>
          <w:szCs w:val="20"/>
          <w:color w:val="auto"/>
        </w:rPr>
      </w:pPr>
      <w:r>
        <w:rPr>
          <w:rFonts w:ascii="Arial" w:cs="Arial" w:eastAsia="Arial" w:hAnsi="Arial"/>
          <w:sz w:val="17"/>
          <w:szCs w:val="17"/>
          <w:color w:val="auto"/>
        </w:rPr>
        <w:t>2021 Form 10-K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576897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41"/>
          </w:cols>
          <w:pgMar w:left="1319" w:top="831" w:right="144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640" w:type="dxa"/>
            <w:vAlign w:val="bottom"/>
            <w:gridSpan w:val="4"/>
          </w:tcPr>
          <w:p>
            <w:pPr>
              <w:jc w:val="right"/>
              <w:ind w:right="55"/>
              <w:spacing w:after="0"/>
              <w:rPr>
                <w:sz w:val="20"/>
                <w:szCs w:val="20"/>
                <w:color w:val="auto"/>
              </w:rPr>
            </w:pPr>
            <w:r>
              <w:rPr>
                <w:rFonts w:ascii="Arial" w:cs="Arial" w:eastAsia="Arial" w:hAnsi="Arial"/>
                <w:sz w:val="17"/>
                <w:szCs w:val="17"/>
                <w:b w:val="1"/>
                <w:bCs w:val="1"/>
                <w:color w:val="auto"/>
              </w:rPr>
              <w:t>CONSOLIDATED STATEMENTS OF OPERATIONS</w:t>
            </w: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4660" w:type="dxa"/>
            <w:vAlign w:val="bottom"/>
            <w:gridSpan w:val="2"/>
          </w:tcPr>
          <w:p>
            <w:pPr>
              <w:spacing w:after="0"/>
              <w:rPr>
                <w:sz w:val="20"/>
                <w:szCs w:val="20"/>
                <w:color w:val="auto"/>
              </w:rPr>
            </w:pPr>
            <w:r>
              <w:rPr>
                <w:rFonts w:ascii="Arial" w:cs="Arial" w:eastAsia="Arial" w:hAnsi="Arial"/>
                <w:sz w:val="17"/>
                <w:szCs w:val="17"/>
                <w:color w:val="auto"/>
              </w:rPr>
              <w:t>($ in millions, except per share amounts)</w:t>
            </w:r>
          </w:p>
        </w:tc>
        <w:tc>
          <w:tcPr>
            <w:tcW w:w="520" w:type="dxa"/>
            <w:vAlign w:val="bottom"/>
          </w:tcPr>
          <w:p>
            <w:pPr>
              <w:spacing w:after="0"/>
              <w:rPr>
                <w:sz w:val="24"/>
                <w:szCs w:val="24"/>
                <w:color w:val="auto"/>
              </w:rPr>
            </w:pPr>
          </w:p>
        </w:tc>
        <w:tc>
          <w:tcPr>
            <w:tcW w:w="1080" w:type="dxa"/>
            <w:vAlign w:val="bottom"/>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24"/>
                <w:szCs w:val="24"/>
                <w:color w:val="auto"/>
              </w:rPr>
            </w:pPr>
          </w:p>
        </w:tc>
        <w:tc>
          <w:tcPr>
            <w:tcW w:w="1060" w:type="dxa"/>
            <w:vAlign w:val="bottom"/>
          </w:tcPr>
          <w:p>
            <w:pPr>
              <w:jc w:val="right"/>
              <w:ind w:right="455"/>
              <w:spacing w:after="0"/>
              <w:rPr>
                <w:sz w:val="20"/>
                <w:szCs w:val="20"/>
                <w:color w:val="auto"/>
              </w:rPr>
            </w:pPr>
            <w:r>
              <w:rPr>
                <w:rFonts w:ascii="Arial" w:cs="Arial" w:eastAsia="Arial" w:hAnsi="Arial"/>
                <w:sz w:val="17"/>
                <w:szCs w:val="17"/>
                <w:color w:val="auto"/>
              </w:rPr>
              <w:t>2020</w:t>
            </w:r>
          </w:p>
        </w:tc>
        <w:tc>
          <w:tcPr>
            <w:tcW w:w="360" w:type="dxa"/>
            <w:vAlign w:val="bottom"/>
          </w:tcPr>
          <w:p>
            <w:pPr>
              <w:spacing w:after="0"/>
              <w:rPr>
                <w:sz w:val="24"/>
                <w:szCs w:val="24"/>
                <w:color w:val="auto"/>
              </w:rPr>
            </w:pPr>
          </w:p>
        </w:tc>
        <w:tc>
          <w:tcPr>
            <w:tcW w:w="1000" w:type="dxa"/>
            <w:vAlign w:val="bottom"/>
          </w:tcPr>
          <w:p>
            <w:pPr>
              <w:jc w:val="right"/>
              <w:ind w:right="3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Sales</w:t>
            </w:r>
          </w:p>
        </w:tc>
        <w:tc>
          <w:tcPr>
            <w:tcW w:w="52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8,958</w:t>
            </w:r>
          </w:p>
        </w:tc>
        <w:tc>
          <w:tcPr>
            <w:tcW w:w="4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7,548</w:t>
            </w:r>
          </w:p>
        </w:tc>
        <w:tc>
          <w:tcPr>
            <w:tcW w:w="3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8,005</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sales</w:t>
            </w: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5,878</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5,365</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5,462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spacing w:after="0" w:line="189" w:lineRule="exact"/>
              <w:rPr>
                <w:sz w:val="20"/>
                <w:szCs w:val="20"/>
                <w:color w:val="auto"/>
              </w:rPr>
            </w:pPr>
            <w:r>
              <w:rPr>
                <w:rFonts w:ascii="Arial" w:cs="Arial" w:eastAsia="Arial" w:hAnsi="Arial"/>
                <w:sz w:val="17"/>
                <w:szCs w:val="17"/>
                <w:color w:val="auto"/>
              </w:rPr>
              <w:t>Selling, general and administrative expenses</w:t>
            </w:r>
          </w:p>
        </w:tc>
        <w:tc>
          <w:tcPr>
            <w:tcW w:w="52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1,851</w:t>
            </w:r>
          </w:p>
        </w:tc>
        <w:tc>
          <w:tcPr>
            <w:tcW w:w="40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1,587</w:t>
            </w: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Depreciation and amortization</w:t>
            </w: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197</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176</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Impairment and other charges</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172</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117</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from operations</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860</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303</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649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Interest (expense) income, net</w:t>
            </w: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(14)</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income, net</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394</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198</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1,240</w:t>
            </w: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494</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Income tax expense</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348</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171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income</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892</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323</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loss attributable to noncontrolling interests</w:t>
            </w: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5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893</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323</w:t>
            </w:r>
          </w:p>
        </w:tc>
        <w:tc>
          <w:tcPr>
            <w:tcW w:w="36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Basic earnings per share</w:t>
            </w:r>
          </w:p>
        </w:tc>
        <w:tc>
          <w:tcPr>
            <w:tcW w:w="5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8.72</w:t>
            </w:r>
          </w:p>
        </w:tc>
        <w:tc>
          <w:tcPr>
            <w:tcW w:w="40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3.10</w:t>
            </w:r>
          </w:p>
        </w:tc>
        <w:tc>
          <w:tcPr>
            <w:tcW w:w="3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ind w:left="100"/>
              <w:spacing w:after="0" w:line="189" w:lineRule="exact"/>
              <w:rPr>
                <w:sz w:val="20"/>
                <w:szCs w:val="20"/>
                <w:color w:val="auto"/>
              </w:rPr>
            </w:pPr>
            <w:r>
              <w:rPr>
                <w:rFonts w:ascii="Arial" w:cs="Arial" w:eastAsia="Arial" w:hAnsi="Arial"/>
                <w:sz w:val="17"/>
                <w:szCs w:val="17"/>
                <w:color w:val="auto"/>
              </w:rPr>
              <w:t>Weighted-average shares outstanding</w:t>
            </w:r>
          </w:p>
        </w:tc>
        <w:tc>
          <w:tcPr>
            <w:tcW w:w="52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102.5</w:t>
            </w:r>
          </w:p>
        </w:tc>
        <w:tc>
          <w:tcPr>
            <w:tcW w:w="400" w:type="dxa"/>
            <w:vAlign w:val="bottom"/>
          </w:tcPr>
          <w:p>
            <w:pPr>
              <w:spacing w:after="0"/>
              <w:rPr>
                <w:sz w:val="16"/>
                <w:szCs w:val="16"/>
                <w:color w:val="auto"/>
              </w:rPr>
            </w:pP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104.3</w:t>
            </w: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Pr>
          <w:p>
            <w:pPr>
              <w:ind w:left="100"/>
              <w:spacing w:after="0" w:line="189" w:lineRule="exact"/>
              <w:rPr>
                <w:sz w:val="20"/>
                <w:szCs w:val="20"/>
                <w:color w:val="auto"/>
              </w:rPr>
            </w:pPr>
            <w:r>
              <w:rPr>
                <w:rFonts w:ascii="Arial" w:cs="Arial" w:eastAsia="Arial" w:hAnsi="Arial"/>
                <w:sz w:val="17"/>
                <w:szCs w:val="17"/>
                <w:color w:val="auto"/>
              </w:rPr>
              <w:t>Diluted earnings per share</w:t>
            </w: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8.61</w:t>
            </w:r>
          </w:p>
        </w:tc>
        <w:tc>
          <w:tcPr>
            <w:tcW w:w="4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ind w:right="95"/>
              <w:spacing w:after="0" w:line="189" w:lineRule="exact"/>
              <w:rPr>
                <w:sz w:val="20"/>
                <w:szCs w:val="20"/>
                <w:color w:val="auto"/>
              </w:rPr>
            </w:pPr>
            <w:r>
              <w:rPr>
                <w:rFonts w:ascii="Arial" w:cs="Arial" w:eastAsia="Arial" w:hAnsi="Arial"/>
                <w:sz w:val="17"/>
                <w:szCs w:val="17"/>
                <w:color w:val="auto"/>
              </w:rPr>
              <w:t>3.08</w:t>
            </w:r>
          </w:p>
        </w:tc>
        <w:tc>
          <w:tcPr>
            <w:tcW w:w="3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4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Weighted-average shares outstanding, assuming dilution</w:t>
            </w:r>
          </w:p>
        </w:tc>
        <w:tc>
          <w:tcPr>
            <w:tcW w:w="5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103.8</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105.1</w:t>
            </w: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543560</wp:posOffset>
            </wp:positionV>
            <wp:extent cx="2065655"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4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760" w:type="dxa"/>
            <w:vAlign w:val="bottom"/>
            <w:gridSpan w:val="5"/>
          </w:tcPr>
          <w:p>
            <w:pPr>
              <w:ind w:left="1960"/>
              <w:spacing w:after="0"/>
              <w:rPr>
                <w:sz w:val="20"/>
                <w:szCs w:val="20"/>
                <w:color w:val="auto"/>
              </w:rPr>
            </w:pPr>
            <w:r>
              <w:rPr>
                <w:rFonts w:ascii="Arial" w:cs="Arial" w:eastAsia="Arial" w:hAnsi="Arial"/>
                <w:sz w:val="17"/>
                <w:szCs w:val="17"/>
                <w:b w:val="1"/>
                <w:bCs w:val="1"/>
                <w:color w:val="auto"/>
              </w:rPr>
              <w:t>CONSOLIDATED STATEMENTS OF COMPREHENSIVE INCOME</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51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24"/>
                <w:szCs w:val="24"/>
                <w:color w:val="auto"/>
              </w:rPr>
            </w:pPr>
          </w:p>
        </w:tc>
        <w:tc>
          <w:tcPr>
            <w:tcW w:w="10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340" w:type="dxa"/>
            <w:vAlign w:val="bottom"/>
          </w:tcPr>
          <w:p>
            <w:pPr>
              <w:spacing w:after="0"/>
              <w:rPr>
                <w:sz w:val="24"/>
                <w:szCs w:val="24"/>
                <w:color w:val="auto"/>
              </w:rPr>
            </w:pPr>
          </w:p>
        </w:tc>
        <w:tc>
          <w:tcPr>
            <w:tcW w:w="980" w:type="dxa"/>
            <w:vAlign w:val="bottom"/>
          </w:tcPr>
          <w:p>
            <w:pPr>
              <w:jc w:val="right"/>
              <w:ind w:right="375"/>
              <w:spacing w:after="0"/>
              <w:rPr>
                <w:sz w:val="20"/>
                <w:szCs w:val="20"/>
                <w:color w:val="auto"/>
              </w:rPr>
            </w:pPr>
            <w:r>
              <w:rPr>
                <w:rFonts w:ascii="Arial" w:cs="Arial" w:eastAsia="Arial" w:hAnsi="Arial"/>
                <w:sz w:val="17"/>
                <w:szCs w:val="17"/>
                <w:color w:val="auto"/>
              </w:rPr>
              <w:t>2020</w:t>
            </w:r>
          </w:p>
        </w:tc>
        <w:tc>
          <w:tcPr>
            <w:tcW w:w="380" w:type="dxa"/>
            <w:vAlign w:val="bottom"/>
          </w:tcPr>
          <w:p>
            <w:pPr>
              <w:spacing w:after="0"/>
              <w:rPr>
                <w:sz w:val="24"/>
                <w:szCs w:val="24"/>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income attributable to Foot Locker, Inc.</w:t>
            </w:r>
          </w:p>
        </w:tc>
        <w:tc>
          <w:tcPr>
            <w:tcW w:w="36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893</w:t>
            </w:r>
          </w:p>
        </w:tc>
        <w:tc>
          <w:tcPr>
            <w:tcW w:w="34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323</w:t>
            </w:r>
          </w:p>
        </w:tc>
        <w:tc>
          <w:tcPr>
            <w:tcW w:w="3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7"/>
                <w:szCs w:val="17"/>
                <w:color w:val="auto"/>
              </w:rPr>
              <w:t>Other comprehensive income (loss), net of income tax</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7"/>
                <w:szCs w:val="17"/>
                <w:i w:val="1"/>
                <w:iCs w:val="1"/>
                <w:color w:val="auto"/>
              </w:rPr>
              <w:t>Foreign currency translation adjustment:</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Translation adjustment arising during the period, net of income</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(43)</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(benefit)/expense of $(1), $3, and $(1), respectively</w:t>
            </w:r>
          </w:p>
        </w:tc>
        <w:tc>
          <w:tcPr>
            <w:tcW w:w="3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Cash flow hedges:</w:t>
            </w: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Pr>
          <w:p>
            <w:pPr>
              <w:ind w:left="100"/>
              <w:spacing w:after="0" w:line="183" w:lineRule="exact"/>
              <w:rPr>
                <w:sz w:val="20"/>
                <w:szCs w:val="20"/>
                <w:color w:val="auto"/>
              </w:rPr>
            </w:pPr>
            <w:r>
              <w:rPr>
                <w:rFonts w:ascii="Arial" w:cs="Arial" w:eastAsia="Arial" w:hAnsi="Arial"/>
                <w:sz w:val="17"/>
                <w:szCs w:val="17"/>
                <w:color w:val="auto"/>
              </w:rPr>
              <w:t>Change in fair value of derivatives, net of income tax expense of</w:t>
            </w:r>
          </w:p>
        </w:tc>
        <w:tc>
          <w:tcPr>
            <w:tcW w:w="360" w:type="dxa"/>
            <w:vAlign w:val="bottom"/>
          </w:tcPr>
          <w:p>
            <w:pPr>
              <w:spacing w:after="0"/>
              <w:rPr>
                <w:sz w:val="15"/>
                <w:szCs w:val="15"/>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Pr>
          <w:p>
            <w:pPr>
              <w:ind w:left="220"/>
              <w:spacing w:after="0"/>
              <w:rPr>
                <w:sz w:val="20"/>
                <w:szCs w:val="20"/>
                <w:color w:val="auto"/>
              </w:rPr>
            </w:pPr>
            <w:r>
              <w:rPr>
                <w:rFonts w:ascii="Arial" w:cs="Arial" w:eastAsia="Arial" w:hAnsi="Arial"/>
                <w:sz w:val="17"/>
                <w:szCs w:val="17"/>
                <w:color w:val="auto"/>
              </w:rPr>
              <w:t>$-, $-, and $1, respectively</w:t>
            </w:r>
          </w:p>
        </w:tc>
        <w:tc>
          <w:tcPr>
            <w:tcW w:w="3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tcPr>
          <w:p>
            <w:pPr>
              <w:spacing w:after="0" w:line="189" w:lineRule="exact"/>
              <w:rPr>
                <w:sz w:val="20"/>
                <w:szCs w:val="20"/>
                <w:color w:val="auto"/>
              </w:rPr>
            </w:pPr>
            <w:r>
              <w:rPr>
                <w:rFonts w:ascii="Arial" w:cs="Arial" w:eastAsia="Arial" w:hAnsi="Arial"/>
                <w:sz w:val="17"/>
                <w:szCs w:val="17"/>
                <w:i w:val="1"/>
                <w:iCs w:val="1"/>
                <w:color w:val="auto"/>
              </w:rPr>
              <w:t>Pension and postretirement adjustments:</w:t>
            </w: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Net actuarial gain (loss) and foreign currency fluctuations arising</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during the year, net of income tax expense/(benefit) of $8, $4,</w:t>
            </w:r>
          </w:p>
        </w:tc>
        <w:tc>
          <w:tcPr>
            <w:tcW w:w="3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23</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$(3), respectively</w:t>
            </w:r>
          </w:p>
        </w:tc>
        <w:tc>
          <w:tcPr>
            <w:tcW w:w="3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13</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Amortization of net actuarial gain/loss and prior service cost</w:t>
            </w: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included in net periodic benefit costs, net of income tax</w:t>
            </w:r>
          </w:p>
        </w:tc>
        <w:tc>
          <w:tcPr>
            <w:tcW w:w="3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expense of $3, $3, and $3, respectively</w:t>
            </w: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c>
          <w:tcPr>
            <w:tcW w:w="3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0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Comprehensive income</w:t>
            </w:r>
          </w:p>
        </w:tc>
        <w:tc>
          <w:tcPr>
            <w:tcW w:w="3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881</w:t>
            </w:r>
          </w:p>
        </w:tc>
        <w:tc>
          <w:tcPr>
            <w:tcW w:w="3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386</w:t>
            </w:r>
          </w:p>
        </w:tc>
        <w:tc>
          <w:tcPr>
            <w:tcW w:w="3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543560</wp:posOffset>
            </wp:positionV>
            <wp:extent cx="2065655"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4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260" w:type="dxa"/>
            <w:vAlign w:val="bottom"/>
            <w:gridSpan w:val="3"/>
          </w:tcPr>
          <w:p>
            <w:pPr>
              <w:jc w:val="right"/>
              <w:ind w:right="1175"/>
              <w:spacing w:after="0"/>
              <w:rPr>
                <w:sz w:val="20"/>
                <w:szCs w:val="20"/>
                <w:color w:val="auto"/>
              </w:rPr>
            </w:pPr>
            <w:r>
              <w:rPr>
                <w:rFonts w:ascii="Arial" w:cs="Arial" w:eastAsia="Arial" w:hAnsi="Arial"/>
                <w:sz w:val="17"/>
                <w:szCs w:val="17"/>
                <w:b w:val="1"/>
                <w:bCs w:val="1"/>
                <w:color w:val="auto"/>
              </w:rPr>
              <w:t>CONSOLIDATED BALANCE SHEETS</w:t>
            </w: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jc w:val="right"/>
              <w:ind w:right="435"/>
              <w:spacing w:after="0"/>
              <w:rPr>
                <w:sz w:val="20"/>
                <w:szCs w:val="20"/>
                <w:color w:val="auto"/>
              </w:rPr>
            </w:pPr>
            <w:r>
              <w:rPr>
                <w:rFonts w:ascii="Arial" w:cs="Arial" w:eastAsia="Arial" w:hAnsi="Arial"/>
                <w:sz w:val="17"/>
                <w:szCs w:val="17"/>
                <w:b w:val="1"/>
                <w:bCs w:val="1"/>
                <w:color w:val="auto"/>
              </w:rPr>
              <w:t>January 29,</w:t>
            </w:r>
          </w:p>
        </w:tc>
        <w:tc>
          <w:tcPr>
            <w:tcW w:w="380" w:type="dxa"/>
            <w:vAlign w:val="bottom"/>
          </w:tcPr>
          <w:p>
            <w:pPr>
              <w:spacing w:after="0"/>
              <w:rPr>
                <w:sz w:val="24"/>
                <w:szCs w:val="24"/>
                <w:color w:val="auto"/>
              </w:rPr>
            </w:pPr>
          </w:p>
        </w:tc>
        <w:tc>
          <w:tcPr>
            <w:tcW w:w="1420" w:type="dxa"/>
            <w:vAlign w:val="bottom"/>
          </w:tcPr>
          <w:p>
            <w:pPr>
              <w:jc w:val="right"/>
              <w:ind w:right="295"/>
              <w:spacing w:after="0"/>
              <w:rPr>
                <w:sz w:val="20"/>
                <w:szCs w:val="20"/>
                <w:color w:val="auto"/>
              </w:rPr>
            </w:pPr>
            <w:r>
              <w:rPr>
                <w:rFonts w:ascii="Arial" w:cs="Arial" w:eastAsia="Arial" w:hAnsi="Arial"/>
                <w:sz w:val="17"/>
                <w:szCs w:val="17"/>
                <w:color w:val="auto"/>
              </w:rPr>
              <w:t>January 30,</w:t>
            </w:r>
          </w:p>
        </w:tc>
        <w:tc>
          <w:tcPr>
            <w:tcW w:w="0" w:type="dxa"/>
            <w:vAlign w:val="bottom"/>
          </w:tcPr>
          <w:p>
            <w:pPr>
              <w:spacing w:after="0"/>
              <w:rPr>
                <w:sz w:val="1"/>
                <w:szCs w:val="1"/>
                <w:color w:val="auto"/>
              </w:rPr>
            </w:pPr>
          </w:p>
        </w:tc>
      </w:tr>
      <w:tr>
        <w:trPr>
          <w:trHeight w:val="215"/>
        </w:trPr>
        <w:tc>
          <w:tcPr>
            <w:tcW w:w="5100" w:type="dxa"/>
            <w:vAlign w:val="bottom"/>
            <w:gridSpan w:val="2"/>
          </w:tcPr>
          <w:p>
            <w:pPr>
              <w:spacing w:after="0"/>
              <w:rPr>
                <w:sz w:val="20"/>
                <w:szCs w:val="20"/>
                <w:color w:val="auto"/>
              </w:rPr>
            </w:pPr>
            <w:r>
              <w:rPr>
                <w:rFonts w:ascii="Arial" w:cs="Arial" w:eastAsia="Arial" w:hAnsi="Arial"/>
                <w:sz w:val="16"/>
                <w:szCs w:val="16"/>
                <w:color w:val="auto"/>
              </w:rPr>
              <w:t>($ in millions, except share amounts)</w:t>
            </w:r>
          </w:p>
        </w:tc>
        <w:tc>
          <w:tcPr>
            <w:tcW w:w="600" w:type="dxa"/>
            <w:vAlign w:val="bottom"/>
          </w:tcPr>
          <w:p>
            <w:pPr>
              <w:spacing w:after="0"/>
              <w:rPr>
                <w:sz w:val="18"/>
                <w:szCs w:val="18"/>
                <w:color w:val="auto"/>
              </w:rPr>
            </w:pPr>
          </w:p>
        </w:tc>
        <w:tc>
          <w:tcPr>
            <w:tcW w:w="1580" w:type="dxa"/>
            <w:vAlign w:val="bottom"/>
          </w:tcPr>
          <w:p>
            <w:pPr>
              <w:jc w:val="right"/>
              <w:ind w:right="715"/>
              <w:spacing w:after="0"/>
              <w:rPr>
                <w:sz w:val="20"/>
                <w:szCs w:val="20"/>
                <w:color w:val="auto"/>
              </w:rPr>
            </w:pPr>
            <w:r>
              <w:rPr>
                <w:rFonts w:ascii="Arial" w:cs="Arial" w:eastAsia="Arial" w:hAnsi="Arial"/>
                <w:sz w:val="17"/>
                <w:szCs w:val="17"/>
                <w:b w:val="1"/>
                <w:bCs w:val="1"/>
                <w:color w:val="auto"/>
              </w:rPr>
              <w:t>2022</w:t>
            </w:r>
          </w:p>
        </w:tc>
        <w:tc>
          <w:tcPr>
            <w:tcW w:w="380" w:type="dxa"/>
            <w:vAlign w:val="bottom"/>
          </w:tcPr>
          <w:p>
            <w:pPr>
              <w:spacing w:after="0"/>
              <w:rPr>
                <w:sz w:val="18"/>
                <w:szCs w:val="18"/>
                <w:color w:val="auto"/>
              </w:rPr>
            </w:pPr>
          </w:p>
        </w:tc>
        <w:tc>
          <w:tcPr>
            <w:tcW w:w="1420" w:type="dxa"/>
            <w:vAlign w:val="bottom"/>
          </w:tcPr>
          <w:p>
            <w:pPr>
              <w:jc w:val="right"/>
              <w:ind w:right="555"/>
              <w:spacing w:after="0"/>
              <w:rPr>
                <w:sz w:val="20"/>
                <w:szCs w:val="20"/>
                <w:color w:val="auto"/>
              </w:rPr>
            </w:pPr>
            <w:r>
              <w:rPr>
                <w:rFonts w:ascii="Arial" w:cs="Arial" w:eastAsia="Arial" w:hAnsi="Arial"/>
                <w:sz w:val="17"/>
                <w:szCs w:val="17"/>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60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6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804</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1,680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Merchandise inventories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1,266</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Other current assets</w:t>
            </w: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293</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2,363</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2,835</w:t>
            </w: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917</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2,616</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2,716</w:t>
            </w: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Arial" w:cs="Arial" w:eastAsia="Arial" w:hAnsi="Arial"/>
                <w:sz w:val="16"/>
                <w:szCs w:val="16"/>
                <w:color w:val="auto"/>
              </w:rPr>
              <w:t>Deferred taxes</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86</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797</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Arial" w:cs="Arial" w:eastAsia="Arial" w:hAnsi="Arial"/>
                <w:sz w:val="16"/>
                <w:szCs w:val="16"/>
                <w:color w:val="auto"/>
              </w:rPr>
              <w:t>Other intangible assets, net</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454</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Minority investments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781</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Arial" w:cs="Arial" w:eastAsia="Arial" w:hAnsi="Arial"/>
                <w:sz w:val="16"/>
                <w:szCs w:val="16"/>
                <w:color w:val="auto"/>
              </w:rPr>
              <w:t>Other assets</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121</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top w:val="single" w:sz="8" w:color="auto"/>
              <w:bottom w:val="single" w:sz="8" w:color="auto"/>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tcBorders>
              <w:top w:val="single" w:sz="8" w:color="auto"/>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8,135</w:t>
            </w:r>
          </w:p>
        </w:tc>
        <w:tc>
          <w:tcPr>
            <w:tcW w:w="380" w:type="dxa"/>
            <w:vAlign w:val="bottom"/>
            <w:tcBorders>
              <w:top w:val="single" w:sz="8" w:color="auto"/>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5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Accounts payable</w:t>
            </w:r>
          </w:p>
        </w:tc>
        <w:tc>
          <w:tcPr>
            <w:tcW w:w="6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596</w:t>
            </w:r>
          </w:p>
        </w:tc>
        <w:tc>
          <w:tcPr>
            <w:tcW w:w="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and other liabilities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561</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Current portion of debt and obligations under finance leases</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6</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Current portion of lease obligations</w:t>
            </w:r>
          </w:p>
        </w:tc>
        <w:tc>
          <w:tcPr>
            <w:tcW w:w="6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572</w:t>
            </w: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tcPr>
          <w:p>
            <w:pPr>
              <w:jc w:val="right"/>
              <w:ind w:right="115"/>
              <w:spacing w:after="0" w:line="183" w:lineRule="exact"/>
              <w:rPr>
                <w:sz w:val="20"/>
                <w:szCs w:val="20"/>
                <w:color w:val="auto"/>
              </w:rPr>
            </w:pPr>
            <w:r>
              <w:rPr>
                <w:rFonts w:ascii="Arial" w:cs="Arial" w:eastAsia="Arial" w:hAnsi="Arial"/>
                <w:sz w:val="17"/>
                <w:szCs w:val="17"/>
                <w:b w:val="1"/>
                <w:bCs w:val="1"/>
                <w:color w:val="auto"/>
              </w:rPr>
              <w:t>1,735</w:t>
            </w:r>
          </w:p>
        </w:tc>
        <w:tc>
          <w:tcPr>
            <w:tcW w:w="38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7"/>
                <w:szCs w:val="17"/>
                <w:color w:val="auto"/>
              </w:rPr>
              <w:t>1,644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Long-term debt and obligations under finance leases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451</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5100" w:type="dxa"/>
            <w:vAlign w:val="bottom"/>
            <w:gridSpan w:val="2"/>
          </w:tcPr>
          <w:p>
            <w:pPr>
              <w:spacing w:after="0"/>
              <w:rPr>
                <w:sz w:val="20"/>
                <w:szCs w:val="20"/>
                <w:color w:val="auto"/>
              </w:rPr>
            </w:pPr>
            <w:r>
              <w:rPr>
                <w:rFonts w:ascii="Arial" w:cs="Arial" w:eastAsia="Arial" w:hAnsi="Arial"/>
                <w:sz w:val="16"/>
                <w:szCs w:val="16"/>
                <w:color w:val="auto"/>
              </w:rPr>
              <w:t>Long-term lease obligations</w:t>
            </w:r>
          </w:p>
        </w:tc>
        <w:tc>
          <w:tcPr>
            <w:tcW w:w="600" w:type="dxa"/>
            <w:vAlign w:val="bottom"/>
          </w:tcPr>
          <w:p>
            <w:pPr>
              <w:spacing w:after="0"/>
              <w:rPr>
                <w:sz w:val="16"/>
                <w:szCs w:val="16"/>
                <w:color w:val="auto"/>
              </w:rPr>
            </w:pPr>
          </w:p>
        </w:tc>
        <w:tc>
          <w:tcPr>
            <w:tcW w:w="15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2,363</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2,499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60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343</w:t>
            </w:r>
          </w:p>
        </w:tc>
        <w:tc>
          <w:tcPr>
            <w:tcW w:w="3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183"/>
        </w:trPr>
        <w:tc>
          <w:tcPr>
            <w:tcW w:w="5100" w:type="dxa"/>
            <w:vAlign w:val="bottom"/>
            <w:gridSpan w:val="2"/>
          </w:tcPr>
          <w:p>
            <w:pPr>
              <w:spacing w:after="0" w:line="183" w:lineRule="exact"/>
              <w:rPr>
                <w:sz w:val="20"/>
                <w:szCs w:val="20"/>
                <w:color w:val="auto"/>
              </w:rPr>
            </w:pPr>
            <w:r>
              <w:rPr>
                <w:rFonts w:ascii="Arial" w:cs="Arial" w:eastAsia="Arial" w:hAnsi="Arial"/>
                <w:sz w:val="16"/>
                <w:szCs w:val="16"/>
                <w:color w:val="auto"/>
              </w:rPr>
              <w:t>Total liabilities</w:t>
            </w:r>
          </w:p>
        </w:tc>
        <w:tc>
          <w:tcPr>
            <w:tcW w:w="600" w:type="dxa"/>
            <w:vAlign w:val="bottom"/>
          </w:tcPr>
          <w:p>
            <w:pPr>
              <w:spacing w:after="0"/>
              <w:rPr>
                <w:sz w:val="15"/>
                <w:szCs w:val="15"/>
                <w:color w:val="auto"/>
              </w:rPr>
            </w:pPr>
          </w:p>
        </w:tc>
        <w:tc>
          <w:tcPr>
            <w:tcW w:w="1580" w:type="dxa"/>
            <w:vAlign w:val="bottom"/>
          </w:tcPr>
          <w:p>
            <w:pPr>
              <w:jc w:val="right"/>
              <w:ind w:right="115"/>
              <w:spacing w:after="0" w:line="183" w:lineRule="exact"/>
              <w:rPr>
                <w:sz w:val="20"/>
                <w:szCs w:val="20"/>
                <w:color w:val="auto"/>
              </w:rPr>
            </w:pPr>
            <w:r>
              <w:rPr>
                <w:rFonts w:ascii="Arial" w:cs="Arial" w:eastAsia="Arial" w:hAnsi="Arial"/>
                <w:sz w:val="17"/>
                <w:szCs w:val="17"/>
                <w:b w:val="1"/>
                <w:bCs w:val="1"/>
                <w:color w:val="auto"/>
              </w:rPr>
              <w:t>4,892</w:t>
            </w:r>
          </w:p>
        </w:tc>
        <w:tc>
          <w:tcPr>
            <w:tcW w:w="38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7"/>
                <w:szCs w:val="17"/>
                <w:color w:val="auto"/>
              </w:rPr>
              <w:t>4,267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Common stock and paid-in capital: 99,070,796 and 103,693,359</w:t>
            </w:r>
          </w:p>
        </w:tc>
        <w:tc>
          <w:tcPr>
            <w:tcW w:w="600" w:type="dxa"/>
            <w:vAlign w:val="bottom"/>
          </w:tcPr>
          <w:p>
            <w:pPr>
              <w:spacing w:after="0"/>
              <w:rPr>
                <w:sz w:val="16"/>
                <w:szCs w:val="16"/>
                <w:color w:val="auto"/>
              </w:rPr>
            </w:pPr>
          </w:p>
        </w:tc>
        <w:tc>
          <w:tcPr>
            <w:tcW w:w="15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770</w:t>
            </w:r>
          </w:p>
        </w:tc>
        <w:tc>
          <w:tcPr>
            <w:tcW w:w="38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80" w:type="dxa"/>
            <w:vAlign w:val="bottom"/>
          </w:tcPr>
          <w:p>
            <w:pPr>
              <w:ind w:left="220"/>
              <w:spacing w:after="0"/>
              <w:rPr>
                <w:sz w:val="20"/>
                <w:szCs w:val="20"/>
                <w:color w:val="auto"/>
              </w:rPr>
            </w:pPr>
            <w:r>
              <w:rPr>
                <w:rFonts w:ascii="Arial" w:cs="Arial" w:eastAsia="Arial" w:hAnsi="Arial"/>
                <w:sz w:val="16"/>
                <w:szCs w:val="16"/>
                <w:color w:val="auto"/>
              </w:rPr>
              <w:t>shares issued, respectively</w:t>
            </w:r>
          </w:p>
        </w:tc>
        <w:tc>
          <w:tcPr>
            <w:tcW w:w="6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2,900</w:t>
            </w:r>
          </w:p>
        </w:tc>
        <w:tc>
          <w:tcPr>
            <w:tcW w:w="3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2,326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600" w:type="dxa"/>
            <w:vAlign w:val="bottom"/>
          </w:tcPr>
          <w:p>
            <w:pPr>
              <w:spacing w:after="0"/>
              <w:rPr>
                <w:sz w:val="16"/>
                <w:szCs w:val="16"/>
                <w:color w:val="auto"/>
              </w:rPr>
            </w:pPr>
          </w:p>
        </w:tc>
        <w:tc>
          <w:tcPr>
            <w:tcW w:w="15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(343)</w:t>
            </w:r>
          </w:p>
        </w:tc>
        <w:tc>
          <w:tcPr>
            <w:tcW w:w="38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Less: Treasury stock at cost: 2,050,000 and 74,236 shares,</w:t>
            </w:r>
          </w:p>
        </w:tc>
        <w:tc>
          <w:tcPr>
            <w:tcW w:w="60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(88)</w:t>
            </w:r>
          </w:p>
        </w:tc>
        <w:tc>
          <w:tcPr>
            <w:tcW w:w="38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60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Noncontrolling interest</w:t>
            </w:r>
          </w:p>
        </w:tc>
        <w:tc>
          <w:tcPr>
            <w:tcW w:w="6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Total shareholders' equity</w:t>
            </w:r>
          </w:p>
        </w:tc>
        <w:tc>
          <w:tcPr>
            <w:tcW w:w="60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6"/>
                <w:szCs w:val="16"/>
                <w:b w:val="1"/>
                <w:bCs w:val="1"/>
                <w:color w:val="auto"/>
              </w:rPr>
              <w:t>3,243</w:t>
            </w:r>
          </w:p>
        </w:tc>
        <w:tc>
          <w:tcPr>
            <w:tcW w:w="3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2,776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5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8,135</w:t>
            </w:r>
          </w:p>
        </w:tc>
        <w:tc>
          <w:tcPr>
            <w:tcW w:w="3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543560</wp:posOffset>
            </wp:positionV>
            <wp:extent cx="206565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61"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42" w:right="1440" w:bottom="1440" w:gutter="0" w:footer="0" w:header="0"/>
        </w:sectPr>
      </w:pPr>
    </w:p>
    <w:bookmarkStart w:id="44" w:name="page45"/>
    <w:bookmarkEnd w:id="44"/>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800735</wp:posOffset>
            </wp:positionV>
            <wp:extent cx="2065655"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b w:val="1"/>
          <w:bCs w:val="1"/>
          <w:color w:val="auto"/>
        </w:rPr>
        <w:t>CONSOLIDATED STATEMENTS OF CHANGES IN SHAREHOLDERS’ EQUITY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Additional Paid-In</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480" w:type="dxa"/>
            <w:vAlign w:val="bottom"/>
          </w:tcPr>
          <w:p>
            <w:pPr>
              <w:spacing w:after="0"/>
              <w:rPr>
                <w:sz w:val="12"/>
                <w:szCs w:val="12"/>
                <w:color w:val="auto"/>
              </w:rPr>
            </w:pPr>
          </w:p>
        </w:tc>
        <w:tc>
          <w:tcPr>
            <w:tcW w:w="900" w:type="dxa"/>
            <w:vAlign w:val="bottom"/>
            <w:gridSpan w:val="2"/>
          </w:tcPr>
          <w:p>
            <w:pPr>
              <w:jc w:val="center"/>
              <w:ind w:left="213"/>
              <w:spacing w:after="0"/>
              <w:rPr>
                <w:sz w:val="20"/>
                <w:szCs w:val="20"/>
                <w:color w:val="auto"/>
              </w:rPr>
            </w:pPr>
            <w:r>
              <w:rPr>
                <w:rFonts w:ascii="Arial" w:cs="Arial" w:eastAsia="Arial" w:hAnsi="Arial"/>
                <w:sz w:val="13"/>
                <w:szCs w:val="13"/>
                <w:b w:val="1"/>
                <w:bCs w:val="1"/>
                <w:color w:val="auto"/>
              </w:rPr>
              <w:t>Capital &amp;</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253"/>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20" w:type="dxa"/>
            <w:vAlign w:val="bottom"/>
          </w:tcPr>
          <w:p>
            <w:pPr>
              <w:jc w:val="center"/>
              <w:ind w:right="53"/>
              <w:spacing w:after="0"/>
              <w:rPr>
                <w:sz w:val="20"/>
                <w:szCs w:val="20"/>
                <w:color w:val="auto"/>
              </w:rPr>
            </w:pPr>
            <w:r>
              <w:rPr>
                <w:rFonts w:ascii="Arial" w:cs="Arial" w:eastAsia="Arial" w:hAnsi="Arial"/>
                <w:sz w:val="13"/>
                <w:szCs w:val="13"/>
                <w:b w:val="1"/>
                <w:bCs w:val="1"/>
                <w:color w:val="auto"/>
              </w:rPr>
              <w:t>Non-</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3480" w:type="dxa"/>
            <w:vAlign w:val="bottom"/>
          </w:tcPr>
          <w:p>
            <w:pPr>
              <w:spacing w:after="0"/>
              <w:rPr>
                <w:sz w:val="14"/>
                <w:szCs w:val="1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rPr>
              <w:t>Common Stock</w:t>
            </w:r>
          </w:p>
        </w:tc>
        <w:tc>
          <w:tcPr>
            <w:tcW w:w="12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rPr>
              <w:t>Treasury Stock</w:t>
            </w:r>
          </w:p>
        </w:tc>
        <w:tc>
          <w:tcPr>
            <w:tcW w:w="74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Retained</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Comprehensive</w:t>
            </w:r>
          </w:p>
        </w:tc>
        <w:tc>
          <w:tcPr>
            <w:tcW w:w="14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3"/>
                <w:szCs w:val="13"/>
                <w:b w:val="1"/>
                <w:bCs w:val="1"/>
                <w:color w:val="auto"/>
              </w:rPr>
              <w:t>Controlling</w:t>
            </w: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rPr>
              <w:t>Shareholders'</w:t>
            </w:r>
          </w:p>
        </w:tc>
      </w:tr>
      <w:tr>
        <w:trPr>
          <w:trHeight w:val="142"/>
        </w:trPr>
        <w:tc>
          <w:tcPr>
            <w:tcW w:w="3480" w:type="dxa"/>
            <w:vAlign w:val="bottom"/>
          </w:tcPr>
          <w:p>
            <w:pPr>
              <w:spacing w:after="0" w:line="142" w:lineRule="exact"/>
              <w:rPr>
                <w:sz w:val="20"/>
                <w:szCs w:val="20"/>
                <w:color w:val="auto"/>
              </w:rPr>
            </w:pPr>
            <w:r>
              <w:rPr>
                <w:rFonts w:ascii="Arial" w:cs="Arial" w:eastAsia="Arial" w:hAnsi="Arial"/>
                <w:sz w:val="13"/>
                <w:szCs w:val="13"/>
                <w:color w:val="auto"/>
              </w:rPr>
              <w:t>(shares in thousands, amounts in millions)</w:t>
            </w:r>
          </w:p>
        </w:tc>
        <w:tc>
          <w:tcPr>
            <w:tcW w:w="6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2"/>
                <w:szCs w:val="12"/>
                <w:color w:val="auto"/>
              </w:rPr>
            </w:pPr>
          </w:p>
        </w:tc>
        <w:tc>
          <w:tcPr>
            <w:tcW w:w="5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2"/>
                <w:szCs w:val="12"/>
                <w:color w:val="auto"/>
              </w:rPr>
            </w:pPr>
          </w:p>
        </w:tc>
        <w:tc>
          <w:tcPr>
            <w:tcW w:w="740" w:type="dxa"/>
            <w:vAlign w:val="bottom"/>
            <w:gridSpan w:val="2"/>
          </w:tcPr>
          <w:p>
            <w:pPr>
              <w:jc w:val="right"/>
              <w:ind w:right="13"/>
              <w:spacing w:after="0" w:line="142" w:lineRule="exact"/>
              <w:rPr>
                <w:sz w:val="20"/>
                <w:szCs w:val="20"/>
                <w:color w:val="auto"/>
              </w:rPr>
            </w:pPr>
            <w:r>
              <w:rPr>
                <w:rFonts w:ascii="Arial" w:cs="Arial" w:eastAsia="Arial" w:hAnsi="Arial"/>
                <w:sz w:val="13"/>
                <w:szCs w:val="13"/>
                <w:b w:val="1"/>
                <w:bCs w:val="1"/>
                <w:color w:val="auto"/>
              </w:rPr>
              <w:t>Earnings</w:t>
            </w:r>
          </w:p>
        </w:tc>
        <w:tc>
          <w:tcPr>
            <w:tcW w:w="320" w:type="dxa"/>
            <w:vAlign w:val="bottom"/>
          </w:tcPr>
          <w:p>
            <w:pPr>
              <w:spacing w:after="0"/>
              <w:rPr>
                <w:sz w:val="12"/>
                <w:szCs w:val="12"/>
                <w:color w:val="auto"/>
              </w:rPr>
            </w:pPr>
          </w:p>
        </w:tc>
        <w:tc>
          <w:tcPr>
            <w:tcW w:w="840" w:type="dxa"/>
            <w:vAlign w:val="bottom"/>
          </w:tcPr>
          <w:p>
            <w:pPr>
              <w:jc w:val="center"/>
              <w:ind w:right="233"/>
              <w:spacing w:after="0" w:line="142" w:lineRule="exact"/>
              <w:rPr>
                <w:sz w:val="20"/>
                <w:szCs w:val="20"/>
                <w:color w:val="auto"/>
              </w:rPr>
            </w:pPr>
            <w:r>
              <w:rPr>
                <w:rFonts w:ascii="Arial" w:cs="Arial" w:eastAsia="Arial" w:hAnsi="Arial"/>
                <w:sz w:val="13"/>
                <w:szCs w:val="13"/>
                <w:b w:val="1"/>
                <w:bCs w:val="1"/>
                <w:color w:val="auto"/>
                <w:w w:val="98"/>
              </w:rPr>
              <w:t>Loss</w:t>
            </w:r>
          </w:p>
        </w:tc>
        <w:tc>
          <w:tcPr>
            <w:tcW w:w="140" w:type="dxa"/>
            <w:vAlign w:val="bottom"/>
          </w:tcPr>
          <w:p>
            <w:pPr>
              <w:spacing w:after="0"/>
              <w:rPr>
                <w:sz w:val="12"/>
                <w:szCs w:val="12"/>
                <w:color w:val="auto"/>
              </w:rPr>
            </w:pPr>
          </w:p>
        </w:tc>
        <w:tc>
          <w:tcPr>
            <w:tcW w:w="820" w:type="dxa"/>
            <w:vAlign w:val="bottom"/>
          </w:tcPr>
          <w:p>
            <w:pPr>
              <w:jc w:val="center"/>
              <w:ind w:right="33"/>
              <w:spacing w:after="0" w:line="142" w:lineRule="exact"/>
              <w:rPr>
                <w:sz w:val="20"/>
                <w:szCs w:val="20"/>
                <w:color w:val="auto"/>
              </w:rPr>
            </w:pPr>
            <w:r>
              <w:rPr>
                <w:rFonts w:ascii="Arial" w:cs="Arial" w:eastAsia="Arial" w:hAnsi="Arial"/>
                <w:sz w:val="13"/>
                <w:szCs w:val="13"/>
                <w:b w:val="1"/>
                <w:bCs w:val="1"/>
                <w:color w:val="auto"/>
              </w:rPr>
              <w:t>interest</w:t>
            </w:r>
          </w:p>
        </w:tc>
        <w:tc>
          <w:tcPr>
            <w:tcW w:w="28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rPr>
              <w:t>Equity</w:t>
            </w:r>
          </w:p>
        </w:tc>
      </w:tr>
      <w:tr>
        <w:trPr>
          <w:trHeight w:val="142"/>
        </w:trPr>
        <w:tc>
          <w:tcPr>
            <w:tcW w:w="3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February 2, 2019</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112,933</w:t>
            </w:r>
          </w:p>
        </w:tc>
        <w:tc>
          <w:tcPr>
            <w:tcW w:w="2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809</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(711)</w:t>
            </w:r>
          </w:p>
        </w:tc>
        <w:tc>
          <w:tcPr>
            <w:tcW w:w="2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(37)</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2,104</w:t>
            </w:r>
          </w:p>
        </w:tc>
        <w:tc>
          <w:tcPr>
            <w:tcW w:w="3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(370)</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2,506</w:t>
            </w:r>
          </w:p>
        </w:tc>
        <w:tc>
          <w:tcPr>
            <w:tcW w:w="20" w:type="dxa"/>
            <w:vAlign w:val="bottom"/>
          </w:tcPr>
          <w:p>
            <w:pPr>
              <w:spacing w:after="0"/>
              <w:rPr>
                <w:sz w:val="12"/>
                <w:szCs w:val="12"/>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tcPr>
          <w:p>
            <w:pPr>
              <w:jc w:val="right"/>
              <w:spacing w:after="0"/>
              <w:rPr>
                <w:sz w:val="20"/>
                <w:szCs w:val="20"/>
                <w:color w:val="auto"/>
              </w:rPr>
            </w:pPr>
            <w:r>
              <w:rPr>
                <w:rFonts w:ascii="Arial" w:cs="Arial" w:eastAsia="Arial" w:hAnsi="Arial"/>
                <w:sz w:val="13"/>
                <w:szCs w:val="13"/>
                <w:color w:val="auto"/>
              </w:rPr>
              <w:t>89</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2"/>
                <w:szCs w:val="12"/>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(32)</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Share repurchases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(8,375)</w:t>
            </w:r>
          </w:p>
        </w:tc>
        <w:tc>
          <w:tcPr>
            <w:tcW w:w="2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(335)</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(335)</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Reissued - Employee Stock Purchase Plan ("ESPP")</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97</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tcPr>
          <w:p>
            <w:pPr>
              <w:jc w:val="right"/>
              <w:spacing w:after="0"/>
              <w:rPr>
                <w:sz w:val="20"/>
                <w:szCs w:val="20"/>
                <w:color w:val="auto"/>
              </w:rPr>
            </w:pPr>
            <w:r>
              <w:rPr>
                <w:rFonts w:ascii="Arial" w:cs="Arial" w:eastAsia="Arial" w:hAnsi="Arial"/>
                <w:sz w:val="13"/>
                <w:szCs w:val="13"/>
                <w:color w:val="auto"/>
              </w:rPr>
              <w:t>(9,021)</w:t>
            </w:r>
          </w:p>
        </w:tc>
        <w:tc>
          <w:tcPr>
            <w:tcW w:w="28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(66)</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9,021</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(302)</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491</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w:t>
            </w:r>
          </w:p>
        </w:tc>
        <w:tc>
          <w:tcPr>
            <w:tcW w:w="20" w:type="dxa"/>
            <w:vAlign w:val="bottom"/>
          </w:tcPr>
          <w:p>
            <w:pPr>
              <w:spacing w:after="0"/>
              <w:rPr>
                <w:sz w:val="12"/>
                <w:szCs w:val="12"/>
                <w:color w:val="auto"/>
              </w:rPr>
            </w:pPr>
          </w:p>
        </w:tc>
      </w:tr>
      <w:tr>
        <w:trPr>
          <w:trHeight w:val="148"/>
        </w:trPr>
        <w:tc>
          <w:tcPr>
            <w:tcW w:w="3480" w:type="dxa"/>
            <w:vAlign w:val="bottom"/>
          </w:tcPr>
          <w:p>
            <w:pPr>
              <w:spacing w:after="0" w:line="148" w:lineRule="exact"/>
              <w:rPr>
                <w:sz w:val="20"/>
                <w:szCs w:val="20"/>
                <w:color w:val="auto"/>
              </w:rPr>
            </w:pPr>
            <w:r>
              <w:rPr>
                <w:rFonts w:ascii="Arial" w:cs="Arial" w:eastAsia="Arial" w:hAnsi="Arial"/>
                <w:sz w:val="13"/>
                <w:szCs w:val="13"/>
                <w:color w:val="auto"/>
              </w:rPr>
              <w:t>Cash dividends declared on common stock ($1.52 per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tcPr>
          <w:p>
            <w:pPr>
              <w:ind w:left="160"/>
              <w:spacing w:after="0"/>
              <w:rPr>
                <w:sz w:val="20"/>
                <w:szCs w:val="20"/>
                <w:color w:val="auto"/>
              </w:rPr>
            </w:pPr>
            <w:r>
              <w:rPr>
                <w:rFonts w:ascii="Arial" w:cs="Arial" w:eastAsia="Arial" w:hAnsi="Arial"/>
                <w:sz w:val="13"/>
                <w:szCs w:val="13"/>
                <w:color w:val="auto"/>
              </w:rPr>
              <w:t>share)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(164)</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(164)</w:t>
            </w: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Change in cash flow hedges,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48"/>
        </w:trPr>
        <w:tc>
          <w:tcPr>
            <w:tcW w:w="3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Cumulative effect of the adoption of Topic 842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(26)</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2"/>
                <w:szCs w:val="12"/>
                <w:color w:val="auto"/>
              </w:rPr>
            </w:pPr>
          </w:p>
        </w:tc>
      </w:tr>
      <w:tr>
        <w:trPr>
          <w:trHeight w:val="142"/>
        </w:trPr>
        <w:tc>
          <w:tcPr>
            <w:tcW w:w="34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February 1, 2020</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104,188</w:t>
            </w:r>
          </w:p>
        </w:tc>
        <w:tc>
          <w:tcPr>
            <w:tcW w:w="280" w:type="dxa"/>
            <w:vAlign w:val="bottom"/>
            <w:shd w:val="clear" w:color="auto" w:fill="CCEEFF"/>
          </w:tcPr>
          <w:p>
            <w:pPr>
              <w:ind w:left="4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764</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2,103</w:t>
            </w:r>
          </w:p>
        </w:tc>
        <w:tc>
          <w:tcPr>
            <w:tcW w:w="32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(394)</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2,473</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tcPr>
          <w:p>
            <w:pPr>
              <w:jc w:val="right"/>
              <w:spacing w:after="0"/>
              <w:rPr>
                <w:sz w:val="20"/>
                <w:szCs w:val="20"/>
                <w:color w:val="auto"/>
              </w:rPr>
            </w:pPr>
            <w:r>
              <w:rPr>
                <w:rFonts w:ascii="Arial" w:cs="Arial" w:eastAsia="Arial" w:hAnsi="Arial"/>
                <w:sz w:val="13"/>
                <w:szCs w:val="13"/>
                <w:color w:val="auto"/>
              </w:rPr>
              <w:t>121</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15</w:t>
            </w:r>
          </w:p>
        </w:tc>
        <w:tc>
          <w:tcPr>
            <w:tcW w:w="160" w:type="dxa"/>
            <w:vAlign w:val="bottom"/>
          </w:tcPr>
          <w:p>
            <w:pPr>
              <w:spacing w:after="0"/>
              <w:rPr>
                <w:sz w:val="12"/>
                <w:szCs w:val="12"/>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(41)</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Share repurchases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(969)</w:t>
            </w:r>
          </w:p>
        </w:tc>
        <w:tc>
          <w:tcPr>
            <w:tcW w:w="2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Reissued - ESPP</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tcPr>
          <w:p>
            <w:pPr>
              <w:jc w:val="right"/>
              <w:spacing w:after="0"/>
              <w:rPr>
                <w:sz w:val="20"/>
                <w:szCs w:val="20"/>
                <w:color w:val="auto"/>
              </w:rPr>
            </w:pPr>
            <w:r>
              <w:rPr>
                <w:rFonts w:ascii="Arial" w:cs="Arial" w:eastAsia="Arial" w:hAnsi="Arial"/>
                <w:sz w:val="13"/>
                <w:szCs w:val="13"/>
                <w:color w:val="auto"/>
              </w:rPr>
              <w:t>(913)</w:t>
            </w:r>
          </w:p>
        </w:tc>
        <w:tc>
          <w:tcPr>
            <w:tcW w:w="28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913</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(27)</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9"/>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 acquired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Net income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323</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323</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Cash dividends declared on common stock ($0.70 per</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share)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(73)</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40</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Change in cash flow hedges,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r>
      <w:tr>
        <w:trPr>
          <w:trHeight w:val="149"/>
        </w:trPr>
        <w:tc>
          <w:tcPr>
            <w:tcW w:w="34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21</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2"/>
                <w:szCs w:val="12"/>
                <w:color w:val="auto"/>
              </w:rPr>
            </w:pPr>
          </w:p>
        </w:tc>
      </w:tr>
      <w:tr>
        <w:trPr>
          <w:trHeight w:val="142"/>
        </w:trPr>
        <w:tc>
          <w:tcPr>
            <w:tcW w:w="34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at January 30, 2021</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103,693</w:t>
            </w:r>
          </w:p>
        </w:tc>
        <w:tc>
          <w:tcPr>
            <w:tcW w:w="280" w:type="dxa"/>
            <w:vAlign w:val="bottom"/>
            <w:shd w:val="clear" w:color="auto" w:fill="CCEEFF"/>
          </w:tcPr>
          <w:p>
            <w:pPr>
              <w:ind w:left="4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779</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3"/>
                <w:szCs w:val="13"/>
                <w:b w:val="1"/>
                <w:bCs w:val="1"/>
                <w:color w:val="auto"/>
              </w:rPr>
              <w:t>(74)</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b w:val="1"/>
                <w:bCs w:val="1"/>
                <w:color w:val="auto"/>
              </w:rPr>
              <w:t>(3)</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2,326</w:t>
            </w:r>
          </w:p>
        </w:tc>
        <w:tc>
          <w:tcPr>
            <w:tcW w:w="32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(331)</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ind w:right="73"/>
              <w:spacing w:after="0" w:line="142" w:lineRule="exact"/>
              <w:rPr>
                <w:sz w:val="20"/>
                <w:szCs w:val="20"/>
                <w:color w:val="auto"/>
              </w:rPr>
            </w:pPr>
            <w:r>
              <w:rPr>
                <w:rFonts w:ascii="Arial" w:cs="Arial" w:eastAsia="Arial" w:hAnsi="Arial"/>
                <w:sz w:val="13"/>
                <w:szCs w:val="13"/>
                <w:b w:val="1"/>
                <w:bCs w:val="1"/>
                <w:color w:val="auto"/>
              </w:rPr>
              <w:t>5</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2,776</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Restricted stock issued</w:t>
            </w:r>
          </w:p>
        </w:tc>
        <w:tc>
          <w:tcPr>
            <w:tcW w:w="620" w:type="dxa"/>
            <w:vAlign w:val="bottom"/>
          </w:tcPr>
          <w:p>
            <w:pPr>
              <w:jc w:val="right"/>
              <w:spacing w:after="0"/>
              <w:rPr>
                <w:sz w:val="20"/>
                <w:szCs w:val="20"/>
                <w:color w:val="auto"/>
              </w:rPr>
            </w:pPr>
            <w:r>
              <w:rPr>
                <w:rFonts w:ascii="Arial" w:cs="Arial" w:eastAsia="Arial" w:hAnsi="Arial"/>
                <w:sz w:val="13"/>
                <w:szCs w:val="13"/>
                <w:color w:val="auto"/>
              </w:rPr>
              <w:t>499</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Issued under director and stock plans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2"/>
                <w:szCs w:val="12"/>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Share-based compensation expense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2"/>
                <w:szCs w:val="12"/>
                <w:color w:val="auto"/>
              </w:rPr>
            </w:pP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Shares of common stock used to satisfy tax withholding</w:t>
            </w: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(205)</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2"/>
                <w:szCs w:val="12"/>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Share repurchases</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(7,546)</w:t>
            </w:r>
          </w:p>
        </w:tc>
        <w:tc>
          <w:tcPr>
            <w:tcW w:w="200" w:type="dxa"/>
            <w:vAlign w:val="bottom"/>
          </w:tcPr>
          <w:p>
            <w:pPr>
              <w:spacing w:after="0"/>
              <w:rPr>
                <w:sz w:val="12"/>
                <w:szCs w:val="12"/>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3"/>
                <w:szCs w:val="13"/>
                <w:color w:val="auto"/>
              </w:rPr>
              <w:t>(348)</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(348)</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Reissued - ESPP</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r>
      <w:tr>
        <w:trPr>
          <w:trHeight w:val="149"/>
        </w:trPr>
        <w:tc>
          <w:tcPr>
            <w:tcW w:w="3480" w:type="dxa"/>
            <w:vAlign w:val="bottom"/>
          </w:tcPr>
          <w:p>
            <w:pPr>
              <w:spacing w:after="0"/>
              <w:rPr>
                <w:sz w:val="20"/>
                <w:szCs w:val="20"/>
                <w:color w:val="auto"/>
              </w:rPr>
            </w:pPr>
            <w:r>
              <w:rPr>
                <w:rFonts w:ascii="Arial" w:cs="Arial" w:eastAsia="Arial" w:hAnsi="Arial"/>
                <w:sz w:val="13"/>
                <w:szCs w:val="13"/>
                <w:color w:val="auto"/>
              </w:rPr>
              <w:t>Retirement of treasury stock</w:t>
            </w:r>
          </w:p>
        </w:tc>
        <w:tc>
          <w:tcPr>
            <w:tcW w:w="620" w:type="dxa"/>
            <w:vAlign w:val="bottom"/>
          </w:tcPr>
          <w:p>
            <w:pPr>
              <w:jc w:val="right"/>
              <w:spacing w:after="0"/>
              <w:rPr>
                <w:sz w:val="20"/>
                <w:szCs w:val="20"/>
                <w:color w:val="auto"/>
              </w:rPr>
            </w:pPr>
            <w:r>
              <w:rPr>
                <w:rFonts w:ascii="Arial" w:cs="Arial" w:eastAsia="Arial" w:hAnsi="Arial"/>
                <w:sz w:val="13"/>
                <w:szCs w:val="13"/>
                <w:color w:val="auto"/>
              </w:rPr>
              <w:t>(5,474)</w:t>
            </w:r>
          </w:p>
        </w:tc>
        <w:tc>
          <w:tcPr>
            <w:tcW w:w="280" w:type="dxa"/>
            <w:vAlign w:val="bottom"/>
          </w:tcPr>
          <w:p>
            <w:pPr>
              <w:spacing w:after="0"/>
              <w:rPr>
                <w:sz w:val="12"/>
                <w:szCs w:val="12"/>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5,474</w:t>
            </w:r>
          </w:p>
        </w:tc>
        <w:tc>
          <w:tcPr>
            <w:tcW w:w="2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(218)</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893</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20" w:type="dxa"/>
            <w:vAlign w:val="bottom"/>
          </w:tcPr>
          <w:p>
            <w:pPr>
              <w:spacing w:after="0"/>
              <w:rPr>
                <w:sz w:val="12"/>
                <w:szCs w:val="12"/>
                <w:color w:val="auto"/>
              </w:rPr>
            </w:pPr>
          </w:p>
        </w:tc>
      </w:tr>
      <w:tr>
        <w:trPr>
          <w:trHeight w:val="148"/>
        </w:trPr>
        <w:tc>
          <w:tcPr>
            <w:tcW w:w="3480" w:type="dxa"/>
            <w:vAlign w:val="bottom"/>
          </w:tcPr>
          <w:p>
            <w:pPr>
              <w:spacing w:after="0" w:line="148" w:lineRule="exact"/>
              <w:rPr>
                <w:sz w:val="20"/>
                <w:szCs w:val="20"/>
                <w:color w:val="auto"/>
              </w:rPr>
            </w:pPr>
            <w:r>
              <w:rPr>
                <w:rFonts w:ascii="Arial" w:cs="Arial" w:eastAsia="Arial" w:hAnsi="Arial"/>
                <w:sz w:val="13"/>
                <w:szCs w:val="13"/>
                <w:color w:val="auto"/>
              </w:rPr>
              <w:t>Cash dividends declared on common stock ($1.00 per</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80" w:type="dxa"/>
            <w:vAlign w:val="bottom"/>
          </w:tcPr>
          <w:p>
            <w:pPr>
              <w:ind w:left="160"/>
              <w:spacing w:after="0"/>
              <w:rPr>
                <w:sz w:val="20"/>
                <w:szCs w:val="20"/>
                <w:color w:val="auto"/>
              </w:rPr>
            </w:pPr>
            <w:r>
              <w:rPr>
                <w:rFonts w:ascii="Arial" w:cs="Arial" w:eastAsia="Arial" w:hAnsi="Arial"/>
                <w:sz w:val="13"/>
                <w:szCs w:val="13"/>
                <w:color w:val="auto"/>
              </w:rPr>
              <w:t>share)</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(101)</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(101)</w:t>
            </w:r>
          </w:p>
        </w:tc>
      </w:tr>
      <w:tr>
        <w:trPr>
          <w:trHeight w:val="148"/>
        </w:trPr>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Translation adjustment, net of tax</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20" w:type="dxa"/>
            <w:vAlign w:val="bottom"/>
          </w:tcPr>
          <w:p>
            <w:pPr>
              <w:spacing w:after="0"/>
              <w:rPr>
                <w:sz w:val="12"/>
                <w:szCs w:val="12"/>
                <w:color w:val="auto"/>
              </w:rPr>
            </w:pPr>
          </w:p>
        </w:tc>
      </w:tr>
      <w:tr>
        <w:trPr>
          <w:trHeight w:val="148"/>
        </w:trPr>
        <w:tc>
          <w:tcPr>
            <w:tcW w:w="3480" w:type="dxa"/>
            <w:vAlign w:val="bottom"/>
          </w:tcPr>
          <w:p>
            <w:pPr>
              <w:spacing w:after="0"/>
              <w:rPr>
                <w:sz w:val="20"/>
                <w:szCs w:val="20"/>
                <w:color w:val="auto"/>
              </w:rPr>
            </w:pPr>
            <w:r>
              <w:rPr>
                <w:rFonts w:ascii="Arial" w:cs="Arial" w:eastAsia="Arial" w:hAnsi="Arial"/>
                <w:sz w:val="13"/>
                <w:szCs w:val="13"/>
                <w:color w:val="auto"/>
              </w:rPr>
              <w:t>Change in cash flow hedges, net of tax</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840" w:type="dxa"/>
            <w:vAlign w:val="bottom"/>
          </w:tcPr>
          <w:p>
            <w:pPr>
              <w:jc w:val="right"/>
              <w:ind w:right="33"/>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r>
      <w:tr>
        <w:trPr>
          <w:trHeight w:val="149"/>
        </w:trPr>
        <w:tc>
          <w:tcPr>
            <w:tcW w:w="3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Pension and postretirement adjustments, net of tax</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30</w:t>
            </w: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2"/>
                <w:szCs w:val="12"/>
                <w:color w:val="auto"/>
              </w:rPr>
            </w:pPr>
          </w:p>
        </w:tc>
      </w:tr>
      <w:tr>
        <w:trPr>
          <w:trHeight w:val="142"/>
        </w:trPr>
        <w:tc>
          <w:tcPr>
            <w:tcW w:w="34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Balance at January 29, 2022</w:t>
            </w: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99,071</w:t>
            </w:r>
          </w:p>
        </w:tc>
        <w:tc>
          <w:tcPr>
            <w:tcW w:w="2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770</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(2,050)</w:t>
            </w:r>
          </w:p>
        </w:tc>
        <w:tc>
          <w:tcPr>
            <w:tcW w:w="2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3"/>
                <w:szCs w:val="13"/>
                <w:b w:val="1"/>
                <w:bCs w:val="1"/>
                <w:color w:val="auto"/>
              </w:rPr>
              <w:t>(88)</w:t>
            </w: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2,900</w:t>
            </w:r>
          </w:p>
        </w:tc>
        <w:tc>
          <w:tcPr>
            <w:tcW w:w="3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(343)</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3"/>
                <w:szCs w:val="13"/>
                <w:b w:val="1"/>
                <w:bCs w:val="1"/>
                <w:color w:val="auto"/>
              </w:rPr>
              <w:t>4</w:t>
            </w: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3,243</w:t>
            </w:r>
          </w:p>
        </w:tc>
        <w:tc>
          <w:tcPr>
            <w:tcW w:w="20" w:type="dxa"/>
            <w:vAlign w:val="bottom"/>
          </w:tcPr>
          <w:p>
            <w:pPr>
              <w:spacing w:after="0"/>
              <w:rPr>
                <w:sz w:val="12"/>
                <w:szCs w:val="12"/>
                <w:color w:val="auto"/>
              </w:rPr>
            </w:pPr>
          </w:p>
        </w:tc>
      </w:tr>
    </w:tbl>
    <w:p>
      <w:pPr>
        <w:spacing w:after="0" w:line="169" w:lineRule="exact"/>
        <w:rPr>
          <w:sz w:val="20"/>
          <w:szCs w:val="20"/>
          <w:color w:val="auto"/>
        </w:rPr>
      </w:pPr>
    </w:p>
    <w:p>
      <w:pPr>
        <w:ind w:left="2100"/>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3"/>
          <w:szCs w:val="13"/>
          <w:color w:val="auto"/>
        </w:rPr>
        <w:t>.</w:t>
      </w:r>
    </w:p>
    <w:p>
      <w:pPr>
        <w:spacing w:after="0" w:line="34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68975" cy="26035"/>
                    </a:xfrm>
                    <a:prstGeom prst="rect">
                      <a:avLst/>
                    </a:prstGeom>
                    <a:noFill/>
                  </pic:spPr>
                </pic:pic>
              </a:graphicData>
            </a:graphic>
          </wp:anchor>
        </w:drawing>
      </w:r>
    </w:p>
    <w:p>
      <w:pPr>
        <w:sectPr>
          <w:pgSz w:w="11900" w:h="16838" w:orient="portrait"/>
          <w:cols w:equalWidth="0" w:num="1">
            <w:col w:w="9900"/>
          </w:cols>
          <w:pgMar w:left="1320" w:top="1440" w:right="6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80" w:type="dxa"/>
            <w:vAlign w:val="bottom"/>
            <w:gridSpan w:val="3"/>
          </w:tcPr>
          <w:p>
            <w:pPr>
              <w:jc w:val="right"/>
              <w:spacing w:after="0"/>
              <w:rPr>
                <w:sz w:val="20"/>
                <w:szCs w:val="20"/>
                <w:color w:val="auto"/>
              </w:rPr>
            </w:pPr>
            <w:r>
              <w:rPr>
                <w:rFonts w:ascii="Arial" w:cs="Arial" w:eastAsia="Arial" w:hAnsi="Arial"/>
                <w:sz w:val="16"/>
                <w:szCs w:val="16"/>
                <w:b w:val="1"/>
                <w:bCs w:val="1"/>
                <w:color w:val="auto"/>
              </w:rPr>
              <w:t>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51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24"/>
                <w:szCs w:val="24"/>
                <w:color w:val="auto"/>
              </w:rPr>
            </w:pPr>
          </w:p>
        </w:tc>
        <w:tc>
          <w:tcPr>
            <w:tcW w:w="1020" w:type="dxa"/>
            <w:vAlign w:val="bottom"/>
          </w:tcPr>
          <w:p>
            <w:pPr>
              <w:jc w:val="right"/>
              <w:ind w:right="415"/>
              <w:spacing w:after="0"/>
              <w:rPr>
                <w:sz w:val="20"/>
                <w:szCs w:val="20"/>
                <w:color w:val="auto"/>
              </w:rPr>
            </w:pPr>
            <w:r>
              <w:rPr>
                <w:rFonts w:ascii="Arial" w:cs="Arial" w:eastAsia="Arial" w:hAnsi="Arial"/>
                <w:sz w:val="17"/>
                <w:szCs w:val="17"/>
                <w:color w:val="auto"/>
              </w:rPr>
              <w:t>2020</w:t>
            </w:r>
          </w:p>
        </w:tc>
        <w:tc>
          <w:tcPr>
            <w:tcW w:w="340" w:type="dxa"/>
            <w:vAlign w:val="bottom"/>
          </w:tcPr>
          <w:p>
            <w:pPr>
              <w:spacing w:after="0"/>
              <w:rPr>
                <w:sz w:val="24"/>
                <w:szCs w:val="24"/>
                <w:color w:val="auto"/>
              </w:rPr>
            </w:pPr>
          </w:p>
        </w:tc>
        <w:tc>
          <w:tcPr>
            <w:tcW w:w="920" w:type="dxa"/>
            <w:vAlign w:val="bottom"/>
          </w:tcPr>
          <w:p>
            <w:pPr>
              <w:jc w:val="right"/>
              <w:ind w:right="31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From operating activities:</w:t>
            </w: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Net income</w:t>
            </w:r>
          </w:p>
        </w:tc>
        <w:tc>
          <w:tcPr>
            <w:tcW w:w="3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892</w:t>
            </w:r>
          </w:p>
        </w:tc>
        <w:tc>
          <w:tcPr>
            <w:tcW w:w="3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323</w:t>
            </w:r>
          </w:p>
        </w:tc>
        <w:tc>
          <w:tcPr>
            <w:tcW w:w="3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Adjustments to reconcile net income to net cash provided by</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00"/>
              <w:spacing w:after="0" w:line="189" w:lineRule="exact"/>
              <w:rPr>
                <w:sz w:val="20"/>
                <w:szCs w:val="20"/>
                <w:color w:val="auto"/>
              </w:rPr>
            </w:pPr>
            <w:r>
              <w:rPr>
                <w:rFonts w:ascii="Arial" w:cs="Arial" w:eastAsia="Arial" w:hAnsi="Arial"/>
                <w:sz w:val="17"/>
                <w:szCs w:val="17"/>
                <w:color w:val="auto"/>
              </w:rPr>
              <w:t>Non-cash impairment and other charges</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148</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97</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Non-cash gains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(367)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(190)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00"/>
              <w:spacing w:after="0" w:line="189" w:lineRule="exact"/>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197</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176</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74</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00"/>
              <w:spacing w:after="0" w:line="189" w:lineRule="exact"/>
              <w:rPr>
                <w:sz w:val="20"/>
                <w:szCs w:val="20"/>
                <w:color w:val="auto"/>
              </w:rPr>
            </w:pPr>
            <w:r>
              <w:rPr>
                <w:rFonts w:ascii="Arial" w:cs="Arial" w:eastAsia="Arial" w:hAnsi="Arial"/>
                <w:sz w:val="17"/>
                <w:szCs w:val="17"/>
                <w:color w:val="auto"/>
              </w:rPr>
              <w:t>Share-based compensation expense</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29</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15</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Qualified pension plan contributions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00"/>
              <w:spacing w:after="0" w:line="189" w:lineRule="exact"/>
              <w:rPr>
                <w:sz w:val="20"/>
                <w:szCs w:val="20"/>
                <w:color w:val="auto"/>
              </w:rPr>
            </w:pPr>
            <w:r>
              <w:rPr>
                <w:rFonts w:ascii="Arial" w:cs="Arial" w:eastAsia="Arial" w:hAnsi="Arial"/>
                <w:sz w:val="17"/>
                <w:szCs w:val="17"/>
                <w:color w:val="auto"/>
              </w:rPr>
              <w:t>Change in assets and liabilities: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Merchandise inventories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(259)</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294</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300"/>
              <w:spacing w:after="0" w:line="189" w:lineRule="exact"/>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161</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60</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Accrued and other liabilities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300"/>
              <w:spacing w:after="0" w:line="189" w:lineRule="exact"/>
              <w:rPr>
                <w:sz w:val="20"/>
                <w:szCs w:val="20"/>
                <w:color w:val="auto"/>
              </w:rPr>
            </w:pPr>
            <w:r>
              <w:rPr>
                <w:rFonts w:ascii="Arial" w:cs="Arial" w:eastAsia="Arial" w:hAnsi="Arial"/>
                <w:sz w:val="17"/>
                <w:szCs w:val="17"/>
                <w:color w:val="auto"/>
              </w:rPr>
              <w:t>Insurance recovery received for inventory loss</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10</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auto"/>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Other, net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(220)</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156</w:t>
            </w: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666</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1,062</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From investing activities:</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Purchase of business, net of cash acquired</w:t>
            </w:r>
          </w:p>
        </w:tc>
        <w:tc>
          <w:tcPr>
            <w:tcW w:w="3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(1,056)</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Capital expenditures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(209)</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(159)</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Minority investments</w:t>
            </w:r>
          </w:p>
        </w:tc>
        <w:tc>
          <w:tcPr>
            <w:tcW w:w="3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(118)</w:t>
            </w:r>
          </w:p>
        </w:tc>
        <w:tc>
          <w:tcPr>
            <w:tcW w:w="300" w:type="dxa"/>
            <w:vAlign w:val="bottom"/>
          </w:tcPr>
          <w:p>
            <w:pPr>
              <w:spacing w:after="0"/>
              <w:rPr>
                <w:sz w:val="16"/>
                <w:szCs w:val="16"/>
                <w:color w:val="auto"/>
              </w:rPr>
            </w:pPr>
          </w:p>
        </w:tc>
        <w:tc>
          <w:tcPr>
            <w:tcW w:w="10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(9)</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sale of property</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Insurance proceeds related to loss on property and equipment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(1,376)</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(168)</w:t>
            </w: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00" w:type="dxa"/>
            <w:vAlign w:val="bottom"/>
          </w:tcPr>
          <w:p>
            <w:pPr>
              <w:spacing w:after="0" w:line="183" w:lineRule="exact"/>
              <w:rPr>
                <w:sz w:val="20"/>
                <w:szCs w:val="20"/>
                <w:color w:val="auto"/>
              </w:rPr>
            </w:pPr>
            <w:r>
              <w:rPr>
                <w:rFonts w:ascii="Arial" w:cs="Arial" w:eastAsia="Arial" w:hAnsi="Arial"/>
                <w:sz w:val="17"/>
                <w:szCs w:val="17"/>
                <w:b w:val="1"/>
                <w:bCs w:val="1"/>
                <w:color w:val="auto"/>
              </w:rPr>
              <w:t>From financing activities:</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debt issuance, net</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395</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Payment of long-term debt and obligations under finance leases</w:t>
            </w:r>
          </w:p>
        </w:tc>
        <w:tc>
          <w:tcPr>
            <w:tcW w:w="3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(102)</w:t>
            </w:r>
          </w:p>
        </w:tc>
        <w:tc>
          <w:tcPr>
            <w:tcW w:w="300" w:type="dxa"/>
            <w:vAlign w:val="bottom"/>
          </w:tcPr>
          <w:p>
            <w:pPr>
              <w:spacing w:after="0"/>
              <w:rPr>
                <w:sz w:val="16"/>
                <w:szCs w:val="16"/>
                <w:color w:val="auto"/>
              </w:rPr>
            </w:pPr>
          </w:p>
        </w:tc>
        <w:tc>
          <w:tcPr>
            <w:tcW w:w="10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(23)</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Payment of debt issuance costs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the revolving credit facility</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330</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Repayment of the revolving credit facility</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(330)</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Purchase of treasury shares</w:t>
            </w:r>
          </w:p>
        </w:tc>
        <w:tc>
          <w:tcPr>
            <w:tcW w:w="300" w:type="dxa"/>
            <w:vAlign w:val="bottom"/>
          </w:tcPr>
          <w:p>
            <w:pPr>
              <w:spacing w:after="0"/>
              <w:rPr>
                <w:sz w:val="16"/>
                <w:szCs w:val="16"/>
                <w:color w:val="auto"/>
              </w:rPr>
            </w:pPr>
          </w:p>
        </w:tc>
        <w:tc>
          <w:tcPr>
            <w:tcW w:w="10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(348)</w:t>
            </w:r>
          </w:p>
        </w:tc>
        <w:tc>
          <w:tcPr>
            <w:tcW w:w="300" w:type="dxa"/>
            <w:vAlign w:val="bottom"/>
          </w:tcPr>
          <w:p>
            <w:pPr>
              <w:spacing w:after="0"/>
              <w:rPr>
                <w:sz w:val="16"/>
                <w:szCs w:val="16"/>
                <w:color w:val="auto"/>
              </w:rPr>
            </w:pPr>
          </w:p>
        </w:tc>
        <w:tc>
          <w:tcPr>
            <w:tcW w:w="102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(37)</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Dividends paid on common stock</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(73)</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Proceeds from exercise of stock options</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10</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Shares of common stock repurchased to satisfy tax withholding</w:t>
            </w: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(11)</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obligations</w:t>
            </w:r>
          </w:p>
        </w:tc>
        <w:tc>
          <w:tcPr>
            <w:tcW w:w="3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Treasury stock reissued under employee stock plan</w:t>
            </w:r>
          </w:p>
        </w:tc>
        <w:tc>
          <w:tcPr>
            <w:tcW w:w="300" w:type="dxa"/>
            <w:vAlign w:val="bottom"/>
          </w:tcPr>
          <w:p>
            <w:pPr>
              <w:spacing w:after="0"/>
              <w:rPr>
                <w:sz w:val="16"/>
                <w:szCs w:val="16"/>
                <w:color w:val="auto"/>
              </w:rPr>
            </w:pP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7</w:t>
            </w:r>
          </w:p>
        </w:tc>
        <w:tc>
          <w:tcPr>
            <w:tcW w:w="300" w:type="dxa"/>
            <w:vAlign w:val="bottom"/>
          </w:tcPr>
          <w:p>
            <w:pPr>
              <w:spacing w:after="0"/>
              <w:rPr>
                <w:sz w:val="16"/>
                <w:szCs w:val="16"/>
                <w:color w:val="auto"/>
              </w:rPr>
            </w:pP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Proceeds from common stock issued under employee stock plan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Contribution from non-controlling interest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(152)</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(126)</w:t>
            </w: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Pr>
          <w:p>
            <w:pPr>
              <w:spacing w:after="0" w:line="176" w:lineRule="exact"/>
              <w:rPr>
                <w:sz w:val="20"/>
                <w:szCs w:val="20"/>
                <w:color w:val="auto"/>
              </w:rPr>
            </w:pPr>
            <w:r>
              <w:rPr>
                <w:rFonts w:ascii="Arial" w:cs="Arial" w:eastAsia="Arial" w:hAnsi="Arial"/>
                <w:sz w:val="17"/>
                <w:szCs w:val="17"/>
                <w:color w:val="auto"/>
              </w:rPr>
              <w:t>Effect of exchange rate fluctuations on cash, cash equivalents, and</w:t>
            </w:r>
          </w:p>
        </w:tc>
        <w:tc>
          <w:tcPr>
            <w:tcW w:w="300" w:type="dxa"/>
            <w:vAlign w:val="bottom"/>
          </w:tcPr>
          <w:p>
            <w:pPr>
              <w:spacing w:after="0"/>
              <w:rPr>
                <w:sz w:val="15"/>
                <w:szCs w:val="15"/>
                <w:color w:val="auto"/>
              </w:rPr>
            </w:pP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(6)</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restricted cash</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change in cash, cash equivalents, and restricted cash</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(868)</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776</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Cash, cash equivalents, and restricted cash at beginning of year</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1,718</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942</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850</w:t>
            </w:r>
          </w:p>
        </w:tc>
        <w:tc>
          <w:tcPr>
            <w:tcW w:w="3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1,718</w:t>
            </w:r>
          </w:p>
        </w:tc>
        <w:tc>
          <w:tcPr>
            <w:tcW w:w="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Cash paid during the year:</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100"/>
              <w:spacing w:after="0" w:line="189" w:lineRule="exact"/>
              <w:rPr>
                <w:sz w:val="20"/>
                <w:szCs w:val="20"/>
                <w:color w:val="auto"/>
              </w:rPr>
            </w:pPr>
            <w:r>
              <w:rPr>
                <w:rFonts w:ascii="Arial" w:cs="Arial" w:eastAsia="Arial" w:hAnsi="Arial"/>
                <w:sz w:val="17"/>
                <w:szCs w:val="17"/>
                <w:color w:val="auto"/>
              </w:rPr>
              <w:t>Interest</w:t>
            </w:r>
          </w:p>
        </w:tc>
        <w:tc>
          <w:tcPr>
            <w:tcW w:w="3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11</w:t>
            </w:r>
          </w:p>
        </w:tc>
        <w:tc>
          <w:tcPr>
            <w:tcW w:w="3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14</w:t>
            </w:r>
          </w:p>
        </w:tc>
        <w:tc>
          <w:tcPr>
            <w:tcW w:w="3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Income taxes</w:t>
            </w:r>
          </w:p>
        </w:tc>
        <w:tc>
          <w:tcPr>
            <w:tcW w:w="3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387</w:t>
            </w:r>
          </w:p>
        </w:tc>
        <w:tc>
          <w:tcPr>
            <w:tcW w:w="3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100</w:t>
            </w:r>
          </w:p>
        </w:tc>
        <w:tc>
          <w:tcPr>
            <w:tcW w:w="3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543560</wp:posOffset>
            </wp:positionV>
            <wp:extent cx="2065655"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065655" cy="22288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323"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2021 Form 10-K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471170</wp:posOffset>
            </wp:positionV>
            <wp:extent cx="576897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68975" cy="25400"/>
                    </a:xfrm>
                    <a:prstGeom prst="rect">
                      <a:avLst/>
                    </a:prstGeom>
                    <a:noFill/>
                  </pic:spPr>
                </pic:pic>
              </a:graphicData>
            </a:graphic>
          </wp:anchor>
        </w:drawing>
      </w:r>
    </w:p>
    <w:p>
      <w:pPr>
        <w:sectPr>
          <w:pgSz w:w="11900" w:h="16838" w:orient="portrait"/>
          <w:cols w:equalWidth="0" w:num="1">
            <w:col w:w="9139"/>
          </w:cols>
          <w:pgMar w:left="1320" w:top="1350" w:right="1440" w:bottom="1440" w:gutter="0" w:footer="0" w:header="0"/>
        </w:sectPr>
      </w:pPr>
    </w:p>
    <w:bookmarkStart w:id="46" w:name="page47"/>
    <w:bookmarkEnd w:id="46"/>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Basis of Presentation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consolidated financial statements include the accounts of Foot Locker, Inc. and its domestic and international subsidiaries, as well as any entities in which we have a controlling voting interest that are required to be consolidated. All significant intercompany amounts have been eliminated. As used in these Notes to Consolidated Financial Statements the terms “Foot Locker,” “Company,” “we,” “our,” and “us” refer to Foot Locker, Inc. and its consolidated subsidiaries.</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COVID-19 Pandemic</w:t>
      </w:r>
    </w:p>
    <w:p>
      <w:pPr>
        <w:spacing w:after="0" w:line="18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COVID-19 pandemic has created significant public health concerns as well as economic disruption, uncertainty, and volatility which may negatively affect our business operations.</w:t>
      </w:r>
    </w:p>
    <w:p>
      <w:pPr>
        <w:spacing w:after="0" w:line="158"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considered the ongoing effects of the COVID-19 pandemic on our operations, as well as the assumptions and estimates used when preparing our financial statements, including inventory valuation, income taxes, and evaluating the impairment of long-lived tangible assets and right-of-use lease assets. These assumptions and estimates may change as the current situation evolves or new events occur and additional information is obtained.</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extent to which COVID-19 affects our business, results of operations, or financial condition will depend on future developments which are outside of our control. This includes, without limitation, the efficacy and public acceptance of vaccination programs and/or testing mandates in curbing the spread of the virus, the introduction and spread of new variants of the virus, which may prove resistant to currently approved vaccines, and new or reinstated restrictions or regulations on our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Reporting Year</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fiscal year end is a 52-week or 53-week period ending the Saturday closest to the last day in January. Fiscal year 2021, 2020, and 2019 represented the 52 weeks ended January 29, 2022, January 30, 2021, and February 1, 2020, respectively. References to years in this annual report relate to fiscal years rather than calendar years.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Revenue Recognition</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Store revenue is recognized at the point of sale and includes merchandise, net of returns, and excludes taxes. Revenue from layaway sales is recognized when the customer receives the product, rather than when the initial deposit is paid. We recognize revenue for merchandise that is shipped to our customers from our distribution centers and stores upon shipment as the customer has control of the product upon shipment. We account for shipping and handling as a fulfillment activity. We accrue the cost and recognize revenue for these activities upon shipment date, therefore total sales recognized includes shipping and handling fees.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Gift Cards</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sell gift cards which do not have expiration dates. Revenue from gift card sales is recorded when the gift cards are redeemed by customers. Gift card breakage is recognized as revenue in proportion to the pattern of rights exercised by the customer, unless there is a legal obligation to remit the value of unredeemed gift cards to the relevant jurisdictions.</w:t>
      </w:r>
    </w:p>
    <w:p>
      <w:pPr>
        <w:spacing w:after="0" w:line="35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300" w:type="dxa"/>
            <w:vAlign w:val="bottom"/>
          </w:tcPr>
          <w:p>
            <w:pPr>
              <w:ind w:left="20"/>
              <w:spacing w:after="0"/>
              <w:rPr>
                <w:sz w:val="20"/>
                <w:szCs w:val="20"/>
                <w:color w:val="auto"/>
              </w:rPr>
            </w:pPr>
            <w:r>
              <w:rPr>
                <w:rFonts w:ascii="Arial" w:cs="Arial" w:eastAsia="Arial" w:hAnsi="Arial"/>
                <w:sz w:val="17"/>
                <w:szCs w:val="17"/>
                <w:color w:val="auto"/>
              </w:rPr>
              <w:t>The table below presents the activity of our gift card liability balance:</w:t>
            </w: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29"/>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jc w:val="right"/>
              <w:ind w:right="455"/>
              <w:spacing w:after="0"/>
              <w:rPr>
                <w:sz w:val="20"/>
                <w:szCs w:val="20"/>
                <w:color w:val="auto"/>
              </w:rPr>
            </w:pPr>
            <w:r>
              <w:rPr>
                <w:rFonts w:ascii="Arial" w:cs="Arial" w:eastAsia="Arial" w:hAnsi="Arial"/>
                <w:sz w:val="17"/>
                <w:szCs w:val="17"/>
                <w:b w:val="1"/>
                <w:bCs w:val="1"/>
                <w:color w:val="auto"/>
              </w:rPr>
              <w:t>January 29,</w:t>
            </w:r>
          </w:p>
        </w:tc>
        <w:tc>
          <w:tcPr>
            <w:tcW w:w="380" w:type="dxa"/>
            <w:vAlign w:val="bottom"/>
          </w:tcPr>
          <w:p>
            <w:pPr>
              <w:spacing w:after="0"/>
              <w:rPr>
                <w:sz w:val="24"/>
                <w:szCs w:val="24"/>
                <w:color w:val="auto"/>
              </w:rPr>
            </w:pPr>
          </w:p>
        </w:tc>
        <w:tc>
          <w:tcPr>
            <w:tcW w:w="1400" w:type="dxa"/>
            <w:vAlign w:val="bottom"/>
          </w:tcPr>
          <w:p>
            <w:pPr>
              <w:jc w:val="right"/>
              <w:ind w:right="295"/>
              <w:spacing w:after="0"/>
              <w:rPr>
                <w:sz w:val="20"/>
                <w:szCs w:val="20"/>
                <w:color w:val="auto"/>
              </w:rPr>
            </w:pPr>
            <w:r>
              <w:rPr>
                <w:rFonts w:ascii="Arial" w:cs="Arial" w:eastAsia="Arial" w:hAnsi="Arial"/>
                <w:sz w:val="17"/>
                <w:szCs w:val="17"/>
                <w:b w:val="1"/>
                <w:bCs w:val="1"/>
                <w:color w:val="auto"/>
              </w:rPr>
              <w:t>January 30,</w:t>
            </w:r>
          </w:p>
        </w:tc>
      </w:tr>
      <w:tr>
        <w:trPr>
          <w:trHeight w:val="215"/>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2022</w:t>
            </w: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2021</w:t>
            </w:r>
          </w:p>
        </w:tc>
      </w:tr>
      <w:tr>
        <w:trPr>
          <w:trHeight w:val="183"/>
        </w:trPr>
        <w:tc>
          <w:tcPr>
            <w:tcW w:w="53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 at beginning of year</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41</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35</w:t>
            </w: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7"/>
                <w:szCs w:val="17"/>
                <w:color w:val="auto"/>
              </w:rPr>
              <w:t>Liabilities acquired - WSS</w:t>
            </w:r>
          </w:p>
        </w:tc>
        <w:tc>
          <w:tcPr>
            <w:tcW w:w="300" w:type="dxa"/>
            <w:vAlign w:val="bottom"/>
          </w:tcPr>
          <w:p>
            <w:pPr>
              <w:spacing w:after="0"/>
              <w:rPr>
                <w:sz w:val="16"/>
                <w:szCs w:val="16"/>
                <w:color w:val="auto"/>
              </w:rPr>
            </w:pPr>
          </w:p>
        </w:tc>
        <w:tc>
          <w:tcPr>
            <w:tcW w:w="1560" w:type="dxa"/>
            <w:vAlign w:val="bottom"/>
          </w:tcPr>
          <w:p>
            <w:pPr>
              <w:jc w:val="right"/>
              <w:ind w:right="15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Redemptions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(249)</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w:t>
            </w: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7"/>
                <w:szCs w:val="17"/>
                <w:color w:val="auto"/>
              </w:rPr>
              <w:t>Breakage recognized in sales</w:t>
            </w:r>
          </w:p>
        </w:tc>
        <w:tc>
          <w:tcPr>
            <w:tcW w:w="300" w:type="dxa"/>
            <w:vAlign w:val="bottom"/>
          </w:tcPr>
          <w:p>
            <w:pPr>
              <w:spacing w:after="0"/>
              <w:rPr>
                <w:sz w:val="16"/>
                <w:szCs w:val="16"/>
                <w:color w:val="auto"/>
              </w:rPr>
            </w:pPr>
          </w:p>
        </w:tc>
        <w:tc>
          <w:tcPr>
            <w:tcW w:w="156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(17)</w:t>
            </w:r>
          </w:p>
        </w:tc>
        <w:tc>
          <w:tcPr>
            <w:tcW w:w="38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Activations</w:t>
            </w:r>
          </w:p>
        </w:tc>
        <w:tc>
          <w:tcPr>
            <w:tcW w:w="30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271</w:t>
            </w:r>
          </w:p>
        </w:tc>
        <w:tc>
          <w:tcPr>
            <w:tcW w:w="3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w:t>
            </w:r>
          </w:p>
        </w:tc>
      </w:tr>
      <w:tr>
        <w:trPr>
          <w:trHeight w:val="189"/>
        </w:trPr>
        <w:tc>
          <w:tcPr>
            <w:tcW w:w="5300" w:type="dxa"/>
            <w:vAlign w:val="bottom"/>
            <w:tcBorders>
              <w:bottom w:val="single" w:sz="8" w:color="auto"/>
            </w:tcBorders>
          </w:tcPr>
          <w:p>
            <w:pPr>
              <w:ind w:left="220"/>
              <w:spacing w:after="0" w:line="189" w:lineRule="exact"/>
              <w:rPr>
                <w:sz w:val="20"/>
                <w:szCs w:val="20"/>
                <w:color w:val="auto"/>
              </w:rPr>
            </w:pPr>
            <w:r>
              <w:rPr>
                <w:rFonts w:ascii="Arial" w:cs="Arial" w:eastAsia="Arial" w:hAnsi="Arial"/>
                <w:sz w:val="17"/>
                <w:szCs w:val="17"/>
                <w:color w:val="auto"/>
              </w:rPr>
              <w:t>Foreign currency fluctuations</w:t>
            </w: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(1)</w:t>
            </w: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53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Gift card liability</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46</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We elected not to disclose the information about remaining performance obligations since the amount of gift cards redeemed after 12 months is not significant for both 2021 and 2020.</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Advertising Costs and Sales Promotion</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Advertising and sales promotion costs are expensed at the time the advertising or promotion takes place, net of reimbursements for cooperative advertising. Cooperative advertising reimbursements earned for the launch and promotion of certain products agreed upon with vendors are recorded in the same period as the associated expenses are incurred.</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Digital advertising costs are expensed as incurred, net of reimbursements for cooperative advertising. Digital advertising includes search engine marketing, such as display ads and keyword search terms, and other various forms of digital advertising. Reimbursements received in excess of expenses incurred related to specific, incremental, and identifiable advertising costs are accounted for as a reduction to the cost of merchandise and are reflected in cost of sales when the merchandise is sold.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Advertising costs, including digital advertising, which are included as a component of SG&amp;A, were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2019</w:t>
            </w:r>
          </w:p>
        </w:tc>
      </w:tr>
      <w:tr>
        <w:trPr>
          <w:trHeight w:val="183"/>
        </w:trPr>
        <w:tc>
          <w:tcPr>
            <w:tcW w:w="37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Advertising expenses</w:t>
            </w:r>
          </w:p>
        </w:tc>
        <w:tc>
          <w:tcPr>
            <w:tcW w:w="160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113</w:t>
            </w:r>
          </w:p>
        </w:tc>
        <w:tc>
          <w:tcPr>
            <w:tcW w:w="1040" w:type="dxa"/>
            <w:vAlign w:val="bottom"/>
            <w:shd w:val="clear" w:color="auto" w:fill="CCEEFF"/>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69</w:t>
            </w:r>
          </w:p>
        </w:tc>
        <w:tc>
          <w:tcPr>
            <w:tcW w:w="40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91</w:t>
            </w:r>
          </w:p>
        </w:tc>
      </w:tr>
      <w:tr>
        <w:trPr>
          <w:trHeight w:val="189"/>
        </w:trPr>
        <w:tc>
          <w:tcPr>
            <w:tcW w:w="3760" w:type="dxa"/>
            <w:vAlign w:val="bottom"/>
          </w:tcPr>
          <w:p>
            <w:pPr>
              <w:ind w:left="20"/>
              <w:spacing w:after="0" w:line="189" w:lineRule="exact"/>
              <w:rPr>
                <w:sz w:val="20"/>
                <w:szCs w:val="20"/>
                <w:color w:val="auto"/>
              </w:rPr>
            </w:pPr>
            <w:r>
              <w:rPr>
                <w:rFonts w:ascii="Arial" w:cs="Arial" w:eastAsia="Arial" w:hAnsi="Arial"/>
                <w:sz w:val="17"/>
                <w:szCs w:val="17"/>
                <w:color w:val="auto"/>
              </w:rPr>
              <w:t>Digital advertising expenses</w:t>
            </w:r>
          </w:p>
        </w:tc>
        <w:tc>
          <w:tcPr>
            <w:tcW w:w="1600" w:type="dxa"/>
            <w:vAlign w:val="bottom"/>
          </w:tcPr>
          <w:p>
            <w:pPr>
              <w:spacing w:after="0"/>
              <w:rPr>
                <w:sz w:val="16"/>
                <w:szCs w:val="16"/>
                <w:color w:val="auto"/>
              </w:rPr>
            </w:pP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110</w:t>
            </w:r>
          </w:p>
        </w:tc>
        <w:tc>
          <w:tcPr>
            <w:tcW w:w="1040" w:type="dxa"/>
            <w:vAlign w:val="bottom"/>
          </w:tcPr>
          <w:p>
            <w:pPr>
              <w:spacing w:after="0"/>
              <w:rPr>
                <w:sz w:val="16"/>
                <w:szCs w:val="16"/>
                <w:color w:val="auto"/>
              </w:rPr>
            </w:pPr>
          </w:p>
        </w:tc>
        <w:tc>
          <w:tcPr>
            <w:tcW w:w="5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89</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95</w:t>
            </w:r>
          </w:p>
        </w:tc>
      </w:tr>
      <w:tr>
        <w:trPr>
          <w:trHeight w:val="189"/>
        </w:trPr>
        <w:tc>
          <w:tcPr>
            <w:tcW w:w="37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Cooperative advertising reimbursements</w:t>
            </w:r>
          </w:p>
        </w:tc>
        <w:tc>
          <w:tcPr>
            <w:tcW w:w="16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(29)</w:t>
            </w:r>
          </w:p>
        </w:tc>
        <w:tc>
          <w:tcPr>
            <w:tcW w:w="10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(14)</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3"/>
        </w:trPr>
        <w:tc>
          <w:tcPr>
            <w:tcW w:w="376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Net advertising expense</w:t>
            </w:r>
          </w:p>
        </w:tc>
        <w:tc>
          <w:tcPr>
            <w:tcW w:w="1600" w:type="dxa"/>
            <w:vAlign w:val="bottom"/>
            <w:tcBorders>
              <w:bottom w:val="single" w:sz="8" w:color="auto"/>
            </w:tcBorders>
          </w:tcPr>
          <w:p>
            <w:pPr>
              <w:jc w:val="right"/>
              <w:ind w:right="755"/>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194</w:t>
            </w:r>
          </w:p>
        </w:tc>
        <w:tc>
          <w:tcPr>
            <w:tcW w:w="1040" w:type="dxa"/>
            <w:vAlign w:val="bottom"/>
            <w:tcBorders>
              <w:bottom w:val="single" w:sz="8" w:color="auto"/>
            </w:tcBorders>
          </w:tcPr>
          <w:p>
            <w:pPr>
              <w:jc w:val="right"/>
              <w:ind w:right="755"/>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144</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166</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Share-Based Compensation</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 xml:space="preserve">We recognize compensation expense for share-based awards based on the grant date fair value of those awards. We use the Black-Scholes option-pricing model to determine the fair value of stock options, which requires the input of subjective assumptions regarding the expected term, expected volatility, and risk-free interest rate. See Note 21, </w:t>
      </w: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for information on the assumptions used to calculate the fair value of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Share-based compensation expense is recognized on a straight-line basis over the requisite service period for each vesting tranche of the award. Upon exercise of stock options, issuance of restricted stock or units, or issuance of shares under the employee stock purchase plan, we will issue authorized but unissued common stock or use common stock held in treasury.</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Awards of restricted stock units cliff vest after the passage of time, generally three years. Performance stock unit awards are earned only after the attainment of performance goals in connection with the relevant performance period and vest after an additional one-year period.</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Earnings Per Share</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w:t>
      </w:r>
    </w:p>
    <w:p>
      <w:pPr>
        <w:spacing w:after="0" w:line="200" w:lineRule="exact"/>
        <w:rPr>
          <w:sz w:val="20"/>
          <w:szCs w:val="20"/>
          <w:color w:val="auto"/>
        </w:rPr>
      </w:pPr>
    </w:p>
    <w:p>
      <w:pPr>
        <w:spacing w:after="0" w:line="31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48" w:name="page49"/>
    <w:bookmarkEnd w:id="48"/>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4340" w:type="dxa"/>
            <w:vAlign w:val="bottom"/>
          </w:tcPr>
          <w:p>
            <w:pPr>
              <w:ind w:left="20"/>
              <w:spacing w:after="0"/>
              <w:rPr>
                <w:sz w:val="20"/>
                <w:szCs w:val="20"/>
                <w:color w:val="auto"/>
              </w:rPr>
            </w:pPr>
            <w:r>
              <w:rPr>
                <w:rFonts w:ascii="Arial" w:cs="Arial" w:eastAsia="Arial" w:hAnsi="Arial"/>
                <w:sz w:val="17"/>
                <w:szCs w:val="17"/>
                <w:color w:val="auto"/>
              </w:rPr>
              <w:t>The computation of basic and diluted EPS is as follows:</w:t>
            </w: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 millions, except per share data)</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434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Net income attributable to Foot Locker, Inc.</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893</w:t>
            </w:r>
          </w:p>
        </w:tc>
        <w:tc>
          <w:tcPr>
            <w:tcW w:w="4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323</w:t>
            </w:r>
          </w:p>
        </w:tc>
        <w:tc>
          <w:tcPr>
            <w:tcW w:w="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189"/>
        </w:trPr>
        <w:tc>
          <w:tcPr>
            <w:tcW w:w="4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Weighted-average common shares outstanding</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102.5</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104.3</w:t>
            </w: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189"/>
        </w:trPr>
        <w:tc>
          <w:tcPr>
            <w:tcW w:w="434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Dilutive effect of potential common shares</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0.8</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176"/>
        </w:trPr>
        <w:tc>
          <w:tcPr>
            <w:tcW w:w="43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Weighted-average common shares outstanding</w:t>
            </w:r>
          </w:p>
        </w:tc>
        <w:tc>
          <w:tcPr>
            <w:tcW w:w="4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103.8</w:t>
            </w: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assuming dilution</w:t>
            </w: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105.1</w:t>
            </w:r>
          </w:p>
        </w:tc>
        <w:tc>
          <w:tcPr>
            <w:tcW w:w="4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0" w:type="dxa"/>
            <w:vAlign w:val="bottom"/>
          </w:tcPr>
          <w:p>
            <w:pPr>
              <w:spacing w:after="0"/>
              <w:rPr>
                <w:sz w:val="1"/>
                <w:szCs w:val="1"/>
                <w:color w:val="auto"/>
              </w:rPr>
            </w:pP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Earnings per share - basic</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8.72</w:t>
            </w: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3.10</w:t>
            </w:r>
          </w:p>
        </w:tc>
        <w:tc>
          <w:tcPr>
            <w:tcW w:w="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4.52</w:t>
            </w:r>
          </w:p>
        </w:tc>
        <w:tc>
          <w:tcPr>
            <w:tcW w:w="0" w:type="dxa"/>
            <w:vAlign w:val="bottom"/>
          </w:tcPr>
          <w:p>
            <w:pPr>
              <w:spacing w:after="0"/>
              <w:rPr>
                <w:sz w:val="1"/>
                <w:szCs w:val="1"/>
                <w:color w:val="auto"/>
              </w:rPr>
            </w:pPr>
          </w:p>
        </w:tc>
      </w:tr>
      <w:tr>
        <w:trPr>
          <w:trHeight w:val="189"/>
        </w:trPr>
        <w:tc>
          <w:tcPr>
            <w:tcW w:w="4340" w:type="dxa"/>
            <w:vAlign w:val="bottom"/>
          </w:tcPr>
          <w:p>
            <w:pPr>
              <w:ind w:left="20"/>
              <w:spacing w:after="0" w:line="189" w:lineRule="exact"/>
              <w:rPr>
                <w:sz w:val="20"/>
                <w:szCs w:val="20"/>
                <w:color w:val="auto"/>
              </w:rPr>
            </w:pPr>
            <w:r>
              <w:rPr>
                <w:rFonts w:ascii="Arial" w:cs="Arial" w:eastAsia="Arial" w:hAnsi="Arial"/>
                <w:sz w:val="17"/>
                <w:szCs w:val="17"/>
                <w:color w:val="auto"/>
              </w:rPr>
              <w:t>Earnings per share - diluted</w:t>
            </w:r>
          </w:p>
        </w:tc>
        <w:tc>
          <w:tcPr>
            <w:tcW w:w="42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8.61</w:t>
            </w:r>
          </w:p>
        </w:tc>
        <w:tc>
          <w:tcPr>
            <w:tcW w:w="42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3.08</w:t>
            </w:r>
          </w:p>
        </w:tc>
        <w:tc>
          <w:tcPr>
            <w:tcW w:w="4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89"/>
        </w:trPr>
        <w:tc>
          <w:tcPr>
            <w:tcW w:w="4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tcPr>
          <w:p>
            <w:pPr>
              <w:ind w:left="20"/>
              <w:spacing w:after="0" w:line="183" w:lineRule="exact"/>
              <w:rPr>
                <w:sz w:val="20"/>
                <w:szCs w:val="20"/>
                <w:color w:val="auto"/>
              </w:rPr>
            </w:pPr>
            <w:r>
              <w:rPr>
                <w:rFonts w:ascii="Arial" w:cs="Arial" w:eastAsia="Arial" w:hAnsi="Arial"/>
                <w:sz w:val="17"/>
                <w:szCs w:val="17"/>
                <w:color w:val="auto"/>
              </w:rPr>
              <w:t>Anti-dilutive share-based awards excluded from diluted</w:t>
            </w:r>
          </w:p>
        </w:tc>
        <w:tc>
          <w:tcPr>
            <w:tcW w:w="420" w:type="dxa"/>
            <w:vAlign w:val="bottom"/>
          </w:tcPr>
          <w:p>
            <w:pPr>
              <w:spacing w:after="0"/>
              <w:rPr>
                <w:sz w:val="15"/>
                <w:szCs w:val="15"/>
                <w:color w:val="auto"/>
              </w:rPr>
            </w:pPr>
          </w:p>
        </w:tc>
        <w:tc>
          <w:tcPr>
            <w:tcW w:w="11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1.8</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calculation</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w:t>
            </w: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60" w:right="100"/>
        <w:spacing w:after="0" w:line="236" w:lineRule="auto"/>
        <w:rPr>
          <w:sz w:val="20"/>
          <w:szCs w:val="20"/>
          <w:color w:val="auto"/>
        </w:rPr>
      </w:pPr>
      <w:r>
        <w:rPr>
          <w:rFonts w:ascii="Arial" w:cs="Arial" w:eastAsia="Arial" w:hAnsi="Arial"/>
          <w:sz w:val="17"/>
          <w:szCs w:val="17"/>
          <w:color w:val="auto"/>
        </w:rPr>
        <w:t>Performance stock units related to our long-term incentive programs of 0.4 million for 2021, 0.4 million for 2020, and 0.5 million for 2019, have been excluded from diluted weighted-average shares. The issuance of these shares are contingent on our performance metrics as compared to the pre-established performance goals, which have not been achieved.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Cash, Cash Equivalents, and Restricted Cash</w:t>
      </w:r>
    </w:p>
    <w:p>
      <w:pPr>
        <w:spacing w:after="0" w:line="187" w:lineRule="exact"/>
        <w:rPr>
          <w:sz w:val="20"/>
          <w:szCs w:val="20"/>
          <w:color w:val="auto"/>
        </w:rPr>
      </w:pPr>
    </w:p>
    <w:p>
      <w:pPr>
        <w:jc w:val="both"/>
        <w:ind w:left="60" w:right="100"/>
        <w:spacing w:after="0" w:line="235" w:lineRule="auto"/>
        <w:rPr>
          <w:sz w:val="20"/>
          <w:szCs w:val="20"/>
          <w:color w:val="auto"/>
        </w:rPr>
      </w:pPr>
      <w:r>
        <w:rPr>
          <w:rFonts w:ascii="Arial" w:cs="Arial" w:eastAsia="Arial" w:hAnsi="Arial"/>
          <w:sz w:val="17"/>
          <w:szCs w:val="17"/>
          <w:color w:val="auto"/>
        </w:rPr>
        <w:t>Cash consists of funds held on hand and in bank accounts.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 We present book overdrafts, representing checks issued but still outstanding in excess of bank balances, as part of accounts payable.</w:t>
      </w:r>
    </w:p>
    <w:p>
      <w:pPr>
        <w:spacing w:after="0" w:line="148" w:lineRule="exact"/>
        <w:rPr>
          <w:sz w:val="20"/>
          <w:szCs w:val="20"/>
          <w:color w:val="auto"/>
        </w:rPr>
      </w:pPr>
    </w:p>
    <w:p>
      <w:pPr>
        <w:jc w:val="both"/>
        <w:ind w:left="60" w:right="120"/>
        <w:spacing w:after="0" w:line="236" w:lineRule="auto"/>
        <w:rPr>
          <w:sz w:val="20"/>
          <w:szCs w:val="20"/>
          <w:color w:val="auto"/>
        </w:rPr>
      </w:pPr>
      <w:r>
        <w:rPr>
          <w:rFonts w:ascii="Arial" w:cs="Arial" w:eastAsia="Arial" w:hAnsi="Arial"/>
          <w:sz w:val="17"/>
          <w:szCs w:val="17"/>
          <w:color w:val="auto"/>
        </w:rPr>
        <w:t>Restricted cash represents cash that is restricted as to withdrawal or use under the terms of various agreements. Restricted cash includes amounts held in escrow in connection with various leasing arrangements in Europe, and deposits held in insurance trusts to satisfy the requirement to collateralize part of the self-insured workers’ compensation and liability claims.</w:t>
      </w:r>
    </w:p>
    <w:p>
      <w:pPr>
        <w:spacing w:after="0" w:line="163" w:lineRule="exact"/>
        <w:rPr>
          <w:sz w:val="20"/>
          <w:szCs w:val="20"/>
          <w:color w:val="auto"/>
        </w:rPr>
      </w:pPr>
    </w:p>
    <w:p>
      <w:pPr>
        <w:jc w:val="both"/>
        <w:ind w:left="60" w:right="100"/>
        <w:spacing w:after="0" w:line="243" w:lineRule="auto"/>
        <w:rPr>
          <w:sz w:val="20"/>
          <w:szCs w:val="20"/>
          <w:color w:val="auto"/>
        </w:rPr>
      </w:pPr>
      <w:r>
        <w:rPr>
          <w:rFonts w:ascii="Arial" w:cs="Arial" w:eastAsia="Arial" w:hAnsi="Arial"/>
          <w:sz w:val="17"/>
          <w:szCs w:val="17"/>
          <w:color w:val="auto"/>
        </w:rPr>
        <w:t>The following table provides the reconciliation of cash, cash equivalents, and restricted cash, as reported on our consolidated statements of cash flows: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Arial" w:cs="Arial" w:eastAsia="Arial" w:hAnsi="Arial"/>
                <w:sz w:val="17"/>
                <w:szCs w:val="17"/>
                <w:b w:val="1"/>
                <w:bCs w:val="1"/>
                <w:color w:val="auto"/>
              </w:rPr>
              <w:t>January 29,</w:t>
            </w:r>
          </w:p>
        </w:tc>
        <w:tc>
          <w:tcPr>
            <w:tcW w:w="30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Arial" w:cs="Arial" w:eastAsia="Arial" w:hAnsi="Arial"/>
                <w:sz w:val="17"/>
                <w:szCs w:val="17"/>
                <w:color w:val="auto"/>
              </w:rPr>
              <w:t>January 30,</w:t>
            </w:r>
          </w:p>
        </w:tc>
        <w:tc>
          <w:tcPr>
            <w:tcW w:w="320" w:type="dxa"/>
            <w:vAlign w:val="bottom"/>
          </w:tcPr>
          <w:p>
            <w:pPr>
              <w:spacing w:after="0"/>
              <w:rPr>
                <w:sz w:val="16"/>
                <w:szCs w:val="16"/>
                <w:color w:val="auto"/>
              </w:rPr>
            </w:pP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February 1,</w:t>
            </w:r>
          </w:p>
        </w:tc>
      </w:tr>
      <w:tr>
        <w:trPr>
          <w:trHeight w:val="215"/>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2021</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2020</w:t>
            </w:r>
          </w:p>
        </w:tc>
      </w:tr>
      <w:tr>
        <w:trPr>
          <w:trHeight w:val="183"/>
        </w:trPr>
        <w:tc>
          <w:tcPr>
            <w:tcW w:w="4200" w:type="dxa"/>
            <w:vAlign w:val="bottom"/>
            <w:shd w:val="clear" w:color="auto" w:fill="CCEEFF"/>
          </w:tcPr>
          <w:p>
            <w:pPr>
              <w:ind w:left="20"/>
              <w:spacing w:after="0" w:line="183" w:lineRule="exact"/>
              <w:rPr>
                <w:sz w:val="20"/>
                <w:szCs w:val="20"/>
                <w:color w:val="auto"/>
              </w:rPr>
            </w:pPr>
            <w:r>
              <w:rPr>
                <w:rFonts w:ascii="Arial" w:cs="Arial" w:eastAsia="Arial" w:hAnsi="Arial"/>
                <w:sz w:val="15"/>
                <w:szCs w:val="15"/>
                <w:color w:val="auto"/>
              </w:rPr>
              <w:t xml:space="preserve">Cash and cash equivalents </w:t>
            </w:r>
            <w:r>
              <w:rPr>
                <w:rFonts w:ascii="Arial" w:cs="Arial" w:eastAsia="Arial" w:hAnsi="Arial"/>
                <w:sz w:val="21"/>
                <w:szCs w:val="21"/>
                <w:color w:val="auto"/>
                <w:vertAlign w:val="superscript"/>
              </w:rPr>
              <w:t>(1)</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804</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1,680</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907</w:t>
            </w:r>
          </w:p>
        </w:tc>
      </w:tr>
      <w:tr>
        <w:trPr>
          <w:trHeight w:val="189"/>
        </w:trPr>
        <w:tc>
          <w:tcPr>
            <w:tcW w:w="4200" w:type="dxa"/>
            <w:vAlign w:val="bottom"/>
          </w:tcPr>
          <w:p>
            <w:pPr>
              <w:ind w:left="20"/>
              <w:spacing w:after="0" w:line="189" w:lineRule="exact"/>
              <w:rPr>
                <w:sz w:val="20"/>
                <w:szCs w:val="20"/>
                <w:color w:val="auto"/>
              </w:rPr>
            </w:pPr>
            <w:r>
              <w:rPr>
                <w:rFonts w:ascii="Arial" w:cs="Arial" w:eastAsia="Arial" w:hAnsi="Arial"/>
                <w:sz w:val="17"/>
                <w:szCs w:val="17"/>
                <w:color w:val="auto"/>
              </w:rPr>
              <w:t>Restricted cash included in other current assets</w:t>
            </w:r>
          </w:p>
        </w:tc>
        <w:tc>
          <w:tcPr>
            <w:tcW w:w="420" w:type="dxa"/>
            <w:vAlign w:val="bottom"/>
          </w:tcPr>
          <w:p>
            <w:pPr>
              <w:spacing w:after="0"/>
              <w:rPr>
                <w:sz w:val="16"/>
                <w:szCs w:val="16"/>
                <w:color w:val="auto"/>
              </w:rPr>
            </w:pPr>
          </w:p>
        </w:tc>
        <w:tc>
          <w:tcPr>
            <w:tcW w:w="13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8</w:t>
            </w:r>
          </w:p>
        </w:tc>
        <w:tc>
          <w:tcPr>
            <w:tcW w:w="300" w:type="dxa"/>
            <w:vAlign w:val="bottom"/>
          </w:tcPr>
          <w:p>
            <w:pPr>
              <w:spacing w:after="0"/>
              <w:rPr>
                <w:sz w:val="16"/>
                <w:szCs w:val="16"/>
                <w:color w:val="auto"/>
              </w:rPr>
            </w:pPr>
          </w:p>
        </w:tc>
        <w:tc>
          <w:tcPr>
            <w:tcW w:w="12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32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9"/>
        </w:trPr>
        <w:tc>
          <w:tcPr>
            <w:tcW w:w="42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Restricted cash included in other non-current assets</w:t>
            </w:r>
          </w:p>
        </w:tc>
        <w:tc>
          <w:tcPr>
            <w:tcW w:w="4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38</w:t>
            </w:r>
          </w:p>
        </w:tc>
        <w:tc>
          <w:tcPr>
            <w:tcW w:w="3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30</w:t>
            </w: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w:t>
            </w:r>
          </w:p>
        </w:tc>
      </w:tr>
      <w:tr>
        <w:trPr>
          <w:trHeight w:val="183"/>
        </w:trPr>
        <w:tc>
          <w:tcPr>
            <w:tcW w:w="42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Cash, cash equivalents, and restricted cash</w:t>
            </w:r>
          </w:p>
        </w:tc>
        <w:tc>
          <w:tcPr>
            <w:tcW w:w="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850</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1,718</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942</w:t>
            </w: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80" w:right="120" w:hanging="330"/>
        <w:spacing w:after="0" w:line="258" w:lineRule="auto"/>
        <w:tabs>
          <w:tab w:leader="none" w:pos="3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cash equivalents of $48 million, $503 million, and $366 million for the years ended January 29, 2022, January 30, 2021, and February 1, 2020,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Merchandise Inventories and Cost of Sales</w:t>
      </w:r>
    </w:p>
    <w:p>
      <w:pPr>
        <w:spacing w:after="0" w:line="174" w:lineRule="exact"/>
        <w:rPr>
          <w:sz w:val="20"/>
          <w:szCs w:val="20"/>
          <w:color w:val="auto"/>
        </w:rPr>
      </w:pPr>
    </w:p>
    <w:p>
      <w:pPr>
        <w:jc w:val="both"/>
        <w:ind w:left="60" w:right="100"/>
        <w:spacing w:after="0" w:line="235" w:lineRule="auto"/>
        <w:rPr>
          <w:sz w:val="20"/>
          <w:szCs w:val="20"/>
          <w:color w:val="auto"/>
        </w:rPr>
      </w:pPr>
      <w:r>
        <w:rPr>
          <w:rFonts w:ascii="Arial" w:cs="Arial" w:eastAsia="Arial" w:hAnsi="Arial"/>
          <w:sz w:val="17"/>
          <w:szCs w:val="17"/>
          <w:color w:val="auto"/>
        </w:rPr>
        <w:t>Merchandise inventories for our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e-commerce business are valued at net realizable value using weighted-average cost, which approximates FIFO. Merchandise inventories for our WSS and atmos businesses are valued at its net realizable value using the weighted average method. Cost is determined on the FIFO basis.</w:t>
      </w:r>
    </w:p>
    <w:p>
      <w:pPr>
        <w:spacing w:after="0" w:line="200" w:lineRule="exact"/>
        <w:rPr>
          <w:sz w:val="20"/>
          <w:szCs w:val="20"/>
          <w:color w:val="auto"/>
        </w:rPr>
      </w:pPr>
    </w:p>
    <w:p>
      <w:pPr>
        <w:spacing w:after="0" w:line="326"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60"/>
          </w:cols>
          <w:pgMar w:left="1440" w:top="1264" w:right="13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not been marked down to market.</w:t>
      </w:r>
    </w:p>
    <w:p>
      <w:pPr>
        <w:spacing w:after="0" w:line="15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Minority Investments</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As of January 29, 2022 and January 30, 2021, we had $56 million and $15 million, respectively, of investments which are accounted for under the equity method.</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investments that are not accounted for under the equity method are measured either at cost, adjusted for changes in observable prices minus impairment under the practicability exception, or at fair value for our investment in the common stock of an entity that is publicly traded. As of January 29, 2022 and January 30, 2021, we had $725 million and $322 million, respectively, of investments which are accounted for under these methods.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Property and Equipment</w:t>
      </w:r>
    </w:p>
    <w:p>
      <w:pPr>
        <w:spacing w:after="0" w:line="17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and amortization are computed on a straight-line basis over the following estimated useful lives:</w:t>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Buildings</w:t>
            </w:r>
          </w:p>
        </w:tc>
        <w:tc>
          <w:tcPr>
            <w:tcW w:w="54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Maximum of 50 years</w:t>
            </w:r>
          </w:p>
        </w:tc>
      </w:tr>
      <w:tr>
        <w:trPr>
          <w:trHeight w:val="189"/>
        </w:trPr>
        <w:tc>
          <w:tcPr>
            <w:tcW w:w="3420" w:type="dxa"/>
            <w:vAlign w:val="bottom"/>
          </w:tcPr>
          <w:p>
            <w:pPr>
              <w:spacing w:after="0" w:line="189" w:lineRule="exact"/>
              <w:rPr>
                <w:sz w:val="20"/>
                <w:szCs w:val="20"/>
                <w:color w:val="auto"/>
              </w:rPr>
            </w:pPr>
            <w:r>
              <w:rPr>
                <w:rFonts w:ascii="Arial" w:cs="Arial" w:eastAsia="Arial" w:hAnsi="Arial"/>
                <w:sz w:val="17"/>
                <w:szCs w:val="17"/>
                <w:color w:val="auto"/>
              </w:rPr>
              <w:t>Store leasehold improvements</w:t>
            </w:r>
          </w:p>
        </w:tc>
        <w:tc>
          <w:tcPr>
            <w:tcW w:w="5480" w:type="dxa"/>
            <w:vAlign w:val="bottom"/>
          </w:tcPr>
          <w:p>
            <w:pPr>
              <w:ind w:left="860"/>
              <w:spacing w:after="0" w:line="189" w:lineRule="exact"/>
              <w:rPr>
                <w:sz w:val="20"/>
                <w:szCs w:val="20"/>
                <w:color w:val="auto"/>
              </w:rPr>
            </w:pPr>
            <w:r>
              <w:rPr>
                <w:rFonts w:ascii="Arial" w:cs="Arial" w:eastAsia="Arial" w:hAnsi="Arial"/>
                <w:sz w:val="17"/>
                <w:szCs w:val="17"/>
                <w:color w:val="auto"/>
              </w:rPr>
              <w:t>Shorter of the asset useful life or expected term of the lease</w:t>
            </w:r>
          </w:p>
        </w:tc>
      </w:tr>
      <w:tr>
        <w:trPr>
          <w:trHeight w:val="203"/>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5480" w:type="dxa"/>
            <w:vAlign w:val="bottom"/>
            <w:shd w:val="clear" w:color="auto" w:fill="CCEEFF"/>
          </w:tcPr>
          <w:p>
            <w:pPr>
              <w:ind w:left="860"/>
              <w:spacing w:after="0" w:line="196" w:lineRule="exact"/>
              <w:rPr>
                <w:sz w:val="20"/>
                <w:szCs w:val="20"/>
                <w:color w:val="auto"/>
              </w:rPr>
            </w:pPr>
            <w:r>
              <w:rPr>
                <w:rFonts w:ascii="Arial" w:cs="Arial" w:eastAsia="Arial" w:hAnsi="Arial"/>
                <w:sz w:val="17"/>
                <w:szCs w:val="17"/>
                <w:color w:val="auto"/>
              </w:rPr>
              <w:t>3</w:t>
            </w:r>
            <w:r>
              <w:rPr>
                <w:rFonts w:ascii="MS PGothic" w:cs="MS PGothic" w:eastAsia="MS PGothic" w:hAnsi="MS PGothic"/>
                <w:sz w:val="17"/>
                <w:szCs w:val="17"/>
                <w:color w:val="auto"/>
              </w:rPr>
              <w:t>‑</w:t>
            </w:r>
            <w:r>
              <w:rPr>
                <w:rFonts w:ascii="Arial" w:cs="Arial" w:eastAsia="Arial" w:hAnsi="Arial"/>
                <w:sz w:val="17"/>
                <w:szCs w:val="17"/>
                <w:color w:val="auto"/>
              </w:rPr>
              <w:t>10 years</w:t>
            </w:r>
          </w:p>
        </w:tc>
      </w:tr>
      <w:tr>
        <w:trPr>
          <w:trHeight w:val="203"/>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Software</w:t>
            </w:r>
          </w:p>
        </w:tc>
        <w:tc>
          <w:tcPr>
            <w:tcW w:w="5480" w:type="dxa"/>
            <w:vAlign w:val="bottom"/>
            <w:tcBorders>
              <w:bottom w:val="single" w:sz="8" w:color="auto"/>
            </w:tcBorders>
          </w:tcPr>
          <w:p>
            <w:pPr>
              <w:ind w:left="860"/>
              <w:spacing w:after="0" w:line="196" w:lineRule="exact"/>
              <w:rPr>
                <w:sz w:val="20"/>
                <w:szCs w:val="20"/>
                <w:color w:val="auto"/>
              </w:rPr>
            </w:pPr>
            <w:r>
              <w:rPr>
                <w:rFonts w:ascii="Arial" w:cs="Arial" w:eastAsia="Arial" w:hAnsi="Arial"/>
                <w:sz w:val="17"/>
                <w:szCs w:val="17"/>
                <w:color w:val="auto"/>
              </w:rPr>
              <w:t>2</w:t>
            </w:r>
            <w:r>
              <w:rPr>
                <w:rFonts w:ascii="MS PGothic" w:cs="MS PGothic" w:eastAsia="MS PGothic" w:hAnsi="MS PGothic"/>
                <w:sz w:val="17"/>
                <w:szCs w:val="17"/>
                <w:color w:val="auto"/>
              </w:rPr>
              <w:t>‑</w:t>
            </w:r>
            <w:r>
              <w:rPr>
                <w:rFonts w:ascii="Arial" w:cs="Arial" w:eastAsia="Arial" w:hAnsi="Arial"/>
                <w:sz w:val="17"/>
                <w:szCs w:val="17"/>
                <w:color w:val="auto"/>
              </w:rPr>
              <w:t>5 years</w:t>
            </w:r>
          </w:p>
        </w:tc>
      </w:tr>
    </w:tbl>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Internal-Use Software Development Costs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We generally amortize these costs on a straight-line basis over a period not to exceed five years.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$103 million and $93 million at January 29, 2022 and January 30, 2021, respectively.</w:t>
      </w:r>
    </w:p>
    <w:p>
      <w:pPr>
        <w:spacing w:after="0" w:line="16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0" w:name="page51"/>
    <w:bookmarkEnd w:id="5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Long-Lived Tangible Assets and Right-of-Use Assets</w:t>
      </w:r>
    </w:p>
    <w:p>
      <w:pPr>
        <w:spacing w:after="0" w:line="17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and right-of-use assets may not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generally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Leases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On February 3, 2019, we adopted the new lease accounting standard. 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spacing w:after="0" w:line="149"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non-store leases. Rental expense, inclusive of rent holidays, concessions, and tenant allowances are recognized over the lease term on a</w:t>
      </w:r>
    </w:p>
    <w:p>
      <w:pPr>
        <w:spacing w:after="0" w:line="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straight-line basis. Contingent payments based upon sales and future increases determined by inflation related indices cannot be estimated at the inception of the lease and, accordingly, are charged to operations as incurred.</w:t>
      </w:r>
    </w:p>
    <w:p>
      <w:pPr>
        <w:spacing w:after="0" w:line="15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Leases with an initial term of 12 months or less are not recorded on the balance sheet. We recognize lease expense for short-term leases on a straight-line basis over the lease term.</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Impairment of Goodwill and Other Intangible Assets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Goodwill and intangible assets with indefinite lives are reviewed for impairment annually during the first quarter of each fiscal year or more frequently if impairment indicators arise.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6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our 2021 annual impairment review, we concluded the fair value of each reporting unit exceeded its carrying value. Goodwill is net of accumulated impairment charges of $167 million for all periods presented. Refer to Note 2 for further detail regarding acquisitions during 2021.</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may be impaired.</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Contingent Consideration</w:t>
      </w:r>
    </w:p>
    <w:p>
      <w:pPr>
        <w:spacing w:after="0" w:line="174"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As a result of our purchase of atmos, we recognized contingent consideration, as a component of the purchase consideration is payable contingent on the achievement of certain sales and EBITDA performance. See Note 2 for further details. Contingent consideration is classified as a liability when it will be settled in cash or a variable number of shares (or a combination thereof), and the amount of the payment is not dependent upon the fair value of the Company's common stock. The fair value of the contingent consideration liability is estimated using an option pricing model simulation that determines an average projected payment value across numerous iterations. This technique determines projected payments based on simulated sales and EBITDA derived from an internal forecast, adjusted for selected revenue and EBITDA volatilities and risk premiums based on market data for comparable guideline public companies. The projected payments are then discounted back to the valuation date at the Company's cost of debt using a term commensurate with the contractual payment dates.</w:t>
      </w:r>
    </w:p>
    <w:p>
      <w:pPr>
        <w:spacing w:after="0" w:line="16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contingent consideration liability will be measured at fair value on a recurring basis until the contingency is resolved. Changes in the estimated fair value of the contingent consideration liability will be reflected in operating income or expense in the Consolidated Statements of Operations.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Financial Instruments</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16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Income Taxes</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not that some portion or all of the deferred tax assets will not be realized. The effect of a change in tax rates on deferred tax assets and liabilities is recognized in income in the period that includes the enactment date.</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A taxing authority may challenge positions that we adopted in our income tax filings. Accordingly, we may apply different tax treatments for transactions in filing our income tax returns than for income tax financial reporting. We regularly assess our tax positions for such transactions and record reserves for those differences when considered necessary.</w:t>
      </w:r>
    </w:p>
    <w:p>
      <w:pPr>
        <w:spacing w:after="0" w:line="14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Postretirement Obligations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benefit obligations and net periodic pension costs are calculated using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w:t>
      </w:r>
    </w:p>
    <w:p>
      <w:pPr>
        <w:spacing w:after="0" w:line="13" w:lineRule="exact"/>
        <w:rPr>
          <w:sz w:val="20"/>
          <w:szCs w:val="20"/>
          <w:color w:val="auto"/>
        </w:rPr>
      </w:pPr>
    </w:p>
    <w:p>
      <w:pPr>
        <w:ind w:left="60"/>
        <w:spacing w:after="0"/>
        <w:rPr>
          <w:sz w:val="20"/>
          <w:szCs w:val="20"/>
          <w:color w:val="auto"/>
        </w:rPr>
      </w:pPr>
      <w:r>
        <w:rPr>
          <w:rFonts w:ascii="Arial" w:cs="Arial" w:eastAsia="Arial" w:hAnsi="Arial"/>
          <w:sz w:val="17"/>
          <w:szCs w:val="17"/>
          <w:color w:val="auto"/>
        </w:rPr>
        <w:t>plan assets and considering historical as well as expected performance of those assets.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Insurance Liabilities</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are primarily self-insured for health care, workers’ compensation, and general liability costs. Accordingly, provisions are made for actuarially determined estimates of discounted future claim costs for such risks, for the aggregate of claims reported, and claims incurred but not yet reported. Self-insured liabilities totaled $14 million for January 29, 2022, $13 million for January 30, 2021 and $12 million for February 1, 2020. Workers’ compensation and general liability reserves are discounted using a risk-free interest rate. Imputed interest expense related to these liabilities was not significant for any of the periods presented.</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Treasury Stock Retirement</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retired 5,474,288 and 913,095 shares of our common stock held in treasury during 2021 and 2020, respectively. The shares were returned to the status of authorized but unissued. As a result, treasury stock decreased by $260 million and $34 million as of January 29, 2022 and January 30, 2021,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Foreign Currency Translation</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(“AOCL”) within shareholders’ equity.</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Recently issued accounting pronouncements did not, or are not believed by management to, have a material effect on our present or future consolidated financial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Recent Accounting Pronouncements Not Yet Adopted</w:t>
      </w:r>
    </w:p>
    <w:p>
      <w:pPr>
        <w:spacing w:after="0" w:line="174"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All recently issued accounting pronouncements are not expected to have a material effect on the consolidated financial statements.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 Acquisitions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WSS</w:t>
      </w:r>
    </w:p>
    <w:p>
      <w:pPr>
        <w:spacing w:after="0" w:line="174"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Effective September 18, 2021, the Company, through its wholly-owned subsidiary Foot Locker Retail, Inc., acquired 100% of the shares of Eurostar, Inc., a Delaware corporation operating as WSS (“WSS”). WSS is a U.S.-based off-mall athletic footwear and apparel retailer, focused on the Hispanic consumer, which operated 93 stores at the acquisition, primarily on the West Coast. The aggregate purchase price for the acquisition was $807 million ($737 million paid in 2021, net of cash acquired) subject to the finalization of the value of net assets acquired and was funded with available cash. We believe that this acquisition enhances our growth opportunities in North America and creates further diversification and differentiation in terms of both customers and products. The results of WSS are included in our consolidated financial statements since the acquisition date.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atmos</w:t>
      </w:r>
    </w:p>
    <w:p>
      <w:pPr>
        <w:spacing w:after="0" w:line="187" w:lineRule="exact"/>
        <w:rPr>
          <w:sz w:val="20"/>
          <w:szCs w:val="20"/>
          <w:color w:val="auto"/>
        </w:rPr>
      </w:pPr>
    </w:p>
    <w:p>
      <w:pPr>
        <w:jc w:val="both"/>
        <w:ind w:left="60" w:right="59"/>
        <w:spacing w:after="0" w:line="232" w:lineRule="auto"/>
        <w:rPr>
          <w:sz w:val="20"/>
          <w:szCs w:val="20"/>
          <w:color w:val="auto"/>
        </w:rPr>
      </w:pPr>
      <w:r>
        <w:rPr>
          <w:rFonts w:ascii="Arial" w:cs="Arial" w:eastAsia="Arial" w:hAnsi="Arial"/>
          <w:sz w:val="17"/>
          <w:szCs w:val="17"/>
          <w:color w:val="auto"/>
        </w:rPr>
        <w:t>Effective November 1, 2021, the Company, acquired certain entities collectively operated as atmos, headquartered in Japan. atmos is a digitally led, culturally-connected global brand featuring premium sneakers and apparel, an exclusive in-house label, collaborative relationships with leading vendors in the sneaker ecosystem, experiential stores, and a robust omni-channel platform. The aggregate purchase price for the acquisition was $360 million ($319 million paid in 2021, net of cash acquired) subject to adjustment for the finalization of the value of net assets acquired and was funded with available cash. The preliminary purchase price includes contingent consideration initially measured at $35 million, which can reach up to $111 million based on achieving certain revenue growth and EBITDA performance targets. The results of atmos are included in our consolidated financial statements since the acquisition date.</w:t>
      </w:r>
    </w:p>
    <w:p>
      <w:pPr>
        <w:ind w:left="7020"/>
        <w:spacing w:after="0"/>
        <w:rPr>
          <w:sz w:val="20"/>
          <w:szCs w:val="20"/>
          <w:color w:val="auto"/>
        </w:rPr>
      </w:pPr>
      <w:r>
        <w:rPr>
          <w:rFonts w:ascii="Arial" w:cs="Arial" w:eastAsia="Arial" w:hAnsi="Arial"/>
          <w:sz w:val="17"/>
          <w:szCs w:val="17"/>
          <w:color w:val="auto"/>
        </w:rPr>
        <w:t>2021 Form 10-K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00" w:lineRule="exact"/>
        <w:rPr>
          <w:sz w:val="20"/>
          <w:szCs w:val="20"/>
          <w:color w:val="auto"/>
        </w:rPr>
      </w:pPr>
    </w:p>
    <w:p>
      <w:pPr>
        <w:spacing w:after="0" w:line="36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following table represents the preliminary allocation of the purchase price for WSS and includes fair value adjustments to certain assets and liabilities since our most recent interim report. Goodwill was reduced from $494 million reported at the end of the third quarter to $401 million, primarily related to higher valuation of the tradenames. The adjustments did not have a significant effect on the consolidated results of operations. We determined that the WSS tradename will have an indefinite life and will not be amortized. The proforma effects of the acquisition have not been presented, as their effects were not significant to the consolidated results of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56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24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4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240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Current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Long-term portion of obligations under finance leases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(50)</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w:t>
            </w:r>
          </w:p>
        </w:tc>
      </w:tr>
      <w:tr>
        <w:trPr>
          <w:trHeight w:val="189"/>
        </w:trPr>
        <w:tc>
          <w:tcPr>
            <w:tcW w:w="556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2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(84)</w:t>
            </w:r>
          </w:p>
        </w:tc>
      </w:tr>
      <w:tr>
        <w:trPr>
          <w:trHeight w:val="18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r>
      <w:tr>
        <w:trPr>
          <w:trHeight w:val="189"/>
        </w:trPr>
        <w:tc>
          <w:tcPr>
            <w:tcW w:w="55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401</w:t>
            </w:r>
          </w:p>
        </w:tc>
      </w:tr>
      <w:tr>
        <w:trPr>
          <w:trHeight w:val="183"/>
        </w:trPr>
        <w:tc>
          <w:tcPr>
            <w:tcW w:w="556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6"/>
                <w:szCs w:val="16"/>
                <w:color w:val="auto"/>
              </w:rPr>
              <w:t>Total purchase price</w:t>
            </w:r>
          </w:p>
        </w:tc>
        <w:tc>
          <w:tcPr>
            <w:tcW w:w="2400" w:type="dxa"/>
            <w:vAlign w:val="bottom"/>
            <w:tcBorders>
              <w:bottom w:val="single" w:sz="8" w:color="auto"/>
            </w:tcBorders>
          </w:tcPr>
          <w:p>
            <w:pPr>
              <w:jc w:val="right"/>
              <w:ind w:right="499"/>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807</w:t>
            </w: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79"/>
        <w:spacing w:after="0" w:line="234" w:lineRule="auto"/>
        <w:rPr>
          <w:sz w:val="20"/>
          <w:szCs w:val="20"/>
          <w:color w:val="auto"/>
        </w:rPr>
      </w:pPr>
      <w:r>
        <w:rPr>
          <w:rFonts w:ascii="Arial" w:cs="Arial" w:eastAsia="Arial" w:hAnsi="Arial"/>
          <w:sz w:val="17"/>
          <w:szCs w:val="17"/>
          <w:color w:val="auto"/>
        </w:rPr>
        <w:t>The table below summarizes the preliminary allocation of the purchase price to the fair value of assets acquired for atmos using the exchange rate in effect as of the date of the acquisition. The allocation of the purchase price shown in the table below is preliminary and subject to change based on the finalization of the purchase price and our detailed valuations, including the final valuations of atmos tradenames, other intangibles, inventory, and leases. We determined that the atmos tradenames will have an indefinite life and will not be amortized. The proforma effects of the acquisition have not been presented, as their effects were not significant to the consolidated results of operations. We are assessing the tax deductibility of the goodwill related to the acquisition.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in millions)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90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Assets acquired:</w:t>
            </w:r>
          </w:p>
        </w:tc>
        <w:tc>
          <w:tcPr>
            <w:tcW w:w="30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0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inventories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12</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47</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assumed:</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08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lease obligations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lease obligations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r>
      <w:tr>
        <w:trPr>
          <w:trHeight w:val="189"/>
        </w:trPr>
        <w:tc>
          <w:tcPr>
            <w:tcW w:w="490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30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(46)</w:t>
            </w:r>
          </w:p>
        </w:tc>
      </w:tr>
      <w:tr>
        <w:trPr>
          <w:trHeight w:val="18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0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r>
      <w:tr>
        <w:trPr>
          <w:trHeight w:val="189"/>
        </w:trPr>
        <w:tc>
          <w:tcPr>
            <w:tcW w:w="4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0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r>
      <w:tr>
        <w:trPr>
          <w:trHeight w:val="183"/>
        </w:trPr>
        <w:tc>
          <w:tcPr>
            <w:tcW w:w="49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4"/>
                <w:szCs w:val="14"/>
                <w:color w:val="auto"/>
              </w:rPr>
              <w:t xml:space="preserve">Total purchase price </w:t>
            </w:r>
            <w:r>
              <w:rPr>
                <w:rFonts w:ascii="Arial" w:cs="Arial" w:eastAsia="Arial" w:hAnsi="Arial"/>
                <w:sz w:val="21"/>
                <w:szCs w:val="21"/>
                <w:color w:val="auto"/>
                <w:vertAlign w:val="superscript"/>
              </w:rPr>
              <w:t>(1)</w:t>
            </w:r>
          </w:p>
        </w:tc>
        <w:tc>
          <w:tcPr>
            <w:tcW w:w="3080" w:type="dxa"/>
            <w:vAlign w:val="bottom"/>
            <w:tcBorders>
              <w:bottom w:val="single" w:sz="8" w:color="auto"/>
            </w:tcBorders>
          </w:tcPr>
          <w:p>
            <w:pPr>
              <w:jc w:val="right"/>
              <w:ind w:right="519"/>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360</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3"/>
          <w:szCs w:val="13"/>
          <w:color w:val="auto"/>
        </w:rPr>
        <w:t>(1)</w:t>
        <w:tab/>
        <w:t>Total purchase price consists of $325 million in cash and $35 million of contingent consideration.</w:t>
      </w:r>
    </w:p>
    <w:p>
      <w:pPr>
        <w:spacing w:after="0" w:line="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3. Segment Information</w:t>
      </w:r>
    </w:p>
    <w:p>
      <w:pPr>
        <w:spacing w:after="0" w:line="176"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We have integrated all available shopping channels including stores, websites, apps, social channels, and catalogs. Store sales are primarily fulfilled from the store’s inventory but may also be shipped from our distribution centers or from a different store location if an item is not available at the original store. Direct-to-customer orders are generally shipped to our customers through our distribution centers but may also be shipped from a store or a combination of our distribution centers and stores depending on the availability of particular items.</w:t>
      </w:r>
    </w:p>
    <w:p>
      <w:pPr>
        <w:spacing w:after="0" w:line="163" w:lineRule="exact"/>
        <w:rPr>
          <w:sz w:val="20"/>
          <w:szCs w:val="20"/>
          <w:color w:val="auto"/>
        </w:rPr>
      </w:pPr>
    </w:p>
    <w:p>
      <w:pPr>
        <w:jc w:val="both"/>
        <w:ind w:left="60" w:right="79"/>
        <w:spacing w:after="0" w:line="233" w:lineRule="auto"/>
        <w:rPr>
          <w:sz w:val="20"/>
          <w:szCs w:val="20"/>
          <w:color w:val="auto"/>
        </w:rPr>
      </w:pPr>
      <w:r>
        <w:rPr>
          <w:rFonts w:ascii="Arial" w:cs="Arial" w:eastAsia="Arial" w:hAnsi="Arial"/>
          <w:sz w:val="17"/>
          <w:szCs w:val="17"/>
          <w:color w:val="auto"/>
        </w:rPr>
        <w:t>Our operating segments are identified according to how our business activities are managed and evaluated by our chief operating decision maker, our CEO. We have three operating segments, North America, EMEA (Europe, Middle East and Africa), and Asia Pacific. Our North America operating segment includes the results of the following banners operating in the U.S. and Canada: Foot Locker, Kids Foot Locker, Lady Foot Locker, Champs Sports, Footaction, and WSS,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operating in Australia, New Zealand, and Asia as well as their related e-commerce businesses. Effective with the acquisition, atmos is included in our Asia Pacific operating segment. We further aggregated these operating segments into one reportable segment based upon their shared customer base and similar economic characteristics.</w:t>
      </w:r>
    </w:p>
    <w:p>
      <w:pPr>
        <w:spacing w:after="0" w:line="194"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We evaluate performance based on several factors, of which the primary financial measure is the banner’s financial results referred to as division profit. Division profit reflects income before income taxes, impairment and other charges, corporate expense, net interest (expense) income and other income, net. The following table summarizes our results: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0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2020</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2019</w:t>
            </w:r>
          </w:p>
        </w:tc>
      </w:tr>
      <w:tr>
        <w:trPr>
          <w:trHeight w:val="182"/>
        </w:trPr>
        <w:tc>
          <w:tcPr>
            <w:tcW w:w="366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Division profit</w:t>
            </w:r>
          </w:p>
        </w:tc>
        <w:tc>
          <w:tcPr>
            <w:tcW w:w="102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1,161</w:t>
            </w:r>
          </w:p>
        </w:tc>
        <w:tc>
          <w:tcPr>
            <w:tcW w:w="44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491</w:t>
            </w:r>
          </w:p>
        </w:tc>
        <w:tc>
          <w:tcPr>
            <w:tcW w:w="3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788</w:t>
            </w:r>
          </w:p>
        </w:tc>
      </w:tr>
      <w:tr>
        <w:trPr>
          <w:trHeight w:val="189"/>
        </w:trPr>
        <w:tc>
          <w:tcPr>
            <w:tcW w:w="3660" w:type="dxa"/>
            <w:vAlign w:val="bottom"/>
          </w:tcPr>
          <w:p>
            <w:pPr>
              <w:ind w:left="20"/>
              <w:spacing w:after="0" w:line="189" w:lineRule="exact"/>
              <w:rPr>
                <w:sz w:val="20"/>
                <w:szCs w:val="20"/>
                <w:color w:val="auto"/>
              </w:rPr>
            </w:pPr>
            <w:r>
              <w:rPr>
                <w:rFonts w:ascii="Arial" w:cs="Arial" w:eastAsia="Arial" w:hAnsi="Arial"/>
                <w:sz w:val="15"/>
                <w:szCs w:val="15"/>
                <w:color w:val="auto"/>
              </w:rPr>
              <w:t xml:space="preserve">Less: Impairment and other charges </w:t>
            </w:r>
            <w:r>
              <w:rPr>
                <w:rFonts w:ascii="Arial" w:cs="Arial" w:eastAsia="Arial" w:hAnsi="Arial"/>
                <w:sz w:val="21"/>
                <w:szCs w:val="21"/>
                <w:color w:val="auto"/>
                <w:vertAlign w:val="superscript"/>
              </w:rPr>
              <w:t>(1)</w:t>
            </w:r>
          </w:p>
        </w:tc>
        <w:tc>
          <w:tcPr>
            <w:tcW w:w="1020" w:type="dxa"/>
            <w:vAlign w:val="bottom"/>
          </w:tcPr>
          <w:p>
            <w:pPr>
              <w:spacing w:after="0"/>
              <w:rPr>
                <w:sz w:val="16"/>
                <w:szCs w:val="16"/>
                <w:color w:val="auto"/>
              </w:rPr>
            </w:pPr>
          </w:p>
        </w:tc>
        <w:tc>
          <w:tcPr>
            <w:tcW w:w="124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172</w:t>
            </w:r>
          </w:p>
        </w:tc>
        <w:tc>
          <w:tcPr>
            <w:tcW w:w="44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117</w:t>
            </w:r>
          </w:p>
        </w:tc>
        <w:tc>
          <w:tcPr>
            <w:tcW w:w="30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65</w:t>
            </w:r>
          </w:p>
        </w:tc>
      </w:tr>
      <w:tr>
        <w:trPr>
          <w:trHeight w:val="189"/>
        </w:trPr>
        <w:tc>
          <w:tcPr>
            <w:tcW w:w="366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21"/>
                <w:szCs w:val="21"/>
                <w:color w:val="auto"/>
                <w:vertAlign w:val="superscript"/>
              </w:rPr>
              <w:t>(2)</w:t>
            </w:r>
          </w:p>
        </w:tc>
        <w:tc>
          <w:tcPr>
            <w:tcW w:w="10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95"/>
              <w:spacing w:after="0" w:line="189" w:lineRule="exact"/>
              <w:rPr>
                <w:sz w:val="20"/>
                <w:szCs w:val="20"/>
                <w:color w:val="auto"/>
              </w:rPr>
            </w:pPr>
            <w:r>
              <w:rPr>
                <w:rFonts w:ascii="Arial" w:cs="Arial" w:eastAsia="Arial" w:hAnsi="Arial"/>
                <w:sz w:val="17"/>
                <w:szCs w:val="17"/>
                <w:b w:val="1"/>
                <w:bCs w:val="1"/>
                <w:color w:val="auto"/>
              </w:rPr>
              <w:t>129</w:t>
            </w:r>
          </w:p>
        </w:tc>
        <w:tc>
          <w:tcPr>
            <w:tcW w:w="4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71</w:t>
            </w:r>
          </w:p>
        </w:tc>
        <w:tc>
          <w:tcPr>
            <w:tcW w:w="3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74</w:t>
            </w:r>
          </w:p>
        </w:tc>
      </w:tr>
      <w:tr>
        <w:trPr>
          <w:trHeight w:val="183"/>
        </w:trPr>
        <w:tc>
          <w:tcPr>
            <w:tcW w:w="3660" w:type="dxa"/>
            <w:vAlign w:val="bottom"/>
          </w:tcPr>
          <w:p>
            <w:pPr>
              <w:ind w:left="20"/>
              <w:spacing w:after="0" w:line="183" w:lineRule="exact"/>
              <w:rPr>
                <w:sz w:val="20"/>
                <w:szCs w:val="20"/>
                <w:color w:val="auto"/>
              </w:rPr>
            </w:pPr>
            <w:r>
              <w:rPr>
                <w:rFonts w:ascii="Arial" w:cs="Arial" w:eastAsia="Arial" w:hAnsi="Arial"/>
                <w:sz w:val="17"/>
                <w:szCs w:val="17"/>
                <w:color w:val="auto"/>
              </w:rPr>
              <w:t>Income from operations</w:t>
            </w:r>
          </w:p>
        </w:tc>
        <w:tc>
          <w:tcPr>
            <w:tcW w:w="1020" w:type="dxa"/>
            <w:vAlign w:val="bottom"/>
          </w:tcPr>
          <w:p>
            <w:pPr>
              <w:spacing w:after="0"/>
              <w:rPr>
                <w:sz w:val="15"/>
                <w:szCs w:val="15"/>
                <w:color w:val="auto"/>
              </w:rPr>
            </w:pPr>
          </w:p>
        </w:tc>
        <w:tc>
          <w:tcPr>
            <w:tcW w:w="1240" w:type="dxa"/>
            <w:vAlign w:val="bottom"/>
          </w:tcPr>
          <w:p>
            <w:pPr>
              <w:jc w:val="right"/>
              <w:ind w:right="95"/>
              <w:spacing w:after="0" w:line="183" w:lineRule="exact"/>
              <w:rPr>
                <w:sz w:val="20"/>
                <w:szCs w:val="20"/>
                <w:color w:val="auto"/>
              </w:rPr>
            </w:pPr>
            <w:r>
              <w:rPr>
                <w:rFonts w:ascii="Arial" w:cs="Arial" w:eastAsia="Arial" w:hAnsi="Arial"/>
                <w:sz w:val="17"/>
                <w:szCs w:val="17"/>
                <w:b w:val="1"/>
                <w:bCs w:val="1"/>
                <w:color w:val="auto"/>
              </w:rPr>
              <w:t>860</w:t>
            </w:r>
          </w:p>
        </w:tc>
        <w:tc>
          <w:tcPr>
            <w:tcW w:w="44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303</w:t>
            </w:r>
          </w:p>
        </w:tc>
        <w:tc>
          <w:tcPr>
            <w:tcW w:w="300" w:type="dxa"/>
            <w:vAlign w:val="bottom"/>
          </w:tcPr>
          <w:p>
            <w:pPr>
              <w:spacing w:after="0"/>
              <w:rPr>
                <w:sz w:val="15"/>
                <w:szCs w:val="15"/>
                <w:color w:val="auto"/>
              </w:rPr>
            </w:pPr>
          </w:p>
        </w:tc>
        <w:tc>
          <w:tcPr>
            <w:tcW w:w="1120" w:type="dxa"/>
            <w:vAlign w:val="bottom"/>
          </w:tcPr>
          <w:p>
            <w:pPr>
              <w:jc w:val="right"/>
              <w:spacing w:after="0" w:line="183" w:lineRule="exact"/>
              <w:rPr>
                <w:sz w:val="20"/>
                <w:szCs w:val="20"/>
                <w:color w:val="auto"/>
              </w:rPr>
            </w:pPr>
            <w:r>
              <w:rPr>
                <w:rFonts w:ascii="Arial" w:cs="Arial" w:eastAsia="Arial" w:hAnsi="Arial"/>
                <w:sz w:val="17"/>
                <w:szCs w:val="17"/>
                <w:color w:val="auto"/>
              </w:rPr>
              <w:t>649</w:t>
            </w:r>
          </w:p>
        </w:tc>
      </w:tr>
      <w:tr>
        <w:trPr>
          <w:trHeight w:val="189"/>
        </w:trPr>
        <w:tc>
          <w:tcPr>
            <w:tcW w:w="36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Interest (expense) income, net</w:t>
            </w:r>
          </w:p>
        </w:tc>
        <w:tc>
          <w:tcPr>
            <w:tcW w:w="10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(14)</w:t>
            </w: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r>
      <w:tr>
        <w:trPr>
          <w:trHeight w:val="189"/>
        </w:trPr>
        <w:tc>
          <w:tcPr>
            <w:tcW w:w="366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5"/>
                <w:szCs w:val="15"/>
                <w:color w:val="auto"/>
              </w:rPr>
              <w:t xml:space="preserve">Other income, net </w:t>
            </w:r>
            <w:r>
              <w:rPr>
                <w:rFonts w:ascii="Arial" w:cs="Arial" w:eastAsia="Arial" w:hAnsi="Arial"/>
                <w:sz w:val="21"/>
                <w:szCs w:val="21"/>
                <w:color w:val="auto"/>
                <w:vertAlign w:val="superscript"/>
              </w:rPr>
              <w:t>(3)</w:t>
            </w:r>
          </w:p>
        </w:tc>
        <w:tc>
          <w:tcPr>
            <w:tcW w:w="10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b w:val="1"/>
                <w:bCs w:val="1"/>
                <w:color w:val="auto"/>
              </w:rPr>
              <w:t>394</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198</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3"/>
        </w:trPr>
        <w:tc>
          <w:tcPr>
            <w:tcW w:w="36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Income before income taxes</w:t>
            </w:r>
          </w:p>
        </w:tc>
        <w:tc>
          <w:tcPr>
            <w:tcW w:w="102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b w:val="1"/>
                <w:bCs w:val="1"/>
                <w:color w:val="auto"/>
              </w:rPr>
              <w:t>1,240</w:t>
            </w:r>
          </w:p>
        </w:tc>
        <w:tc>
          <w:tcPr>
            <w:tcW w:w="44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494</w:t>
            </w:r>
          </w:p>
        </w:tc>
        <w:tc>
          <w:tcPr>
            <w:tcW w:w="3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See Note 4,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additional information on these amounts.</w:t>
      </w:r>
    </w:p>
    <w:p>
      <w:pPr>
        <w:spacing w:after="0" w:line="13" w:lineRule="exact"/>
        <w:rPr>
          <w:rFonts w:ascii="Arial" w:cs="Arial" w:eastAsia="Arial" w:hAnsi="Arial"/>
          <w:sz w:val="13"/>
          <w:szCs w:val="13"/>
          <w:color w:val="auto"/>
        </w:rPr>
      </w:pPr>
    </w:p>
    <w:p>
      <w:pPr>
        <w:jc w:val="both"/>
        <w:ind w:left="380" w:right="79" w:hanging="330"/>
        <w:spacing w:after="0" w:line="238" w:lineRule="auto"/>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Corporate expense for all years presented reflects the reallocation of expense between corporate and the operating divisions. Based upon annual internal studies of corporate expense, the allocation of such expenses to the operating divisions was increased by $19 million for 2021, $28 million for 2020, and $32 million for 2019, thereby reducing corporate expense. See Note 4,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additional information on these amounts.</w:t>
      </w:r>
    </w:p>
    <w:p>
      <w:pPr>
        <w:spacing w:after="0" w:line="1" w:lineRule="exact"/>
        <w:rPr>
          <w:rFonts w:ascii="Arial" w:cs="Arial" w:eastAsia="Arial" w:hAnsi="Arial"/>
          <w:sz w:val="13"/>
          <w:szCs w:val="13"/>
          <w:color w:val="auto"/>
        </w:rPr>
      </w:pPr>
    </w:p>
    <w:p>
      <w:pPr>
        <w:ind w:left="380" w:hanging="330"/>
        <w:spacing w:after="0"/>
        <w:tabs>
          <w:tab w:leader="none" w:pos="3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 xml:space="preserve">See Note 5, </w:t>
      </w:r>
      <w:r>
        <w:rPr>
          <w:rFonts w:ascii="Arial" w:cs="Arial" w:eastAsia="Arial" w:hAnsi="Arial"/>
          <w:sz w:val="13"/>
          <w:szCs w:val="13"/>
          <w:i w:val="1"/>
          <w:iCs w:val="1"/>
          <w:color w:val="auto"/>
        </w:rPr>
        <w:t>Other Income, net</w:t>
      </w:r>
      <w:r>
        <w:rPr>
          <w:rFonts w:ascii="Arial" w:cs="Arial" w:eastAsia="Arial" w:hAnsi="Arial"/>
          <w:sz w:val="13"/>
          <w:szCs w:val="13"/>
          <w:color w:val="auto"/>
        </w:rPr>
        <w:t xml:space="preserve"> for additional information on these amounts.</w:t>
      </w:r>
    </w:p>
    <w:p>
      <w:pPr>
        <w:spacing w:after="0" w:line="15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Sales disaggregated based upon channel for the fiscal years ended January 29, 2022, January 30, 2021, and February 1, 2020 are presented in the following table.</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2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Channel</w:t>
            </w:r>
          </w:p>
        </w:tc>
        <w:tc>
          <w:tcPr>
            <w:tcW w:w="2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2900" w:type="dxa"/>
            <w:vAlign w:val="bottom"/>
          </w:tcPr>
          <w:p>
            <w:pPr>
              <w:ind w:left="20"/>
              <w:spacing w:after="0" w:line="189" w:lineRule="exact"/>
              <w:rPr>
                <w:sz w:val="20"/>
                <w:szCs w:val="20"/>
                <w:color w:val="auto"/>
              </w:rPr>
            </w:pPr>
            <w:r>
              <w:rPr>
                <w:rFonts w:ascii="Arial" w:cs="Arial" w:eastAsia="Arial" w:hAnsi="Arial"/>
                <w:sz w:val="17"/>
                <w:szCs w:val="17"/>
                <w:color w:val="auto"/>
              </w:rPr>
              <w:t>Stores</w:t>
            </w:r>
          </w:p>
        </w:tc>
        <w:tc>
          <w:tcPr>
            <w:tcW w:w="2280" w:type="dxa"/>
            <w:vAlign w:val="bottom"/>
          </w:tcPr>
          <w:p>
            <w:pPr>
              <w:jc w:val="right"/>
              <w:ind w:right="71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8"/>
              </w:rPr>
              <w:t>7,029</w:t>
            </w:r>
          </w:p>
        </w:tc>
        <w:tc>
          <w:tcPr>
            <w:tcW w:w="10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8"/>
              </w:rPr>
              <w:t>5,447</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6,720</w:t>
            </w:r>
          </w:p>
        </w:tc>
      </w:tr>
      <w:tr>
        <w:trPr>
          <w:trHeight w:val="189"/>
        </w:trPr>
        <w:tc>
          <w:tcPr>
            <w:tcW w:w="29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Direct-to-customers</w:t>
            </w:r>
          </w:p>
        </w:tc>
        <w:tc>
          <w:tcPr>
            <w:tcW w:w="22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w w:val="98"/>
              </w:rPr>
              <w:t>1,929</w:t>
            </w: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98"/>
              </w:rPr>
              <w:t>2,101</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1,285</w:t>
            </w:r>
          </w:p>
        </w:tc>
      </w:tr>
      <w:tr>
        <w:trPr>
          <w:trHeight w:val="183"/>
        </w:trPr>
        <w:tc>
          <w:tcPr>
            <w:tcW w:w="2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sales</w:t>
            </w:r>
          </w:p>
        </w:tc>
        <w:tc>
          <w:tcPr>
            <w:tcW w:w="228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98"/>
              </w:rPr>
              <w:t>8,958</w:t>
            </w:r>
          </w:p>
        </w:tc>
        <w:tc>
          <w:tcPr>
            <w:tcW w:w="104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98"/>
              </w:rPr>
              <w:t>7,548</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8,005</w:t>
            </w:r>
          </w:p>
        </w:tc>
      </w:tr>
      <w:tr>
        <w:trPr>
          <w:trHeight w:val="20"/>
        </w:trPr>
        <w:tc>
          <w:tcPr>
            <w:tcW w:w="29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Sales and long-lived asset information by geographic area as of and for the fiscal years ended January 29, 2022, January 30, 2021, and February 1, 2020 are presented in the following tables. Sales are attributed to the country in which the sales transaction is fulfilled. Long-lived assets reflect property and equipment and lease right-of-use assets.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6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2020</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8"/>
                <w:szCs w:val="18"/>
                <w:color w:val="auto"/>
              </w:rPr>
            </w:pPr>
          </w:p>
        </w:tc>
      </w:tr>
      <w:tr>
        <w:trPr>
          <w:trHeight w:val="183"/>
        </w:trPr>
        <w:tc>
          <w:tcPr>
            <w:tcW w:w="298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Sales by Geography</w:t>
            </w:r>
          </w:p>
        </w:tc>
        <w:tc>
          <w:tcPr>
            <w:tcW w:w="16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98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16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6,477</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5,581</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5,691</w:t>
            </w:r>
          </w:p>
        </w:tc>
        <w:tc>
          <w:tcPr>
            <w:tcW w:w="20" w:type="dxa"/>
            <w:vAlign w:val="bottom"/>
          </w:tcPr>
          <w:p>
            <w:pPr>
              <w:spacing w:after="0"/>
              <w:rPr>
                <w:sz w:val="16"/>
                <w:szCs w:val="16"/>
                <w:color w:val="auto"/>
              </w:rPr>
            </w:pPr>
          </w:p>
        </w:tc>
      </w:tr>
      <w:tr>
        <w:trPr>
          <w:trHeight w:val="189"/>
        </w:trPr>
        <w:tc>
          <w:tcPr>
            <w:tcW w:w="298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16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2,481</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1,967</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2,314</w:t>
            </w:r>
          </w:p>
        </w:tc>
        <w:tc>
          <w:tcPr>
            <w:tcW w:w="20" w:type="dxa"/>
            <w:vAlign w:val="bottom"/>
          </w:tcPr>
          <w:p>
            <w:pPr>
              <w:spacing w:after="0"/>
              <w:rPr>
                <w:sz w:val="16"/>
                <w:szCs w:val="16"/>
                <w:color w:val="auto"/>
              </w:rPr>
            </w:pPr>
          </w:p>
        </w:tc>
      </w:tr>
      <w:tr>
        <w:trPr>
          <w:trHeight w:val="198"/>
        </w:trPr>
        <w:tc>
          <w:tcPr>
            <w:tcW w:w="29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00" w:type="dxa"/>
            <w:vAlign w:val="bottom"/>
            <w:gridSpan w:val="3"/>
          </w:tcPr>
          <w:p>
            <w:pPr>
              <w:jc w:val="right"/>
              <w:spacing w:after="0"/>
              <w:rPr>
                <w:sz w:val="20"/>
                <w:szCs w:val="20"/>
                <w:color w:val="auto"/>
              </w:rPr>
            </w:pPr>
            <w:r>
              <w:rPr>
                <w:rFonts w:ascii="Arial" w:cs="Arial" w:eastAsia="Arial" w:hAnsi="Arial"/>
                <w:sz w:val="17"/>
                <w:szCs w:val="17"/>
                <w:color w:val="auto"/>
              </w:rPr>
              <w:t>2021 Form 10-K Page 53</w:t>
            </w:r>
          </w:p>
        </w:tc>
        <w:tc>
          <w:tcPr>
            <w:tcW w:w="20" w:type="dxa"/>
            <w:vAlign w:val="bottom"/>
          </w:tcPr>
          <w:p>
            <w:pPr>
              <w:spacing w:after="0"/>
              <w:rPr>
                <w:sz w:val="17"/>
                <w:szCs w:val="17"/>
                <w:color w:val="auto"/>
              </w:rPr>
            </w:pPr>
          </w:p>
        </w:tc>
      </w:tr>
      <w:tr>
        <w:trPr>
          <w:trHeight w:val="747"/>
        </w:trPr>
        <w:tc>
          <w:tcPr>
            <w:tcW w:w="2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sales</w:t>
            </w:r>
          </w:p>
        </w:tc>
        <w:tc>
          <w:tcPr>
            <w:tcW w:w="218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98"/>
              </w:rPr>
              <w:t>8,958</w:t>
            </w:r>
          </w:p>
        </w:tc>
        <w:tc>
          <w:tcPr>
            <w:tcW w:w="104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8"/>
              </w:rPr>
              <w:t>7,548</w:t>
            </w:r>
          </w:p>
        </w:tc>
        <w:tc>
          <w:tcPr>
            <w:tcW w:w="4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8,005</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30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2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2020</w:t>
            </w:r>
          </w:p>
        </w:tc>
        <w:tc>
          <w:tcPr>
            <w:tcW w:w="5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color w:val="auto"/>
              </w:rPr>
              <w:t>2019</w:t>
            </w:r>
          </w:p>
        </w:tc>
      </w:tr>
      <w:tr>
        <w:trPr>
          <w:trHeight w:val="183"/>
        </w:trPr>
        <w:tc>
          <w:tcPr>
            <w:tcW w:w="30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Long-Lived Assets</w:t>
            </w:r>
          </w:p>
        </w:tc>
        <w:tc>
          <w:tcPr>
            <w:tcW w:w="2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3000" w:type="dxa"/>
            <w:vAlign w:val="bottom"/>
          </w:tcPr>
          <w:p>
            <w:pPr>
              <w:ind w:left="20"/>
              <w:spacing w:after="0" w:line="189" w:lineRule="exact"/>
              <w:rPr>
                <w:sz w:val="20"/>
                <w:szCs w:val="20"/>
                <w:color w:val="auto"/>
              </w:rPr>
            </w:pPr>
            <w:r>
              <w:rPr>
                <w:rFonts w:ascii="Arial" w:cs="Arial" w:eastAsia="Arial" w:hAnsi="Arial"/>
                <w:sz w:val="17"/>
                <w:szCs w:val="17"/>
                <w:color w:val="auto"/>
              </w:rPr>
              <w:t>United States</w:t>
            </w:r>
          </w:p>
        </w:tc>
        <w:tc>
          <w:tcPr>
            <w:tcW w:w="2180" w:type="dxa"/>
            <w:vAlign w:val="bottom"/>
          </w:tcPr>
          <w:p>
            <w:pPr>
              <w:jc w:val="right"/>
              <w:ind w:right="715"/>
              <w:spacing w:after="0" w:line="189" w:lineRule="exact"/>
              <w:rPr>
                <w:sz w:val="20"/>
                <w:szCs w:val="20"/>
                <w:color w:val="auto"/>
              </w:rPr>
            </w:pPr>
            <w:r>
              <w:rPr>
                <w:rFonts w:ascii="Arial" w:cs="Arial" w:eastAsia="Arial" w:hAnsi="Arial"/>
                <w:sz w:val="17"/>
                <w:szCs w:val="17"/>
                <w:b w:val="1"/>
                <w:bCs w:val="1"/>
                <w:color w:val="auto"/>
              </w:rPr>
              <w:t>$</w:t>
            </w:r>
          </w:p>
        </w:tc>
        <w:tc>
          <w:tcPr>
            <w:tcW w:w="5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w w:val="98"/>
              </w:rPr>
              <w:t>2,285</w:t>
            </w:r>
          </w:p>
        </w:tc>
        <w:tc>
          <w:tcPr>
            <w:tcW w:w="1040" w:type="dxa"/>
            <w:vAlign w:val="bottom"/>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58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8"/>
              </w:rPr>
              <w:t>2,218</w:t>
            </w:r>
          </w:p>
        </w:tc>
        <w:tc>
          <w:tcPr>
            <w:tcW w:w="44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2,479</w:t>
            </w:r>
          </w:p>
        </w:tc>
      </w:tr>
      <w:tr>
        <w:trPr>
          <w:trHeight w:val="189"/>
        </w:trPr>
        <w:tc>
          <w:tcPr>
            <w:tcW w:w="300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International</w:t>
            </w:r>
          </w:p>
        </w:tc>
        <w:tc>
          <w:tcPr>
            <w:tcW w:w="2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w w:val="98"/>
              </w:rPr>
              <w:t>1,248</w:t>
            </w:r>
          </w:p>
        </w:tc>
        <w:tc>
          <w:tcPr>
            <w:tcW w:w="10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98"/>
              </w:rPr>
              <w:t>1,286</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1,244</w:t>
            </w:r>
          </w:p>
        </w:tc>
      </w:tr>
      <w:tr>
        <w:trPr>
          <w:trHeight w:val="183"/>
        </w:trPr>
        <w:tc>
          <w:tcPr>
            <w:tcW w:w="30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long-lived assets</w:t>
            </w:r>
          </w:p>
        </w:tc>
        <w:tc>
          <w:tcPr>
            <w:tcW w:w="218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w w:val="98"/>
              </w:rPr>
              <w:t>3,533</w:t>
            </w:r>
          </w:p>
        </w:tc>
        <w:tc>
          <w:tcPr>
            <w:tcW w:w="1040" w:type="dxa"/>
            <w:vAlign w:val="bottom"/>
            <w:tcBorders>
              <w:bottom w:val="single" w:sz="8" w:color="auto"/>
            </w:tcBorders>
          </w:tcPr>
          <w:p>
            <w:pPr>
              <w:jc w:val="right"/>
              <w:ind w:right="71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98"/>
              </w:rPr>
              <w:t>3,504</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3,723</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For the year ended January 29, 2022, the countries that comprised the majority of the sales and long-lived assets for the international category were Canada, France, Italy, England, and Australia. No other individual country included in the international category was significant.</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520" w:type="dxa"/>
            <w:vAlign w:val="bottom"/>
          </w:tcPr>
          <w:p>
            <w:pPr>
              <w:spacing w:after="0"/>
              <w:rPr>
                <w:sz w:val="16"/>
                <w:szCs w:val="16"/>
                <w:color w:val="auto"/>
              </w:rPr>
            </w:pPr>
          </w:p>
        </w:tc>
        <w:tc>
          <w:tcPr>
            <w:tcW w:w="2480" w:type="dxa"/>
            <w:vAlign w:val="bottom"/>
            <w:gridSpan w:val="3"/>
          </w:tcPr>
          <w:p>
            <w:pPr>
              <w:jc w:val="right"/>
              <w:ind w:right="255"/>
              <w:spacing w:after="0"/>
              <w:rPr>
                <w:sz w:val="20"/>
                <w:szCs w:val="20"/>
                <w:color w:val="auto"/>
              </w:rPr>
            </w:pPr>
            <w:r>
              <w:rPr>
                <w:rFonts w:ascii="Arial" w:cs="Arial" w:eastAsia="Arial" w:hAnsi="Arial"/>
                <w:sz w:val="17"/>
                <w:szCs w:val="17"/>
                <w:b w:val="1"/>
                <w:bCs w:val="1"/>
                <w:color w:val="auto"/>
              </w:rPr>
              <w:t>Depreciation and</w:t>
            </w: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5"/>
        </w:trPr>
        <w:tc>
          <w:tcPr>
            <w:tcW w:w="15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Amortization</w:t>
            </w: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135"/>
              <w:spacing w:after="0" w:line="216" w:lineRule="exact"/>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4"/>
                <w:szCs w:val="24"/>
                <w:color w:val="auto"/>
                <w:vertAlign w:val="superscript"/>
              </w:rPr>
              <w:t>(1)</w:t>
            </w:r>
          </w:p>
        </w:tc>
        <w:tc>
          <w:tcPr>
            <w:tcW w:w="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Total Assets</w:t>
            </w:r>
          </w:p>
        </w:tc>
        <w:tc>
          <w:tcPr>
            <w:tcW w:w="660" w:type="dxa"/>
            <w:vAlign w:val="bottom"/>
            <w:tcBorders>
              <w:bottom w:val="single" w:sz="8" w:color="auto"/>
            </w:tcBorders>
          </w:tcPr>
          <w:p>
            <w:pPr>
              <w:spacing w:after="0"/>
              <w:rPr>
                <w:sz w:val="18"/>
                <w:szCs w:val="18"/>
                <w:color w:val="auto"/>
              </w:rPr>
            </w:pPr>
          </w:p>
        </w:tc>
      </w:tr>
      <w:tr>
        <w:trPr>
          <w:trHeight w:val="183"/>
        </w:trPr>
        <w:tc>
          <w:tcPr>
            <w:tcW w:w="152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 in millions)</w:t>
            </w:r>
          </w:p>
        </w:tc>
        <w:tc>
          <w:tcPr>
            <w:tcW w:w="10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2021</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2020</w:t>
            </w:r>
          </w:p>
        </w:tc>
        <w:tc>
          <w:tcPr>
            <w:tcW w:w="70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2019</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b w:val="1"/>
                <w:bCs w:val="1"/>
                <w:color w:val="auto"/>
                <w:w w:val="95"/>
              </w:rPr>
              <w:t>2021</w:t>
            </w: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2020</w:t>
            </w: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w w:val="95"/>
              </w:rPr>
              <w:t>2019</w:t>
            </w:r>
          </w:p>
        </w:tc>
        <w:tc>
          <w:tcPr>
            <w:tcW w:w="7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2021</w:t>
            </w:r>
          </w:p>
        </w:tc>
        <w:tc>
          <w:tcPr>
            <w:tcW w:w="10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2020</w:t>
            </w:r>
          </w:p>
        </w:tc>
        <w:tc>
          <w:tcPr>
            <w:tcW w:w="6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2019</w:t>
            </w:r>
          </w:p>
        </w:tc>
      </w:tr>
      <w:tr>
        <w:trPr>
          <w:trHeight w:val="183"/>
        </w:trPr>
        <w:tc>
          <w:tcPr>
            <w:tcW w:w="15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Division</w:t>
            </w: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$ 163</w:t>
            </w: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$ 152</w:t>
            </w:r>
          </w:p>
        </w:tc>
        <w:tc>
          <w:tcPr>
            <w:tcW w:w="7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$ 160</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127</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105</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$ 7,184</w:t>
            </w:r>
          </w:p>
        </w:tc>
        <w:tc>
          <w:tcPr>
            <w:tcW w:w="104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$ 5,159</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$ 5,523</w:t>
            </w:r>
          </w:p>
        </w:tc>
      </w:tr>
      <w:tr>
        <w:trPr>
          <w:trHeight w:val="189"/>
        </w:trPr>
        <w:tc>
          <w:tcPr>
            <w:tcW w:w="15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Corporate</w:t>
            </w:r>
          </w:p>
        </w:tc>
        <w:tc>
          <w:tcPr>
            <w:tcW w:w="108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34</w:t>
            </w:r>
          </w:p>
        </w:tc>
        <w:tc>
          <w:tcPr>
            <w:tcW w:w="7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24</w:t>
            </w:r>
          </w:p>
        </w:tc>
        <w:tc>
          <w:tcPr>
            <w:tcW w:w="70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19</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82</w:t>
            </w: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71</w:t>
            </w: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82</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951</w:t>
            </w:r>
          </w:p>
        </w:tc>
        <w:tc>
          <w:tcPr>
            <w:tcW w:w="1040" w:type="dxa"/>
            <w:vAlign w:val="bottom"/>
            <w:tcBorders>
              <w:bottom w:val="single" w:sz="8" w:color="auto"/>
            </w:tcBorders>
          </w:tcPr>
          <w:p>
            <w:pPr>
              <w:jc w:val="right"/>
              <w:ind w:right="155"/>
              <w:spacing w:after="0" w:line="189" w:lineRule="exact"/>
              <w:rPr>
                <w:sz w:val="20"/>
                <w:szCs w:val="20"/>
                <w:color w:val="auto"/>
              </w:rPr>
            </w:pPr>
            <w:r>
              <w:rPr>
                <w:rFonts w:ascii="Arial" w:cs="Arial" w:eastAsia="Arial" w:hAnsi="Arial"/>
                <w:sz w:val="17"/>
                <w:szCs w:val="17"/>
                <w:color w:val="auto"/>
              </w:rPr>
              <w:t>1,884</w:t>
            </w: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1,066</w:t>
            </w:r>
          </w:p>
        </w:tc>
      </w:tr>
      <w:tr>
        <w:trPr>
          <w:trHeight w:val="183"/>
        </w:trPr>
        <w:tc>
          <w:tcPr>
            <w:tcW w:w="152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$ 197</w:t>
            </w:r>
          </w:p>
        </w:tc>
        <w:tc>
          <w:tcPr>
            <w:tcW w:w="7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$ 176</w:t>
            </w:r>
          </w:p>
        </w:tc>
        <w:tc>
          <w:tcPr>
            <w:tcW w:w="7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$ 179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209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159</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187</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$ 8,135</w:t>
            </w:r>
          </w:p>
        </w:tc>
        <w:tc>
          <w:tcPr>
            <w:tcW w:w="10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$ 7,043</w:t>
            </w: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$ 6,589</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Represents cash capital expenditures for all years presented.</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4. Impairment and Other Charges</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41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520" w:type="dxa"/>
            <w:vAlign w:val="bottom"/>
          </w:tcPr>
          <w:p>
            <w:pPr>
              <w:spacing w:after="0"/>
              <w:rPr>
                <w:sz w:val="24"/>
                <w:szCs w:val="24"/>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400" w:type="dxa"/>
            <w:vAlign w:val="bottom"/>
          </w:tcPr>
          <w:p>
            <w:pPr>
              <w:spacing w:after="0"/>
              <w:rPr>
                <w:sz w:val="24"/>
                <w:szCs w:val="24"/>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color w:val="auto"/>
              </w:rPr>
              <w:t>2020</w:t>
            </w:r>
          </w:p>
        </w:tc>
        <w:tc>
          <w:tcPr>
            <w:tcW w:w="440" w:type="dxa"/>
            <w:vAlign w:val="bottom"/>
          </w:tcPr>
          <w:p>
            <w:pPr>
              <w:spacing w:after="0"/>
              <w:rPr>
                <w:sz w:val="24"/>
                <w:szCs w:val="24"/>
                <w:color w:val="auto"/>
              </w:rPr>
            </w:pPr>
          </w:p>
        </w:tc>
        <w:tc>
          <w:tcPr>
            <w:tcW w:w="1080" w:type="dxa"/>
            <w:vAlign w:val="bottom"/>
          </w:tcPr>
          <w:p>
            <w:pPr>
              <w:jc w:val="right"/>
              <w:ind w:right="41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Impairment of long-lived assets and right-of-use</w:t>
            </w:r>
          </w:p>
        </w:tc>
        <w:tc>
          <w:tcPr>
            <w:tcW w:w="520" w:type="dxa"/>
            <w:vAlign w:val="bottom"/>
            <w:tcBorders>
              <w:top w:val="single" w:sz="8" w:color="auto"/>
            </w:tcBorders>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92</w:t>
            </w:r>
          </w:p>
        </w:tc>
        <w:tc>
          <w:tcPr>
            <w:tcW w:w="4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520" w:type="dxa"/>
            <w:vAlign w:val="bottom"/>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77</w:t>
            </w:r>
          </w:p>
        </w:tc>
        <w:tc>
          <w:tcPr>
            <w:tcW w:w="4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Impairment of investments</w:t>
            </w:r>
          </w:p>
        </w:tc>
        <w:tc>
          <w:tcPr>
            <w:tcW w:w="52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42</w:t>
            </w:r>
          </w:p>
        </w:tc>
        <w:tc>
          <w:tcPr>
            <w:tcW w:w="40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Acquisition and integration costs</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24</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Lease termination costs</w:t>
            </w:r>
          </w:p>
        </w:tc>
        <w:tc>
          <w:tcPr>
            <w:tcW w:w="52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w:t>
            </w:r>
          </w:p>
        </w:tc>
        <w:tc>
          <w:tcPr>
            <w:tcW w:w="40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Reorganization costs</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7</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Other intangible asset impairments</w:t>
            </w:r>
          </w:p>
        </w:tc>
        <w:tc>
          <w:tcPr>
            <w:tcW w:w="52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40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(Insurance recovery)/ losses related to social unrest</w:t>
            </w:r>
          </w:p>
        </w:tc>
        <w:tc>
          <w:tcPr>
            <w:tcW w:w="5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(7)</w:t>
            </w: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Pr>
          <w:p>
            <w:pPr>
              <w:spacing w:after="0" w:line="189" w:lineRule="exact"/>
              <w:rPr>
                <w:sz w:val="20"/>
                <w:szCs w:val="20"/>
                <w:color w:val="auto"/>
              </w:rPr>
            </w:pPr>
            <w:r>
              <w:rPr>
                <w:rFonts w:ascii="Arial" w:cs="Arial" w:eastAsia="Arial" w:hAnsi="Arial"/>
                <w:sz w:val="17"/>
                <w:szCs w:val="17"/>
                <w:color w:val="auto"/>
              </w:rPr>
              <w:t>Runners Point shut down</w:t>
            </w:r>
          </w:p>
        </w:tc>
        <w:tc>
          <w:tcPr>
            <w:tcW w:w="520" w:type="dxa"/>
            <w:vAlign w:val="bottom"/>
          </w:tcPr>
          <w:p>
            <w:pPr>
              <w:spacing w:after="0"/>
              <w:rPr>
                <w:sz w:val="16"/>
                <w:szCs w:val="16"/>
                <w:color w:val="auto"/>
              </w:rPr>
            </w:pP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19</w:t>
            </w:r>
          </w:p>
        </w:tc>
        <w:tc>
          <w:tcPr>
            <w:tcW w:w="44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Pension litigation related charges</w:t>
            </w:r>
          </w:p>
        </w:tc>
        <w:tc>
          <w:tcPr>
            <w:tcW w:w="5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4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impairment and other charges</w:t>
            </w:r>
          </w:p>
        </w:tc>
        <w:tc>
          <w:tcPr>
            <w:tcW w:w="5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172</w:t>
            </w:r>
          </w:p>
        </w:tc>
        <w:tc>
          <w:tcPr>
            <w:tcW w:w="4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117</w:t>
            </w: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During the second quarter of 2021, we conducted an impairment review of Footaction stores as a result of our decision to convert part of the stores to other existing banner concepts and close the remaining stores. We evaluated the long-lived assets, including the right-of-use assets and recorded non-cash charges to write down store fixtures, leasehold improvements, and right-of-use assets for approximately 60 locations, and accelerated tenancy charges for leases we expect to terminate prior to the end of the lease term. In connection with this, we recorded charges totaling $66 million. During the fourth quarter of 2021, we conducted an impairment review for approximately 100 underperforming stores. We evaluated the long-lived assets, including the right-of-use assets and recorded non-cash charges of $26 million to write down store fixtures, leasehold improvements, and right-of-use assets for approximately 55 of these stores.</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2021, 2020 and 2019, we recorded non-cash charges of $42 million, $4 million and $11 million, respectively, related to the write-down of certain minority investments. In 2021, due to continued losses and updated estimates of value, we recorded full write downs on three of the Company’s minority investments. Additionally, one of our investments experienced a deterioration in their future outlook and due to the underperformance of this investee, we wrote down our investment in 2020 and 2019. In 2019, we recorded a full write down of our investment in a children’s athletics startup which filed for bankruptcy.</w:t>
      </w:r>
    </w:p>
    <w:p>
      <w:pPr>
        <w:spacing w:after="0" w:line="148"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In connection with the acquisitions, we recorded acquisition and integration costs of $24 million, which primarily represented investment banking and integration consulting fees related to the WSS and atmos acquisitions.</w:t>
      </w:r>
    </w:p>
    <w:p>
      <w:pPr>
        <w:spacing w:after="0" w:line="158"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In 2021, we recorded $15 million of lease termination costs related to the closure of certain stores. We also recorded $4 million of reorganization expense related to Footaction and certain support functions, as well as $2 million of intangible asset impairment on the Footaction tradename, due to the store and website closures.</w:t>
      </w:r>
    </w:p>
    <w:p>
      <w:pPr>
        <w:spacing w:after="0" w:line="16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Losses related to social unrest represented inventory losses, damages to store property, repairs, and other costs incurred in connection with the riots that affected certain parts of the United States and Canada during the second quarter of 2020 and resulted in a loss of $18 million. Approximately 140 stores were damaged due to the unrest. The total charge included inventory losses of $15 million, damages to store property of $1 million, and repairs and other costs of $2 million.</w:t>
      </w:r>
    </w:p>
    <w:p>
      <w:pPr>
        <w:spacing w:after="0" w:line="15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During the fourth quarter of 2020, we recorded a partial insurance recovery of $10 million representing an advance on our claim. In 2021, we reached a final insurance settlement for an additional $13 million, of which $7 million is classified in impairment and other charges, as it relates to the book value of property losses recorded in 2020.</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Due to COVID-19 and its effect on our actual and projected results, during the first quarter of 2020, we determined that a triggering event occurred for certain underperforming stores operating in Europe and, therefore, we conducted an impairment review. We recorded non-cash charges of $15 million to write down store fixtures, leasehold improvements, and right-of-use assets of 70 stores. During the fourth quarter of 2020, we recorded non-cash charges of $62 million to write down store fixtures, leasehold improvements, and right-of-use assets for approximately 60 underperforming stores.</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consolidated certain Eastbay operations into the Champs Sports headquarters. We recorded charges of $19 million related to the shutdown of the Runners Point business and $3 million related to the reorganization associated with Eastbay. As part of the decision to close the Runners Point banner, certain Runners Point stores have been converted into other banners and approximately 40 Runners Point and Sidestep stores closed prior to their natural lease expirations. In the fourth quarter of 2020, we recorded a charge of $4 million in connection with the reorganization of certain support functions and supply chain operations within our EMEA segment.</w:t>
      </w:r>
    </w:p>
    <w:p>
      <w:pPr>
        <w:spacing w:after="0" w:line="14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Company and the Company’s U.S. pension plan were involved in litigation related to the conversion of the plan to a cash balance plan. The court entered its final judgment in 2018, which required the plan be reformed as directed by the court order. We recorded charges in 2020 and 2019, related to the pension matter and related plan reformation totaling $2 million and $4 million, respectively. These charges recorded represented certain costs of the reformation and related administrative expenses.</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2019, we performed an impairment review on our Footaction stores, certain other underperforming stores and a vacant store that had been previously subleased. We evaluated the long-lived assets, including the right-of-use assets, of these stores and recorded non-cash charges of $37 million to write down right-of-use assets, store fixtures and leasehold improvements. We also recorded $13 million of lease termination costs related to the closure of our SIX:02 locations during 2019.</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5. Other Income, net</w:t>
      </w:r>
    </w:p>
    <w:p>
      <w:pPr>
        <w:spacing w:after="0" w:line="176"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Other income, net was $394 million, $198 million, and $12 million in 2021, 2020, and 2019, respectively. Other income, net includes non-operating items, such as:</w:t>
      </w:r>
    </w:p>
    <w:p>
      <w:pPr>
        <w:spacing w:after="0" w:line="151" w:lineRule="exact"/>
        <w:rPr>
          <w:sz w:val="20"/>
          <w:szCs w:val="20"/>
          <w:color w:val="auto"/>
        </w:rPr>
      </w:pPr>
    </w:p>
    <w:p>
      <w:pPr>
        <w:ind w:left="1100" w:hanging="334"/>
        <w:spacing w:after="0"/>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Franchise royalty income/licensee income,</w:t>
      </w:r>
    </w:p>
    <w:p>
      <w:pPr>
        <w:ind w:left="1100"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gains associated with disposal of property,</w:t>
      </w:r>
    </w:p>
    <w:p>
      <w:pPr>
        <w:ind w:left="1100" w:right="79"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fair value, premiums paid, and realized gains associated with foreign currency option contracts,</w:t>
      </w:r>
    </w:p>
    <w:p>
      <w:pPr>
        <w:ind w:left="1100"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market value of our available-for-sale security,</w:t>
      </w:r>
    </w:p>
    <w:p>
      <w:pPr>
        <w:ind w:left="1100"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premiums paid to repurchase and retire bonds,</w:t>
      </w:r>
    </w:p>
    <w:p>
      <w:pPr>
        <w:ind w:left="1100" w:right="79"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value for our investments accounted for using the fair value measurement alternative, which is at cost adjusted for changes in observable prices minus impairment,</w:t>
      </w:r>
    </w:p>
    <w:p>
      <w:pPr>
        <w:ind w:left="1100" w:hanging="334"/>
        <w:spacing w:after="0" w:line="232"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share of earnings or losses related to our equity method investments, and</w:t>
      </w:r>
    </w:p>
    <w:p>
      <w:pPr>
        <w:ind w:left="1100" w:right="79" w:hanging="334"/>
        <w:spacing w:after="0" w:line="243" w:lineRule="auto"/>
        <w:tabs>
          <w:tab w:leader="none" w:pos="11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benefit expense or income related to our pension and postretirement programs, excluding the service cost component.</w:t>
      </w:r>
    </w:p>
    <w:p>
      <w:pPr>
        <w:spacing w:after="0" w:line="200" w:lineRule="exact"/>
        <w:rPr>
          <w:sz w:val="20"/>
          <w:szCs w:val="20"/>
          <w:color w:val="auto"/>
        </w:rPr>
      </w:pPr>
    </w:p>
    <w:p>
      <w:pPr>
        <w:spacing w:after="0" w:line="30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One of our minority investments, GOAT, which is measured using the fair value alternative, received funding at higher valuations in both 2021 and 2020 resulting in non-cash gains of $290 million and $190 million, respectively. During 2021, we invested $68 million to take a common stock minority stake in a public entity, Retailors, Ltd., which is traded on the Tel Aviv stock exchange. This investment was at a discount of $9 million to the initial public offering price, resulting in a non-cash gain of $9 million. Changes in fair value represented on our Retailors, Ltd. investment also generated non-cash gains of $68 million during the year.</w:t>
      </w:r>
    </w:p>
    <w:p>
      <w:pPr>
        <w:spacing w:after="0" w:line="14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For 2021 other income, net also included $10 million in royalty income, $7 million of net benefit income related to our pension and postretirement programs, $7 million of insurance recoveries in excess of the losses sustained in the prior year related to the social unrest, and $3 million of income related to our equity method investments.</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Other income, net in 2020 also included $6 million of royalty income, $5 million of net benefit income relating to our pension and postretirement programs. This income was partially offset by $2 million in premiums paid in connection with the repurchase and retirement of bonds and a $1 million loss related to our equity method investments.</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During 2019, we recorded $8 million of royalty income, a $4 million gain associated with the acquisition of a Canadian distribution center lease and related assets from the partial exchange of a note that had previously been written down to zero, a $2 million gain related to the sale of a building, a $1 million gain on our available-for-sale security, partially offset by $2 million of net benefit expense relating to our pension and postretirement programs, and $1 million loss related to our equity method investments.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040" w:type="dxa"/>
            <w:vAlign w:val="bottom"/>
          </w:tcPr>
          <w:p>
            <w:pPr>
              <w:spacing w:after="0"/>
              <w:rPr>
                <w:sz w:val="20"/>
                <w:szCs w:val="20"/>
                <w:color w:val="auto"/>
              </w:rPr>
            </w:pPr>
            <w:r>
              <w:rPr>
                <w:rFonts w:ascii="Arial" w:cs="Arial" w:eastAsia="Arial" w:hAnsi="Arial"/>
                <w:sz w:val="17"/>
                <w:szCs w:val="17"/>
                <w:b w:val="1"/>
                <w:bCs w:val="1"/>
                <w:color w:val="auto"/>
              </w:rPr>
              <w:t>6. Merchandise Inventories</w:t>
            </w:r>
          </w:p>
        </w:tc>
        <w:tc>
          <w:tcPr>
            <w:tcW w:w="1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42"/>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January 29,</w:t>
            </w:r>
          </w:p>
        </w:tc>
        <w:tc>
          <w:tcPr>
            <w:tcW w:w="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January 30,</w:t>
            </w:r>
          </w:p>
        </w:tc>
      </w:tr>
      <w:tr>
        <w:trPr>
          <w:trHeight w:val="215"/>
        </w:trPr>
        <w:tc>
          <w:tcPr>
            <w:tcW w:w="4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9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2021</w:t>
            </w:r>
          </w:p>
        </w:tc>
      </w:tr>
      <w:tr>
        <w:trPr>
          <w:trHeight w:val="183"/>
        </w:trPr>
        <w:tc>
          <w:tcPr>
            <w:tcW w:w="40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LIFO inventories</w:t>
            </w:r>
          </w:p>
        </w:tc>
        <w:tc>
          <w:tcPr>
            <w:tcW w:w="1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788</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544</w:t>
            </w:r>
          </w:p>
        </w:tc>
      </w:tr>
      <w:tr>
        <w:trPr>
          <w:trHeight w:val="189"/>
        </w:trPr>
        <w:tc>
          <w:tcPr>
            <w:tcW w:w="40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FIFO inventories</w:t>
            </w:r>
          </w:p>
        </w:tc>
        <w:tc>
          <w:tcPr>
            <w:tcW w:w="1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478</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379</w:t>
            </w:r>
          </w:p>
        </w:tc>
      </w:tr>
      <w:tr>
        <w:trPr>
          <w:trHeight w:val="183"/>
        </w:trPr>
        <w:tc>
          <w:tcPr>
            <w:tcW w:w="40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merchandise inventories</w:t>
            </w:r>
          </w:p>
        </w:tc>
        <w:tc>
          <w:tcPr>
            <w:tcW w:w="1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1,266</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923</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value of our LIFO inventories as calculated on a LIFO basis, approximates their value as calculated on a FIFO basis.</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3860" w:type="dxa"/>
            <w:vAlign w:val="bottom"/>
          </w:tcPr>
          <w:p>
            <w:pPr>
              <w:spacing w:after="0"/>
              <w:rPr>
                <w:sz w:val="20"/>
                <w:szCs w:val="20"/>
                <w:color w:val="auto"/>
              </w:rPr>
            </w:pPr>
            <w:r>
              <w:rPr>
                <w:rFonts w:ascii="Arial" w:cs="Arial" w:eastAsia="Arial" w:hAnsi="Arial"/>
                <w:sz w:val="17"/>
                <w:szCs w:val="17"/>
                <w:b w:val="1"/>
                <w:bCs w:val="1"/>
                <w:color w:val="auto"/>
              </w:rPr>
              <w:t>7. Other Current Assets</w:t>
            </w:r>
          </w:p>
        </w:tc>
        <w:tc>
          <w:tcPr>
            <w:tcW w:w="2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42"/>
        </w:trPr>
        <w:tc>
          <w:tcPr>
            <w:tcW w:w="3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January 29,</w:t>
            </w:r>
          </w:p>
        </w:tc>
        <w:tc>
          <w:tcPr>
            <w:tcW w:w="320" w:type="dxa"/>
            <w:vAlign w:val="bottom"/>
          </w:tcPr>
          <w:p>
            <w:pPr>
              <w:spacing w:after="0"/>
              <w:rPr>
                <w:sz w:val="24"/>
                <w:szCs w:val="24"/>
                <w:color w:val="auto"/>
              </w:rPr>
            </w:pPr>
          </w:p>
        </w:tc>
        <w:tc>
          <w:tcPr>
            <w:tcW w:w="1260" w:type="dxa"/>
            <w:vAlign w:val="bottom"/>
          </w:tcPr>
          <w:p>
            <w:pPr>
              <w:jc w:val="right"/>
              <w:ind w:right="215"/>
              <w:spacing w:after="0"/>
              <w:rPr>
                <w:sz w:val="20"/>
                <w:szCs w:val="20"/>
                <w:color w:val="auto"/>
              </w:rPr>
            </w:pPr>
            <w:r>
              <w:rPr>
                <w:rFonts w:ascii="Arial" w:cs="Arial" w:eastAsia="Arial" w:hAnsi="Arial"/>
                <w:sz w:val="17"/>
                <w:szCs w:val="17"/>
                <w:color w:val="auto"/>
              </w:rPr>
              <w:t>January 30,</w:t>
            </w:r>
          </w:p>
        </w:tc>
      </w:tr>
      <w:tr>
        <w:trPr>
          <w:trHeight w:val="215"/>
        </w:trPr>
        <w:tc>
          <w:tcPr>
            <w:tcW w:w="3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2021</w:t>
            </w:r>
          </w:p>
        </w:tc>
      </w:tr>
      <w:tr>
        <w:trPr>
          <w:trHeight w:val="183"/>
        </w:trPr>
        <w:tc>
          <w:tcPr>
            <w:tcW w:w="3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receivables</w:t>
            </w:r>
          </w:p>
        </w:tc>
        <w:tc>
          <w:tcPr>
            <w:tcW w:w="2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134</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124</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Other prepaid expenses</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64</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56</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Prepaid income taxes</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56</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Prepaid rent</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14</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3860" w:type="dxa"/>
            <w:vAlign w:val="bottom"/>
          </w:tcPr>
          <w:p>
            <w:pPr>
              <w:spacing w:after="0" w:line="189" w:lineRule="exact"/>
              <w:rPr>
                <w:sz w:val="20"/>
                <w:szCs w:val="20"/>
                <w:color w:val="auto"/>
              </w:rPr>
            </w:pPr>
            <w:r>
              <w:rPr>
                <w:rFonts w:ascii="Arial" w:cs="Arial" w:eastAsia="Arial" w:hAnsi="Arial"/>
                <w:sz w:val="17"/>
                <w:szCs w:val="17"/>
                <w:color w:val="auto"/>
              </w:rPr>
              <w:t>Income taxes receivable</w:t>
            </w:r>
          </w:p>
        </w:tc>
        <w:tc>
          <w:tcPr>
            <w:tcW w:w="2120" w:type="dxa"/>
            <w:vAlign w:val="bottom"/>
          </w:tcPr>
          <w:p>
            <w:pPr>
              <w:spacing w:after="0"/>
              <w:rPr>
                <w:sz w:val="16"/>
                <w:szCs w:val="16"/>
                <w:color w:val="auto"/>
              </w:rPr>
            </w:pPr>
          </w:p>
        </w:tc>
        <w:tc>
          <w:tcPr>
            <w:tcW w:w="13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tax costs</w:t>
            </w:r>
          </w:p>
        </w:tc>
        <w:tc>
          <w:tcPr>
            <w:tcW w:w="2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w:t>
            </w:r>
          </w:p>
        </w:tc>
        <w:tc>
          <w:tcPr>
            <w:tcW w:w="2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8</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3"/>
        </w:trPr>
        <w:tc>
          <w:tcPr>
            <w:tcW w:w="3860" w:type="dxa"/>
            <w:vAlign w:val="bottom"/>
            <w:tcBorders>
              <w:bottom w:val="single" w:sz="8" w:color="auto"/>
            </w:tcBorders>
            <w:shd w:val="clear" w:color="auto" w:fill="CCEEFF"/>
          </w:tcPr>
          <w:p>
            <w:pPr>
              <w:spacing w:after="0"/>
              <w:rPr>
                <w:sz w:val="15"/>
                <w:szCs w:val="15"/>
                <w:color w:val="auto"/>
              </w:rPr>
            </w:pPr>
          </w:p>
        </w:tc>
        <w:tc>
          <w:tcPr>
            <w:tcW w:w="2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293</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232</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b w:val="1"/>
                <w:bCs w:val="1"/>
                <w:color w:val="auto"/>
              </w:rPr>
              <w:t>8. Property and Equipment, net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20" w:type="dxa"/>
            <w:vAlign w:val="bottom"/>
            <w:gridSpan w:val="3"/>
            <w:vMerge w:val="restart"/>
          </w:tcPr>
          <w:p>
            <w:pPr>
              <w:jc w:val="right"/>
              <w:ind w:right="115"/>
              <w:spacing w:after="0"/>
              <w:rPr>
                <w:sz w:val="20"/>
                <w:szCs w:val="20"/>
                <w:color w:val="auto"/>
              </w:rPr>
            </w:pPr>
            <w:r>
              <w:rPr>
                <w:rFonts w:ascii="Arial" w:cs="Arial" w:eastAsia="Arial" w:hAnsi="Arial"/>
                <w:sz w:val="17"/>
                <w:szCs w:val="17"/>
                <w:b w:val="1"/>
                <w:bCs w:val="1"/>
                <w:color w:val="auto"/>
              </w:rPr>
              <w:t>January 29,</w:t>
            </w:r>
          </w:p>
        </w:tc>
        <w:tc>
          <w:tcPr>
            <w:tcW w:w="100" w:type="dxa"/>
            <w:vAlign w:val="bottom"/>
          </w:tcPr>
          <w:p>
            <w:pPr>
              <w:spacing w:after="0"/>
              <w:rPr>
                <w:sz w:val="19"/>
                <w:szCs w:val="19"/>
                <w:color w:val="auto"/>
              </w:rPr>
            </w:pPr>
          </w:p>
        </w:tc>
        <w:tc>
          <w:tcPr>
            <w:tcW w:w="1620" w:type="dxa"/>
            <w:vAlign w:val="bottom"/>
            <w:gridSpan w:val="3"/>
            <w:vMerge w:val="restart"/>
          </w:tcPr>
          <w:p>
            <w:pPr>
              <w:jc w:val="center"/>
              <w:ind w:left="35"/>
              <w:spacing w:after="0"/>
              <w:rPr>
                <w:sz w:val="20"/>
                <w:szCs w:val="20"/>
                <w:color w:val="auto"/>
              </w:rPr>
            </w:pPr>
            <w:r>
              <w:rPr>
                <w:rFonts w:ascii="Arial" w:cs="Arial" w:eastAsia="Arial" w:hAnsi="Arial"/>
                <w:sz w:val="17"/>
                <w:szCs w:val="17"/>
                <w:color w:val="auto"/>
              </w:rPr>
              <w:t>January 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color w:val="auto"/>
              </w:rPr>
              <w:t>($ in millions)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gridSpan w:val="2"/>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8"/>
                <w:szCs w:val="18"/>
                <w:color w:val="auto"/>
              </w:rPr>
            </w:pPr>
          </w:p>
        </w:tc>
        <w:tc>
          <w:tcPr>
            <w:tcW w:w="1620" w:type="dxa"/>
            <w:vAlign w:val="bottom"/>
            <w:gridSpan w:val="3"/>
          </w:tcPr>
          <w:p>
            <w:pPr>
              <w:jc w:val="center"/>
              <w:ind w:left="75"/>
              <w:spacing w:after="0"/>
              <w:rPr>
                <w:sz w:val="20"/>
                <w:szCs w:val="20"/>
                <w:color w:val="auto"/>
              </w:rPr>
            </w:pPr>
            <w:r>
              <w:rPr>
                <w:rFonts w:ascii="Arial" w:cs="Arial" w:eastAsia="Arial" w:hAnsi="Arial"/>
                <w:sz w:val="17"/>
                <w:szCs w:val="17"/>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Owned properties:</w:t>
            </w: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ind w:left="100"/>
              <w:spacing w:after="0" w:line="189" w:lineRule="exact"/>
              <w:rPr>
                <w:sz w:val="20"/>
                <w:szCs w:val="20"/>
                <w:color w:val="auto"/>
              </w:rPr>
            </w:pPr>
            <w:r>
              <w:rPr>
                <w:rFonts w:ascii="Arial" w:cs="Arial" w:eastAsia="Arial" w:hAnsi="Arial"/>
                <w:sz w:val="17"/>
                <w:szCs w:val="17"/>
                <w:color w:val="auto"/>
              </w:rPr>
              <w:t>Land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jc w:val="right"/>
              <w:ind w:right="215"/>
              <w:spacing w:after="0" w:line="189" w:lineRule="exact"/>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6"/>
                <w:szCs w:val="16"/>
                <w:color w:val="auto"/>
              </w:rPr>
            </w:pPr>
          </w:p>
        </w:tc>
        <w:tc>
          <w:tcPr>
            <w:tcW w:w="780" w:type="dxa"/>
            <w:vAlign w:val="bottom"/>
          </w:tcPr>
          <w:p>
            <w:pPr>
              <w:jc w:val="right"/>
              <w:ind w:right="415"/>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Buildings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60" w:type="dxa"/>
            <w:vAlign w:val="bottom"/>
            <w:tcBorders>
              <w:bottom w:val="single" w:sz="8" w:color="auto"/>
            </w:tcBorders>
            <w:gridSpan w:val="7"/>
          </w:tcPr>
          <w:p>
            <w:pPr>
              <w:ind w:left="100"/>
              <w:spacing w:after="0" w:line="189" w:lineRule="exact"/>
              <w:rPr>
                <w:sz w:val="20"/>
                <w:szCs w:val="20"/>
                <w:color w:val="auto"/>
              </w:rPr>
            </w:pPr>
            <w:r>
              <w:rPr>
                <w:rFonts w:ascii="Arial" w:cs="Arial" w:eastAsia="Arial" w:hAnsi="Arial"/>
                <w:sz w:val="17"/>
                <w:szCs w:val="17"/>
                <w:color w:val="auto"/>
              </w:rPr>
              <w:t>Furniture, fixtures, equipment and software development costs</w:t>
            </w: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1,331</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1,382</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1,330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depreciation</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(902)</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480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spacing w:after="0" w:line="189" w:lineRule="exact"/>
              <w:rPr>
                <w:sz w:val="20"/>
                <w:szCs w:val="20"/>
                <w:color w:val="auto"/>
              </w:rPr>
            </w:pPr>
            <w:r>
              <w:rPr>
                <w:rFonts w:ascii="Arial" w:cs="Arial" w:eastAsia="Arial" w:hAnsi="Arial"/>
                <w:sz w:val="17"/>
                <w:szCs w:val="17"/>
                <w:b w:val="1"/>
                <w:bCs w:val="1"/>
                <w:color w:val="auto"/>
              </w:rPr>
              <w:t>Finance leases: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Assets under finance leases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65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amortization</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(6)</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59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540" w:type="dxa"/>
            <w:vAlign w:val="bottom"/>
            <w:gridSpan w:val="3"/>
          </w:tcPr>
          <w:p>
            <w:pPr>
              <w:spacing w:after="0" w:line="189" w:lineRule="exact"/>
              <w:rPr>
                <w:sz w:val="20"/>
                <w:szCs w:val="20"/>
                <w:color w:val="auto"/>
              </w:rPr>
            </w:pPr>
            <w:r>
              <w:rPr>
                <w:rFonts w:ascii="Arial" w:cs="Arial" w:eastAsia="Arial" w:hAnsi="Arial"/>
                <w:sz w:val="17"/>
                <w:szCs w:val="17"/>
                <w:b w:val="1"/>
                <w:bCs w:val="1"/>
                <w:color w:val="auto"/>
              </w:rPr>
              <w:t>Alterations to leased and owned buildings: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Cost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957</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974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Less: accumulated amortization</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(579)</w:t>
            </w: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378</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917</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788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2640" w:type="dxa"/>
            <w:vAlign w:val="bottom"/>
            <w:gridSpan w:val="2"/>
          </w:tcPr>
          <w:p>
            <w:pPr>
              <w:ind w:left="40"/>
              <w:spacing w:after="0"/>
              <w:rPr>
                <w:sz w:val="20"/>
                <w:szCs w:val="20"/>
                <w:color w:val="auto"/>
              </w:rPr>
            </w:pPr>
            <w:r>
              <w:rPr>
                <w:rFonts w:ascii="Arial" w:cs="Arial" w:eastAsia="Arial" w:hAnsi="Arial"/>
                <w:sz w:val="17"/>
                <w:szCs w:val="17"/>
                <w:b w:val="1"/>
                <w:bCs w:val="1"/>
                <w:color w:val="auto"/>
              </w:rPr>
              <w:t>9. Other Intangible Assets, net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535"/>
              <w:spacing w:after="0"/>
              <w:rPr>
                <w:sz w:val="20"/>
                <w:szCs w:val="20"/>
                <w:color w:val="auto"/>
              </w:rPr>
            </w:pPr>
            <w:r>
              <w:rPr>
                <w:rFonts w:ascii="Arial" w:cs="Arial" w:eastAsia="Arial" w:hAnsi="Arial"/>
                <w:sz w:val="17"/>
                <w:szCs w:val="17"/>
                <w:b w:val="1"/>
                <w:bCs w:val="1"/>
                <w:color w:val="auto"/>
              </w:rPr>
              <w:t>January 29, 2022</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475"/>
              <w:spacing w:after="0"/>
              <w:rPr>
                <w:sz w:val="20"/>
                <w:szCs w:val="20"/>
                <w:color w:val="auto"/>
              </w:rPr>
            </w:pPr>
            <w:r>
              <w:rPr>
                <w:rFonts w:ascii="Arial" w:cs="Arial" w:eastAsia="Arial" w:hAnsi="Arial"/>
                <w:sz w:val="17"/>
                <w:szCs w:val="17"/>
                <w:b w:val="1"/>
                <w:bCs w:val="1"/>
                <w:color w:val="auto"/>
              </w:rPr>
              <w:t>January 30, 2021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135"/>
              <w:spacing w:after="0" w:line="156" w:lineRule="exact"/>
              <w:rPr>
                <w:sz w:val="20"/>
                <w:szCs w:val="20"/>
                <w:color w:val="auto"/>
              </w:rPr>
            </w:pPr>
            <w:r>
              <w:rPr>
                <w:rFonts w:ascii="Arial" w:cs="Arial" w:eastAsia="Arial" w:hAnsi="Arial"/>
                <w:sz w:val="17"/>
                <w:szCs w:val="17"/>
                <w:b w:val="1"/>
                <w:bCs w:val="1"/>
                <w:color w:val="auto"/>
              </w:rPr>
              <w:t>Gross</w:t>
            </w:r>
          </w:p>
        </w:tc>
        <w:tc>
          <w:tcPr>
            <w:tcW w:w="920" w:type="dxa"/>
            <w:vAlign w:val="bottom"/>
            <w:gridSpan w:val="2"/>
          </w:tcPr>
          <w:p>
            <w:pPr>
              <w:jc w:val="right"/>
              <w:ind w:right="75"/>
              <w:spacing w:after="0" w:line="156" w:lineRule="exact"/>
              <w:rPr>
                <w:sz w:val="20"/>
                <w:szCs w:val="20"/>
                <w:color w:val="auto"/>
              </w:rPr>
            </w:pPr>
            <w:r>
              <w:rPr>
                <w:rFonts w:ascii="Arial" w:cs="Arial" w:eastAsia="Arial" w:hAnsi="Arial"/>
                <w:sz w:val="17"/>
                <w:szCs w:val="17"/>
                <w:b w:val="1"/>
                <w:bCs w:val="1"/>
                <w:color w:val="auto"/>
              </w:rPr>
              <w:t>Accum.</w:t>
            </w:r>
          </w:p>
        </w:tc>
        <w:tc>
          <w:tcPr>
            <w:tcW w:w="200" w:type="dxa"/>
            <w:vAlign w:val="bottom"/>
          </w:tcPr>
          <w:p>
            <w:pPr>
              <w:spacing w:after="0"/>
              <w:rPr>
                <w:sz w:val="13"/>
                <w:szCs w:val="13"/>
                <w:color w:val="auto"/>
              </w:rPr>
            </w:pPr>
          </w:p>
        </w:tc>
        <w:tc>
          <w:tcPr>
            <w:tcW w:w="700" w:type="dxa"/>
            <w:vAlign w:val="bottom"/>
          </w:tcPr>
          <w:p>
            <w:pPr>
              <w:jc w:val="right"/>
              <w:ind w:right="215"/>
              <w:spacing w:after="0" w:line="156" w:lineRule="exact"/>
              <w:rPr>
                <w:sz w:val="20"/>
                <w:szCs w:val="20"/>
                <w:color w:val="auto"/>
              </w:rPr>
            </w:pPr>
            <w:r>
              <w:rPr>
                <w:rFonts w:ascii="Arial" w:cs="Arial" w:eastAsia="Arial" w:hAnsi="Arial"/>
                <w:sz w:val="17"/>
                <w:szCs w:val="17"/>
                <w:b w:val="1"/>
                <w:bCs w:val="1"/>
                <w:color w:val="auto"/>
              </w:rPr>
              <w:t>Net</w:t>
            </w:r>
          </w:p>
        </w:tc>
        <w:tc>
          <w:tcPr>
            <w:tcW w:w="84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Life in</w:t>
            </w:r>
          </w:p>
        </w:tc>
        <w:tc>
          <w:tcPr>
            <w:tcW w:w="180" w:type="dxa"/>
            <w:vAlign w:val="bottom"/>
          </w:tcPr>
          <w:p>
            <w:pPr>
              <w:spacing w:after="0"/>
              <w:rPr>
                <w:sz w:val="13"/>
                <w:szCs w:val="13"/>
                <w:color w:val="auto"/>
              </w:rPr>
            </w:pPr>
          </w:p>
        </w:tc>
        <w:tc>
          <w:tcPr>
            <w:tcW w:w="800" w:type="dxa"/>
            <w:vAlign w:val="bottom"/>
          </w:tcPr>
          <w:p>
            <w:pPr>
              <w:jc w:val="right"/>
              <w:ind w:right="175"/>
              <w:spacing w:after="0" w:line="156" w:lineRule="exact"/>
              <w:rPr>
                <w:sz w:val="20"/>
                <w:szCs w:val="20"/>
                <w:color w:val="auto"/>
              </w:rPr>
            </w:pPr>
            <w:r>
              <w:rPr>
                <w:rFonts w:ascii="Arial" w:cs="Arial" w:eastAsia="Arial" w:hAnsi="Arial"/>
                <w:sz w:val="17"/>
                <w:szCs w:val="17"/>
                <w:b w:val="1"/>
                <w:bCs w:val="1"/>
                <w:color w:val="auto"/>
              </w:rPr>
              <w:t>Gross</w:t>
            </w:r>
          </w:p>
        </w:tc>
        <w:tc>
          <w:tcPr>
            <w:tcW w:w="100" w:type="dxa"/>
            <w:vAlign w:val="bottom"/>
          </w:tcPr>
          <w:p>
            <w:pPr>
              <w:spacing w:after="0"/>
              <w:rPr>
                <w:sz w:val="13"/>
                <w:szCs w:val="13"/>
                <w:color w:val="auto"/>
              </w:rPr>
            </w:pPr>
          </w:p>
        </w:tc>
        <w:tc>
          <w:tcPr>
            <w:tcW w:w="780" w:type="dxa"/>
            <w:vAlign w:val="bottom"/>
          </w:tcPr>
          <w:p>
            <w:pPr>
              <w:jc w:val="right"/>
              <w:ind w:right="75"/>
              <w:spacing w:after="0" w:line="156" w:lineRule="exact"/>
              <w:rPr>
                <w:sz w:val="20"/>
                <w:szCs w:val="20"/>
                <w:color w:val="auto"/>
              </w:rPr>
            </w:pPr>
            <w:r>
              <w:rPr>
                <w:rFonts w:ascii="Arial" w:cs="Arial" w:eastAsia="Arial" w:hAnsi="Arial"/>
                <w:sz w:val="17"/>
                <w:szCs w:val="17"/>
                <w:b w:val="1"/>
                <w:bCs w:val="1"/>
                <w:color w:val="auto"/>
                <w:w w:val="97"/>
              </w:rPr>
              <w:t>Accum.</w:t>
            </w:r>
          </w:p>
        </w:tc>
        <w:tc>
          <w:tcPr>
            <w:tcW w:w="200" w:type="dxa"/>
            <w:vAlign w:val="bottom"/>
          </w:tcPr>
          <w:p>
            <w:pPr>
              <w:spacing w:after="0"/>
              <w:rPr>
                <w:sz w:val="13"/>
                <w:szCs w:val="13"/>
                <w:color w:val="auto"/>
              </w:rPr>
            </w:pPr>
          </w:p>
        </w:tc>
        <w:tc>
          <w:tcPr>
            <w:tcW w:w="640" w:type="dxa"/>
            <w:vAlign w:val="bottom"/>
          </w:tcPr>
          <w:p>
            <w:pPr>
              <w:jc w:val="right"/>
              <w:ind w:right="155"/>
              <w:spacing w:after="0" w:line="156" w:lineRule="exact"/>
              <w:rPr>
                <w:sz w:val="20"/>
                <w:szCs w:val="20"/>
                <w:color w:val="auto"/>
              </w:rPr>
            </w:pPr>
            <w:r>
              <w:rPr>
                <w:rFonts w:ascii="Arial" w:cs="Arial" w:eastAsia="Arial" w:hAnsi="Arial"/>
                <w:sz w:val="17"/>
                <w:szCs w:val="17"/>
                <w:b w:val="1"/>
                <w:bCs w:val="1"/>
                <w:color w:val="auto"/>
              </w:rPr>
              <w:t>Net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660" w:type="dxa"/>
            <w:vAlign w:val="bottom"/>
            <w:gridSpan w:val="3"/>
          </w:tcPr>
          <w:p>
            <w:pPr>
              <w:spacing w:after="0"/>
              <w:rPr>
                <w:sz w:val="20"/>
                <w:szCs w:val="20"/>
                <w:color w:val="auto"/>
              </w:rPr>
            </w:pPr>
            <w:r>
              <w:rPr>
                <w:rFonts w:ascii="Arial" w:cs="Arial" w:eastAsia="Arial" w:hAnsi="Arial"/>
                <w:sz w:val="17"/>
                <w:szCs w:val="17"/>
                <w:color w:val="auto"/>
              </w:rPr>
              <w:t>($ in millions)</w:t>
            </w:r>
          </w:p>
        </w:tc>
        <w:tc>
          <w:tcPr>
            <w:tcW w:w="200" w:type="dxa"/>
            <w:vAlign w:val="bottom"/>
          </w:tcPr>
          <w:p>
            <w:pPr>
              <w:spacing w:after="0"/>
              <w:rPr>
                <w:sz w:val="18"/>
                <w:szCs w:val="18"/>
                <w:color w:val="auto"/>
              </w:rPr>
            </w:pPr>
          </w:p>
        </w:tc>
        <w:tc>
          <w:tcPr>
            <w:tcW w:w="740" w:type="dxa"/>
            <w:vAlign w:val="bottom"/>
          </w:tcPr>
          <w:p>
            <w:pPr>
              <w:jc w:val="right"/>
              <w:ind w:right="155"/>
              <w:spacing w:after="0"/>
              <w:rPr>
                <w:sz w:val="20"/>
                <w:szCs w:val="20"/>
                <w:color w:val="auto"/>
              </w:rPr>
            </w:pPr>
            <w:r>
              <w:rPr>
                <w:rFonts w:ascii="Arial" w:cs="Arial" w:eastAsia="Arial" w:hAnsi="Arial"/>
                <w:sz w:val="17"/>
                <w:szCs w:val="17"/>
                <w:b w:val="1"/>
                <w:bCs w:val="1"/>
                <w:color w:val="auto"/>
              </w:rPr>
              <w:t>value</w:t>
            </w:r>
          </w:p>
        </w:tc>
        <w:tc>
          <w:tcPr>
            <w:tcW w:w="18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amort.</w:t>
            </w:r>
          </w:p>
        </w:tc>
        <w:tc>
          <w:tcPr>
            <w:tcW w:w="200" w:type="dxa"/>
            <w:vAlign w:val="bottom"/>
          </w:tcPr>
          <w:p>
            <w:pPr>
              <w:spacing w:after="0"/>
              <w:rPr>
                <w:sz w:val="18"/>
                <w:szCs w:val="18"/>
                <w:color w:val="auto"/>
              </w:rPr>
            </w:pPr>
          </w:p>
        </w:tc>
        <w:tc>
          <w:tcPr>
            <w:tcW w:w="700" w:type="dxa"/>
            <w:vAlign w:val="bottom"/>
          </w:tcPr>
          <w:p>
            <w:pPr>
              <w:jc w:val="right"/>
              <w:ind w:right="135"/>
              <w:spacing w:after="0"/>
              <w:rPr>
                <w:sz w:val="20"/>
                <w:szCs w:val="20"/>
                <w:color w:val="auto"/>
              </w:rPr>
            </w:pPr>
            <w:r>
              <w:rPr>
                <w:rFonts w:ascii="Arial" w:cs="Arial" w:eastAsia="Arial" w:hAnsi="Arial"/>
                <w:sz w:val="17"/>
                <w:szCs w:val="17"/>
                <w:b w:val="1"/>
                <w:bCs w:val="1"/>
                <w:color w:val="auto"/>
              </w:rPr>
              <w:t>value</w:t>
            </w:r>
          </w:p>
        </w:tc>
        <w:tc>
          <w:tcPr>
            <w:tcW w:w="840" w:type="dxa"/>
            <w:vAlign w:val="bottom"/>
          </w:tcPr>
          <w:p>
            <w:pPr>
              <w:jc w:val="right"/>
              <w:spacing w:after="0" w:line="216" w:lineRule="exact"/>
              <w:rPr>
                <w:sz w:val="20"/>
                <w:szCs w:val="20"/>
                <w:color w:val="auto"/>
              </w:rPr>
            </w:pPr>
            <w:r>
              <w:rPr>
                <w:rFonts w:ascii="Arial" w:cs="Arial" w:eastAsia="Arial" w:hAnsi="Arial"/>
                <w:sz w:val="16"/>
                <w:szCs w:val="16"/>
                <w:b w:val="1"/>
                <w:bCs w:val="1"/>
                <w:color w:val="auto"/>
              </w:rPr>
              <w:t xml:space="preserve">Years </w:t>
            </w:r>
            <w:r>
              <w:rPr>
                <w:rFonts w:ascii="Arial" w:cs="Arial" w:eastAsia="Arial" w:hAnsi="Arial"/>
                <w:sz w:val="24"/>
                <w:szCs w:val="24"/>
                <w:b w:val="1"/>
                <w:bCs w:val="1"/>
                <w:color w:val="auto"/>
                <w:vertAlign w:val="superscript"/>
              </w:rPr>
              <w:t>(3)</w:t>
            </w:r>
          </w:p>
        </w:tc>
        <w:tc>
          <w:tcPr>
            <w:tcW w:w="180" w:type="dxa"/>
            <w:vAlign w:val="bottom"/>
          </w:tcPr>
          <w:p>
            <w:pPr>
              <w:spacing w:after="0"/>
              <w:rPr>
                <w:sz w:val="18"/>
                <w:szCs w:val="18"/>
                <w:color w:val="auto"/>
              </w:rPr>
            </w:pPr>
          </w:p>
        </w:tc>
        <w:tc>
          <w:tcPr>
            <w:tcW w:w="800" w:type="dxa"/>
            <w:vAlign w:val="bottom"/>
          </w:tcPr>
          <w:p>
            <w:pPr>
              <w:jc w:val="right"/>
              <w:ind w:right="215"/>
              <w:spacing w:after="0"/>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8"/>
                <w:szCs w:val="18"/>
                <w:color w:val="auto"/>
              </w:rPr>
            </w:pPr>
          </w:p>
        </w:tc>
        <w:tc>
          <w:tcPr>
            <w:tcW w:w="780" w:type="dxa"/>
            <w:vAlign w:val="bottom"/>
          </w:tcPr>
          <w:p>
            <w:pPr>
              <w:jc w:val="right"/>
              <w:ind w:right="115"/>
              <w:spacing w:after="0"/>
              <w:rPr>
                <w:sz w:val="20"/>
                <w:szCs w:val="20"/>
                <w:color w:val="auto"/>
              </w:rPr>
            </w:pPr>
            <w:r>
              <w:rPr>
                <w:rFonts w:ascii="Arial" w:cs="Arial" w:eastAsia="Arial" w:hAnsi="Arial"/>
                <w:sz w:val="17"/>
                <w:szCs w:val="17"/>
                <w:b w:val="1"/>
                <w:bCs w:val="1"/>
                <w:color w:val="auto"/>
              </w:rPr>
              <w:t>amort.</w:t>
            </w:r>
          </w:p>
        </w:tc>
        <w:tc>
          <w:tcPr>
            <w:tcW w:w="20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b w:val="1"/>
                <w:bCs w:val="1"/>
                <w:color w:val="auto"/>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21"/>
                <w:szCs w:val="21"/>
                <w:color w:val="auto"/>
                <w:vertAlign w:val="superscript"/>
              </w:rPr>
              <w:t>(1)</w:t>
            </w: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0" w:type="dxa"/>
            <w:vAlign w:val="bottom"/>
          </w:tcPr>
          <w:p>
            <w:pPr>
              <w:ind w:left="140"/>
              <w:spacing w:after="0" w:line="189" w:lineRule="exact"/>
              <w:rPr>
                <w:sz w:val="20"/>
                <w:szCs w:val="20"/>
                <w:color w:val="auto"/>
              </w:rPr>
            </w:pPr>
            <w:r>
              <w:rPr>
                <w:rFonts w:ascii="Arial" w:cs="Arial" w:eastAsia="Arial" w:hAnsi="Arial"/>
                <w:sz w:val="17"/>
                <w:szCs w:val="17"/>
                <w:color w:val="auto"/>
              </w:rPr>
              <w:t>Lease acquisition costs</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107</w:t>
            </w:r>
          </w:p>
        </w:tc>
        <w:tc>
          <w:tcPr>
            <w:tcW w:w="1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(104)</w:t>
            </w:r>
          </w:p>
        </w:tc>
        <w:tc>
          <w:tcPr>
            <w:tcW w:w="2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8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10.1</w:t>
            </w: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121</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(116)</w:t>
            </w:r>
          </w:p>
        </w:tc>
        <w:tc>
          <w:tcPr>
            <w:tcW w:w="20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0" w:type="dxa"/>
            <w:vAlign w:val="bottom"/>
            <w:shd w:val="clear" w:color="auto" w:fill="CCEEFF"/>
          </w:tcPr>
          <w:p>
            <w:pPr>
              <w:ind w:left="140"/>
              <w:spacing w:after="0" w:line="189" w:lineRule="exact"/>
              <w:rPr>
                <w:sz w:val="20"/>
                <w:szCs w:val="20"/>
                <w:color w:val="auto"/>
              </w:rPr>
            </w:pPr>
            <w:r>
              <w:rPr>
                <w:rFonts w:ascii="Arial" w:cs="Arial" w:eastAsia="Arial" w:hAnsi="Arial"/>
                <w:sz w:val="15"/>
                <w:szCs w:val="15"/>
                <w:color w:val="auto"/>
              </w:rPr>
              <w:t xml:space="preserve">Trademarks/tradenames </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7"/>
                <w:szCs w:val="17"/>
                <w:color w:val="auto"/>
              </w:rPr>
              <w:t>Customer lists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13</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11</w:t>
            </w:r>
          </w:p>
        </w:tc>
        <w:tc>
          <w:tcPr>
            <w:tcW w:w="8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3.0</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6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138</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(124)</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14</w:t>
            </w:r>
          </w:p>
        </w:tc>
        <w:tc>
          <w:tcPr>
            <w:tcW w:w="8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6.9</w:t>
            </w: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141</w:t>
            </w: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(133)</w:t>
            </w:r>
          </w:p>
        </w:tc>
        <w:tc>
          <w:tcPr>
            <w:tcW w:w="20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8</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4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7"/>
                <w:szCs w:val="17"/>
                <w:color w:val="auto"/>
              </w:rPr>
              <w:t>Trademarks/tradenames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440</w:t>
            </w:r>
          </w:p>
        </w:tc>
        <w:tc>
          <w:tcPr>
            <w:tcW w:w="8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640" w:type="dxa"/>
            <w:vAlign w:val="bottom"/>
            <w:tcBorders>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Other intangible assets, net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454</w:t>
            </w: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w:t>
            </w:r>
          </w:p>
        </w:tc>
        <w:tc>
          <w:tcPr>
            <w:tcW w:w="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80" w:right="80" w:hanging="330"/>
        <w:spacing w:after="0" w:line="238" w:lineRule="auto"/>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change in the ending balances also reflect the effect of foreign currency fluctuations due primarily to the movements of the euro in relation to the U.S. dollar.</w:t>
      </w:r>
    </w:p>
    <w:p>
      <w:pPr>
        <w:ind w:left="380" w:hanging="330"/>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 xml:space="preserve">Includes a non-cash impairment charge of $2 million recorded in 2021, see Note 4,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w:t>
      </w:r>
    </w:p>
    <w:p>
      <w:pPr>
        <w:ind w:left="380" w:hanging="330"/>
        <w:spacing w:after="0"/>
        <w:tabs>
          <w:tab w:leader="none" w:pos="3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Represents the weighted-average useful life as of January 29, 2022 and excludes those assets that are fully amortized.</w:t>
      </w:r>
    </w:p>
    <w:p>
      <w:pPr>
        <w:spacing w:after="0" w:line="183" w:lineRule="exact"/>
        <w:rPr>
          <w:sz w:val="20"/>
          <w:szCs w:val="20"/>
          <w:color w:val="auto"/>
        </w:rPr>
      </w:pPr>
    </w:p>
    <w:p>
      <w:pPr>
        <w:jc w:val="both"/>
        <w:ind w:left="60" w:right="60"/>
        <w:spacing w:after="0" w:line="235" w:lineRule="auto"/>
        <w:rPr>
          <w:sz w:val="20"/>
          <w:szCs w:val="20"/>
          <w:color w:val="auto"/>
        </w:rPr>
      </w:pPr>
      <w:r>
        <w:rPr>
          <w:rFonts w:ascii="Arial" w:cs="Arial" w:eastAsia="Arial" w:hAnsi="Arial"/>
          <w:sz w:val="17"/>
          <w:szCs w:val="17"/>
          <w:color w:val="auto"/>
        </w:rPr>
        <w:t>In connection with the acquisitions of WSS and atmos, we recognized indefinite life intangible assets of $296 million for WSS related tradenames, $135 million for atmos related tradenames, and a $13 million intangible asset for the WSS customer list that will be amortized over 3 years. Amortizing intangible assets primarily represent the WSS customer list, lease acquisition costs, which are amounts that are required to secure prime lease locations and other lease rights, primarily in Europe. Amortization expense recorded is as follows: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2020</w:t>
            </w:r>
          </w:p>
        </w:tc>
        <w:tc>
          <w:tcPr>
            <w:tcW w:w="4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30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Amortization expense</w:t>
            </w:r>
          </w:p>
        </w:tc>
        <w:tc>
          <w:tcPr>
            <w:tcW w:w="238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w:t>
            </w:r>
          </w:p>
        </w:tc>
        <w:tc>
          <w:tcPr>
            <w:tcW w:w="118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w:t>
            </w:r>
          </w:p>
        </w:tc>
      </w:tr>
    </w:tbl>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amortization expense for finite lived intangibles for the next five years is as follows: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in millions)</w:t>
      </w:r>
    </w:p>
    <w:tbl>
      <w:tblPr>
        <w:tblLayout w:type="fixed"/>
        <w:tblInd w:w="60" w:type="dxa"/>
        <w:tblCellMar>
          <w:top w:w="0" w:type="dxa"/>
          <w:left w:w="0" w:type="dxa"/>
          <w:bottom w:w="0" w:type="dxa"/>
          <w:right w:w="0" w:type="dxa"/>
        </w:tblCellMar>
      </w:tblPr>
      <w:tr>
        <w:trPr>
          <w:trHeight w:val="182"/>
        </w:trPr>
        <w:tc>
          <w:tcPr>
            <w:tcW w:w="4020" w:type="dxa"/>
            <w:vAlign w:val="bottom"/>
            <w:tcBorders>
              <w:top w:val="single" w:sz="8" w:color="auto"/>
            </w:tcBorders>
            <w:shd w:val="clear" w:color="auto" w:fill="CCEEFF"/>
          </w:tcPr>
          <w:p>
            <w:pPr>
              <w:jc w:val="right"/>
              <w:ind w:right="3555"/>
              <w:spacing w:after="0" w:line="183" w:lineRule="exact"/>
              <w:rPr>
                <w:sz w:val="20"/>
                <w:szCs w:val="20"/>
                <w:color w:val="auto"/>
              </w:rPr>
            </w:pPr>
            <w:r>
              <w:rPr>
                <w:rFonts w:ascii="Arial" w:cs="Arial" w:eastAsia="Arial" w:hAnsi="Arial"/>
                <w:sz w:val="17"/>
                <w:szCs w:val="17"/>
                <w:color w:val="auto"/>
                <w:w w:val="95"/>
              </w:rPr>
              <w:t>2022</w:t>
            </w:r>
          </w:p>
        </w:tc>
        <w:tc>
          <w:tcPr>
            <w:tcW w:w="4220" w:type="dxa"/>
            <w:vAlign w:val="bottom"/>
            <w:tcBorders>
              <w:top w:val="single" w:sz="8" w:color="auto"/>
            </w:tcBorders>
            <w:shd w:val="clear" w:color="auto" w:fill="CCEEFF"/>
          </w:tcPr>
          <w:p>
            <w:pPr>
              <w:jc w:val="right"/>
              <w:ind w:right="395"/>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r>
        <w:trPr>
          <w:trHeight w:val="189"/>
        </w:trPr>
        <w:tc>
          <w:tcPr>
            <w:tcW w:w="4020" w:type="dxa"/>
            <w:vAlign w:val="bottom"/>
          </w:tcPr>
          <w:p>
            <w:pPr>
              <w:jc w:val="right"/>
              <w:ind w:right="3555"/>
              <w:spacing w:after="0" w:line="189" w:lineRule="exact"/>
              <w:rPr>
                <w:sz w:val="20"/>
                <w:szCs w:val="20"/>
                <w:color w:val="auto"/>
              </w:rPr>
            </w:pPr>
            <w:r>
              <w:rPr>
                <w:rFonts w:ascii="Arial" w:cs="Arial" w:eastAsia="Arial" w:hAnsi="Arial"/>
                <w:sz w:val="17"/>
                <w:szCs w:val="17"/>
                <w:color w:val="auto"/>
                <w:w w:val="95"/>
              </w:rPr>
              <w:t>2023</w:t>
            </w:r>
          </w:p>
        </w:tc>
        <w:tc>
          <w:tcPr>
            <w:tcW w:w="42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5</w:t>
            </w:r>
          </w:p>
        </w:tc>
      </w:tr>
      <w:tr>
        <w:trPr>
          <w:trHeight w:val="189"/>
        </w:trPr>
        <w:tc>
          <w:tcPr>
            <w:tcW w:w="4020" w:type="dxa"/>
            <w:vAlign w:val="bottom"/>
            <w:shd w:val="clear" w:color="auto" w:fill="CCEEFF"/>
          </w:tcPr>
          <w:p>
            <w:pPr>
              <w:jc w:val="right"/>
              <w:ind w:right="3555"/>
              <w:spacing w:after="0" w:line="189" w:lineRule="exact"/>
              <w:rPr>
                <w:sz w:val="20"/>
                <w:szCs w:val="20"/>
                <w:color w:val="auto"/>
              </w:rPr>
            </w:pPr>
            <w:r>
              <w:rPr>
                <w:rFonts w:ascii="Arial" w:cs="Arial" w:eastAsia="Arial" w:hAnsi="Arial"/>
                <w:sz w:val="17"/>
                <w:szCs w:val="17"/>
                <w:color w:val="auto"/>
                <w:w w:val="95"/>
              </w:rPr>
              <w:t>2024</w:t>
            </w:r>
          </w:p>
        </w:tc>
        <w:tc>
          <w:tcPr>
            <w:tcW w:w="4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4020" w:type="dxa"/>
            <w:vAlign w:val="bottom"/>
          </w:tcPr>
          <w:p>
            <w:pPr>
              <w:jc w:val="right"/>
              <w:ind w:right="3555"/>
              <w:spacing w:after="0" w:line="189" w:lineRule="exact"/>
              <w:rPr>
                <w:sz w:val="20"/>
                <w:szCs w:val="20"/>
                <w:color w:val="auto"/>
              </w:rPr>
            </w:pPr>
            <w:r>
              <w:rPr>
                <w:rFonts w:ascii="Arial" w:cs="Arial" w:eastAsia="Arial" w:hAnsi="Arial"/>
                <w:sz w:val="17"/>
                <w:szCs w:val="17"/>
                <w:color w:val="auto"/>
                <w:w w:val="95"/>
              </w:rPr>
              <w:t>2025</w:t>
            </w:r>
          </w:p>
        </w:tc>
        <w:tc>
          <w:tcPr>
            <w:tcW w:w="42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4020" w:type="dxa"/>
            <w:vAlign w:val="bottom"/>
            <w:tcBorders>
              <w:bottom w:val="single" w:sz="8" w:color="auto"/>
            </w:tcBorders>
            <w:shd w:val="clear" w:color="auto" w:fill="CCEEFF"/>
          </w:tcPr>
          <w:p>
            <w:pPr>
              <w:jc w:val="right"/>
              <w:ind w:right="3555"/>
              <w:spacing w:after="0" w:line="189" w:lineRule="exact"/>
              <w:rPr>
                <w:sz w:val="20"/>
                <w:szCs w:val="20"/>
                <w:color w:val="auto"/>
              </w:rPr>
            </w:pPr>
            <w:r>
              <w:rPr>
                <w:rFonts w:ascii="Arial" w:cs="Arial" w:eastAsia="Arial" w:hAnsi="Arial"/>
                <w:sz w:val="17"/>
                <w:szCs w:val="17"/>
                <w:color w:val="auto"/>
                <w:w w:val="95"/>
              </w:rPr>
              <w:t>2026</w:t>
            </w:r>
          </w:p>
        </w:tc>
        <w:tc>
          <w:tcPr>
            <w:tcW w:w="4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bl>
    <w:p>
      <w:pPr>
        <w:spacing w:after="0" w:line="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264" w:right="14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5000" w:type="dxa"/>
            <w:vAlign w:val="bottom"/>
          </w:tcPr>
          <w:p>
            <w:pPr>
              <w:spacing w:after="0"/>
              <w:rPr>
                <w:sz w:val="20"/>
                <w:szCs w:val="20"/>
                <w:color w:val="auto"/>
              </w:rPr>
            </w:pPr>
            <w:r>
              <w:rPr>
                <w:rFonts w:ascii="Arial" w:cs="Arial" w:eastAsia="Arial" w:hAnsi="Arial"/>
                <w:sz w:val="17"/>
                <w:szCs w:val="17"/>
                <w:b w:val="1"/>
                <w:bCs w:val="1"/>
                <w:color w:val="auto"/>
              </w:rPr>
              <w:t>10. Other Assets</w:t>
            </w: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29"/>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rPr>
              <w:t>January 29,</w:t>
            </w:r>
          </w:p>
        </w:tc>
        <w:tc>
          <w:tcPr>
            <w:tcW w:w="320" w:type="dxa"/>
            <w:vAlign w:val="bottom"/>
          </w:tcPr>
          <w:p>
            <w:pPr>
              <w:spacing w:after="0"/>
              <w:rPr>
                <w:sz w:val="24"/>
                <w:szCs w:val="24"/>
                <w:color w:val="auto"/>
              </w:rPr>
            </w:pPr>
          </w:p>
        </w:tc>
        <w:tc>
          <w:tcPr>
            <w:tcW w:w="1240" w:type="dxa"/>
            <w:vAlign w:val="bottom"/>
          </w:tcPr>
          <w:p>
            <w:pPr>
              <w:jc w:val="center"/>
              <w:ind w:right="135"/>
              <w:spacing w:after="0"/>
              <w:rPr>
                <w:sz w:val="20"/>
                <w:szCs w:val="20"/>
                <w:color w:val="auto"/>
              </w:rPr>
            </w:pPr>
            <w:r>
              <w:rPr>
                <w:rFonts w:ascii="Arial" w:cs="Arial" w:eastAsia="Arial" w:hAnsi="Arial"/>
                <w:sz w:val="17"/>
                <w:szCs w:val="17"/>
                <w:color w:val="auto"/>
              </w:rPr>
              <w:t>January 30,</w:t>
            </w:r>
          </w:p>
        </w:tc>
      </w:tr>
      <w:tr>
        <w:trPr>
          <w:trHeight w:val="215"/>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rPr>
              <w:t>2021</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Restricted cash</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38</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30</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Security deposits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33</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Pension asset</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21</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Auction rate security</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22</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3"/>
        </w:trPr>
        <w:tc>
          <w:tcPr>
            <w:tcW w:w="5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121</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90</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68"/>
        </w:trPr>
        <w:tc>
          <w:tcPr>
            <w:tcW w:w="5000" w:type="dxa"/>
            <w:vAlign w:val="bottom"/>
          </w:tcPr>
          <w:p>
            <w:pPr>
              <w:spacing w:after="0"/>
              <w:rPr>
                <w:sz w:val="20"/>
                <w:szCs w:val="20"/>
                <w:color w:val="auto"/>
              </w:rPr>
            </w:pPr>
            <w:r>
              <w:rPr>
                <w:rFonts w:ascii="Arial" w:cs="Arial" w:eastAsia="Arial" w:hAnsi="Arial"/>
                <w:sz w:val="17"/>
                <w:szCs w:val="17"/>
                <w:b w:val="1"/>
                <w:bCs w:val="1"/>
                <w:color w:val="auto"/>
              </w:rPr>
              <w:t>11. Accrued and Other Liabilities</w:t>
            </w: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2"/>
        </w:trPr>
        <w:tc>
          <w:tcPr>
            <w:tcW w:w="5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jc w:val="center"/>
              <w:ind w:right="135"/>
              <w:spacing w:after="0"/>
              <w:rPr>
                <w:sz w:val="20"/>
                <w:szCs w:val="20"/>
                <w:color w:val="auto"/>
              </w:rPr>
            </w:pPr>
            <w:r>
              <w:rPr>
                <w:rFonts w:ascii="Arial" w:cs="Arial" w:eastAsia="Arial" w:hAnsi="Arial"/>
                <w:sz w:val="17"/>
                <w:szCs w:val="17"/>
                <w:b w:val="1"/>
                <w:bCs w:val="1"/>
                <w:color w:val="auto"/>
              </w:rPr>
              <w:t>January 29,</w:t>
            </w:r>
          </w:p>
        </w:tc>
        <w:tc>
          <w:tcPr>
            <w:tcW w:w="320" w:type="dxa"/>
            <w:vAlign w:val="bottom"/>
          </w:tcPr>
          <w:p>
            <w:pPr>
              <w:spacing w:after="0"/>
              <w:rPr>
                <w:sz w:val="24"/>
                <w:szCs w:val="24"/>
                <w:color w:val="auto"/>
              </w:rPr>
            </w:pPr>
          </w:p>
        </w:tc>
        <w:tc>
          <w:tcPr>
            <w:tcW w:w="1240" w:type="dxa"/>
            <w:vAlign w:val="bottom"/>
          </w:tcPr>
          <w:p>
            <w:pPr>
              <w:jc w:val="center"/>
              <w:ind w:right="135"/>
              <w:spacing w:after="0"/>
              <w:rPr>
                <w:sz w:val="20"/>
                <w:szCs w:val="20"/>
                <w:color w:val="auto"/>
              </w:rPr>
            </w:pPr>
            <w:r>
              <w:rPr>
                <w:rFonts w:ascii="Arial" w:cs="Arial" w:eastAsia="Arial" w:hAnsi="Arial"/>
                <w:sz w:val="17"/>
                <w:szCs w:val="17"/>
                <w:color w:val="auto"/>
              </w:rPr>
              <w:t>January 30,</w:t>
            </w:r>
          </w:p>
        </w:tc>
      </w:tr>
      <w:tr>
        <w:trPr>
          <w:trHeight w:val="215"/>
        </w:trPr>
        <w:tc>
          <w:tcPr>
            <w:tcW w:w="5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0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rPr>
              <w:t>2021</w:t>
            </w:r>
          </w:p>
        </w:tc>
      </w:tr>
      <w:tr>
        <w:trPr>
          <w:trHeight w:val="183"/>
        </w:trPr>
        <w:tc>
          <w:tcPr>
            <w:tcW w:w="50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Incentive bonuses</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82</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72</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Other payroll and payroll related costs, excluding taxes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78</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73</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Taxes other than income taxes</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75</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Rent related costs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57</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40</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Property and equipment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58</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Customer deposits</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49</w:t>
            </w:r>
          </w:p>
        </w:tc>
      </w:tr>
      <w:tr>
        <w:trPr>
          <w:trHeight w:val="189"/>
        </w:trPr>
        <w:tc>
          <w:tcPr>
            <w:tcW w:w="50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Advertising</w:t>
            </w:r>
          </w:p>
        </w:tc>
        <w:tc>
          <w:tcPr>
            <w:tcW w:w="10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34</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r>
      <w:tr>
        <w:trPr>
          <w:trHeight w:val="189"/>
        </w:trPr>
        <w:tc>
          <w:tcPr>
            <w:tcW w:w="5000" w:type="dxa"/>
            <w:vAlign w:val="bottom"/>
          </w:tcPr>
          <w:p>
            <w:pPr>
              <w:spacing w:after="0" w:line="189" w:lineRule="exact"/>
              <w:rPr>
                <w:sz w:val="20"/>
                <w:szCs w:val="20"/>
                <w:color w:val="auto"/>
              </w:rPr>
            </w:pPr>
            <w:r>
              <w:rPr>
                <w:rFonts w:ascii="Arial" w:cs="Arial" w:eastAsia="Arial" w:hAnsi="Arial"/>
                <w:sz w:val="17"/>
                <w:szCs w:val="17"/>
                <w:color w:val="auto"/>
              </w:rPr>
              <w:t>Income taxes payable</w:t>
            </w:r>
          </w:p>
        </w:tc>
        <w:tc>
          <w:tcPr>
            <w:tcW w:w="1020" w:type="dxa"/>
            <w:vAlign w:val="bottom"/>
          </w:tcPr>
          <w:p>
            <w:pPr>
              <w:spacing w:after="0"/>
              <w:rPr>
                <w:sz w:val="16"/>
                <w:szCs w:val="16"/>
                <w:color w:val="auto"/>
              </w:rPr>
            </w:pPr>
          </w:p>
        </w:tc>
        <w:tc>
          <w:tcPr>
            <w:tcW w:w="132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81</w:t>
            </w:r>
          </w:p>
        </w:tc>
      </w:tr>
      <w:tr>
        <w:trPr>
          <w:trHeight w:val="189"/>
        </w:trPr>
        <w:tc>
          <w:tcPr>
            <w:tcW w:w="5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116</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91</w:t>
            </w:r>
          </w:p>
        </w:tc>
      </w:tr>
      <w:tr>
        <w:trPr>
          <w:trHeight w:val="183"/>
        </w:trPr>
        <w:tc>
          <w:tcPr>
            <w:tcW w:w="50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561</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560</w:t>
            </w:r>
          </w:p>
        </w:tc>
      </w:tr>
    </w:tbl>
    <w:p>
      <w:pPr>
        <w:spacing w:after="0" w:line="107" w:lineRule="exact"/>
        <w:rPr>
          <w:sz w:val="20"/>
          <w:szCs w:val="20"/>
          <w:color w:val="auto"/>
        </w:rPr>
      </w:pPr>
    </w:p>
    <w:p>
      <w:pPr>
        <w:ind w:left="380" w:hanging="330"/>
        <w:spacing w:after="0"/>
        <w:tabs>
          <w:tab w:leader="none" w:pos="3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Accruals for property and equipment are excluded from the Statements of Cash Flows for all years presented.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12. Revolving Credit Facility</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On July 14, 2020, we amended our then-existing revolving credit agreement to provide for a $600 million asset-based revolving credit facility that is scheduled to mature on July 14, 2025 (as amended, “2020 Credit Agreement”). Under the 2020 Credit Agreement interest was determined, at our option, by either (1) the eurodollar rate, which is determined by reference to LIBOR, plus a margin of 1.75% to 2.25% per annum, or (2) the base rate, which is determined by reference to the federal funds rate, plus a margin of 0.75% to 1.25%, in each case. In addition, the commitment fee was 0.50% per annum on the unused portion of the commitments under the 2020 Credit Agreement.</w:t>
      </w:r>
    </w:p>
    <w:p>
      <w:pPr>
        <w:spacing w:after="0" w:line="202"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In the second quarter of 2021, we entered into an amendment to the 2020 Credit Agreement (“Amended Credit Agreement”). The amendment provides for, among other things, (i) reducing the interest rates and commitment fees applicable to the loans and commitments, respectively, as described below, and (ii) reducing the “floor” applicable. The amendment provides that the interest rate applicable to loans drawn under the credit facility will be equal to, at our option, either a base rate, determined by reference to the federal funds rate, plus a margin of 0.25% to 0.75% per annum, or a Eurodollar rate, determined by reference to LIBOR, plus a margin of 1.25% to 1.75% per annum, in each case, depending on availability under the Amended Credit Agreement. In addition, we will pay a commitment fee of 0.25% per annum on the unused portion of the commitments under the Amended Credit Agreement. On October 1, 2021, WSS became a party to, and bound by the terms of the Amended Credit Agreement and other applicable Loan Documents (as defined in the Amended Credit Agreement) as guarantor. No events of default occurred during 2021.</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may use letters of credit issued pursuant to the 2020 Credit Agreement to, among other things, support standby letters of credit in connection with insurance programs. The letters of credit outstanding as of January 29, 2022 were not significant.</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paid fees of $1 million in connection with the amendment of our credit facility and such costs are amortized over the life of the facility. The unamortized balance at January 29, 2022 was $4 million. Interest expense, including facility fees, related to the revolving credit facility was $3 million, $5 million, and $1 million for 2021, 2020, and 2019, respectively.</w:t>
      </w:r>
    </w:p>
    <w:p>
      <w:pPr>
        <w:spacing w:after="0" w:line="149"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1" w:name="page62"/>
    <w:bookmarkEnd w:id="61"/>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13. Long-Term Debt and Obligations Under Finance Leases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components of long-term debt and obligations under finance leases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jc w:val="right"/>
              <w:ind w:right="295"/>
              <w:spacing w:after="0"/>
              <w:rPr>
                <w:sz w:val="20"/>
                <w:szCs w:val="20"/>
                <w:color w:val="auto"/>
              </w:rPr>
            </w:pPr>
            <w:r>
              <w:rPr>
                <w:rFonts w:ascii="Arial" w:cs="Arial" w:eastAsia="Arial" w:hAnsi="Arial"/>
                <w:sz w:val="17"/>
                <w:szCs w:val="17"/>
                <w:b w:val="1"/>
                <w:bCs w:val="1"/>
                <w:color w:val="auto"/>
              </w:rPr>
              <w:t>January 29,</w:t>
            </w:r>
          </w:p>
        </w:tc>
        <w:tc>
          <w:tcPr>
            <w:tcW w:w="340" w:type="dxa"/>
            <w:vAlign w:val="bottom"/>
          </w:tcPr>
          <w:p>
            <w:pPr>
              <w:spacing w:after="0"/>
              <w:rPr>
                <w:sz w:val="16"/>
                <w:szCs w:val="16"/>
                <w:color w:val="auto"/>
              </w:rPr>
            </w:pPr>
          </w:p>
        </w:tc>
        <w:tc>
          <w:tcPr>
            <w:tcW w:w="1300" w:type="dxa"/>
            <w:vAlign w:val="bottom"/>
          </w:tcPr>
          <w:p>
            <w:pPr>
              <w:jc w:val="right"/>
              <w:ind w:right="215"/>
              <w:spacing w:after="0"/>
              <w:rPr>
                <w:sz w:val="20"/>
                <w:szCs w:val="20"/>
                <w:color w:val="auto"/>
              </w:rPr>
            </w:pPr>
            <w:r>
              <w:rPr>
                <w:rFonts w:ascii="Arial" w:cs="Arial" w:eastAsia="Arial" w:hAnsi="Arial"/>
                <w:sz w:val="17"/>
                <w:szCs w:val="17"/>
                <w:color w:val="auto"/>
              </w:rPr>
              <w:t>January 30,</w:t>
            </w:r>
          </w:p>
        </w:tc>
      </w:tr>
      <w:tr>
        <w:trPr>
          <w:trHeight w:val="215"/>
        </w:trPr>
        <w:tc>
          <w:tcPr>
            <w:tcW w:w="5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7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2021</w:t>
            </w:r>
          </w:p>
        </w:tc>
      </w:tr>
      <w:tr>
        <w:trPr>
          <w:trHeight w:val="183"/>
        </w:trPr>
        <w:tc>
          <w:tcPr>
            <w:tcW w:w="5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4% Senior Notes due 2029</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394</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7"/>
                <w:szCs w:val="17"/>
                <w:color w:val="auto"/>
              </w:rPr>
              <w:t>8.5% debentures paid January 2022</w:t>
            </w:r>
          </w:p>
        </w:tc>
        <w:tc>
          <w:tcPr>
            <w:tcW w:w="760" w:type="dxa"/>
            <w:vAlign w:val="bottom"/>
          </w:tcPr>
          <w:p>
            <w:pPr>
              <w:spacing w:after="0"/>
              <w:rPr>
                <w:sz w:val="16"/>
                <w:szCs w:val="16"/>
                <w:color w:val="auto"/>
              </w:rPr>
            </w:pPr>
          </w:p>
        </w:tc>
        <w:tc>
          <w:tcPr>
            <w:tcW w:w="14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98</w:t>
            </w: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Unamortized gain related to interest rate swaps </w:t>
            </w:r>
            <w:r>
              <w:rPr>
                <w:rFonts w:ascii="Arial" w:cs="Arial" w:eastAsia="Arial" w:hAnsi="Arial"/>
                <w:sz w:val="21"/>
                <w:szCs w:val="21"/>
                <w:color w:val="auto"/>
                <w:vertAlign w:val="superscript"/>
              </w:rPr>
              <w:t>(1)</w:t>
            </w:r>
          </w:p>
        </w:tc>
        <w:tc>
          <w:tcPr>
            <w:tcW w:w="7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Obligations under finance leases</w:t>
            </w: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63</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w:t>
            </w:r>
          </w:p>
        </w:tc>
      </w:tr>
      <w:tr>
        <w:trPr>
          <w:trHeight w:val="183"/>
        </w:trPr>
        <w:tc>
          <w:tcPr>
            <w:tcW w:w="5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4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457</w:t>
            </w:r>
          </w:p>
        </w:tc>
        <w:tc>
          <w:tcPr>
            <w:tcW w:w="3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110</w:t>
            </w:r>
          </w:p>
        </w:tc>
      </w:tr>
      <w:tr>
        <w:trPr>
          <w:trHeight w:val="189"/>
        </w:trPr>
        <w:tc>
          <w:tcPr>
            <w:tcW w:w="51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Current portion of debt and obligations under finance leases</w:t>
            </w:r>
          </w:p>
        </w:tc>
        <w:tc>
          <w:tcPr>
            <w:tcW w:w="7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6</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102</w:t>
            </w:r>
          </w:p>
        </w:tc>
      </w:tr>
      <w:tr>
        <w:trPr>
          <w:trHeight w:val="183"/>
        </w:trPr>
        <w:tc>
          <w:tcPr>
            <w:tcW w:w="5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451</w:t>
            </w:r>
          </w:p>
        </w:tc>
        <w:tc>
          <w:tcPr>
            <w:tcW w:w="34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80" w:right="79" w:hanging="330"/>
        <w:spacing w:after="0" w:line="258" w:lineRule="auto"/>
        <w:tabs>
          <w:tab w:leader="none" w:pos="3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 2009, we terminated an interest rate swap at a gain. This gain was amortized as part of interest expense over the term of the debt using the effective-yield method.</w:t>
      </w:r>
    </w:p>
    <w:p>
      <w:pPr>
        <w:spacing w:after="0" w:line="15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During 2021 we completed the sale of $400 million aggregate principal amount of 4% Senior Notes due 2029 (the “4% Notes”). We received net proceeds from the offering of $395 million, after deducting the initial purchasers’ discount. The proceeds will be used for general corporate purposes.</w:t>
      </w:r>
    </w:p>
    <w:p>
      <w:pPr>
        <w:spacing w:after="0" w:line="188" w:lineRule="exact"/>
        <w:rPr>
          <w:sz w:val="20"/>
          <w:szCs w:val="20"/>
          <w:color w:val="auto"/>
        </w:rPr>
      </w:pPr>
    </w:p>
    <w:p>
      <w:pPr>
        <w:jc w:val="both"/>
        <w:ind w:left="60" w:right="79"/>
        <w:spacing w:after="0" w:line="235" w:lineRule="auto"/>
        <w:rPr>
          <w:sz w:val="20"/>
          <w:szCs w:val="20"/>
          <w:color w:val="auto"/>
        </w:rPr>
      </w:pPr>
      <w:r>
        <w:rPr>
          <w:rFonts w:ascii="Arial" w:cs="Arial" w:eastAsia="Arial" w:hAnsi="Arial"/>
          <w:sz w:val="17"/>
          <w:szCs w:val="17"/>
          <w:color w:val="auto"/>
        </w:rPr>
        <w:t>The 4% Notes were issued pursuant to an indenture by and among the Company, certain guarantors from time to time party thereto, and U.S. Bank National Association, as trustee. The 4% Notes are the senior unsecured, unsubordinated obligations of the Company and are guaranteed, jointly and severally, by the Company’s current and, subject to certain exceptions, future subsidiaries that guarantee the Company’s secured revolving credit facility or certain other debt of the Company or the guarantors.</w:t>
      </w:r>
    </w:p>
    <w:p>
      <w:pPr>
        <w:spacing w:after="0" w:line="17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Interest expense related to long-term debt and the amortization of the associated debt issuance costs was $12 million for 2021 and $8 million for both 2020 and 2019.</w:t>
      </w:r>
    </w:p>
    <w:p>
      <w:pPr>
        <w:spacing w:after="0" w:line="124"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5160" w:type="dxa"/>
            <w:vAlign w:val="bottom"/>
          </w:tcPr>
          <w:p>
            <w:pPr>
              <w:spacing w:after="0"/>
              <w:rPr>
                <w:sz w:val="20"/>
                <w:szCs w:val="20"/>
                <w:color w:val="auto"/>
              </w:rPr>
            </w:pPr>
            <w:r>
              <w:rPr>
                <w:rFonts w:ascii="Arial" w:cs="Arial" w:eastAsia="Arial" w:hAnsi="Arial"/>
                <w:sz w:val="17"/>
                <w:szCs w:val="17"/>
                <w:b w:val="1"/>
                <w:bCs w:val="1"/>
                <w:color w:val="auto"/>
              </w:rPr>
              <w:t>14. Other Liabilities</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2"/>
        </w:trPr>
        <w:tc>
          <w:tcPr>
            <w:tcW w:w="5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jc w:val="right"/>
              <w:ind w:right="95"/>
              <w:spacing w:after="0"/>
              <w:rPr>
                <w:sz w:val="20"/>
                <w:szCs w:val="20"/>
                <w:color w:val="auto"/>
              </w:rPr>
            </w:pPr>
            <w:r>
              <w:rPr>
                <w:rFonts w:ascii="Arial" w:cs="Arial" w:eastAsia="Arial" w:hAnsi="Arial"/>
                <w:sz w:val="17"/>
                <w:szCs w:val="17"/>
                <w:b w:val="1"/>
                <w:bCs w:val="1"/>
                <w:color w:val="auto"/>
              </w:rPr>
              <w:t>January 29,</w:t>
            </w:r>
          </w:p>
        </w:tc>
        <w:tc>
          <w:tcPr>
            <w:tcW w:w="260" w:type="dxa"/>
            <w:vAlign w:val="bottom"/>
          </w:tcPr>
          <w:p>
            <w:pPr>
              <w:spacing w:after="0"/>
              <w:rPr>
                <w:sz w:val="24"/>
                <w:szCs w:val="24"/>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w w:val="99"/>
              </w:rPr>
              <w:t>January 30,</w:t>
            </w:r>
          </w:p>
        </w:tc>
      </w:tr>
      <w:tr>
        <w:trPr>
          <w:trHeight w:val="215"/>
        </w:trPr>
        <w:tc>
          <w:tcPr>
            <w:tcW w:w="5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2021</w:t>
            </w:r>
          </w:p>
        </w:tc>
      </w:tr>
      <w:tr>
        <w:trPr>
          <w:trHeight w:val="183"/>
        </w:trPr>
        <w:tc>
          <w:tcPr>
            <w:tcW w:w="5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taxes</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224</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7"/>
                <w:szCs w:val="17"/>
                <w:color w:val="auto"/>
              </w:rPr>
              <w:t>Contingent consideration</w:t>
            </w:r>
          </w:p>
        </w:tc>
        <w:tc>
          <w:tcPr>
            <w:tcW w:w="126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35</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taxes</w:t>
            </w: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28</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126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16</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38</w:t>
            </w:r>
          </w:p>
        </w:tc>
      </w:tr>
      <w:tr>
        <w:trPr>
          <w:trHeight w:val="189"/>
        </w:trPr>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Postretirement benefits</w:t>
            </w:r>
          </w:p>
        </w:tc>
        <w:tc>
          <w:tcPr>
            <w:tcW w:w="1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7"/>
                <w:szCs w:val="17"/>
                <w:color w:val="auto"/>
              </w:rPr>
              <w:t>Workers’ compensation and general liability reserves</w:t>
            </w:r>
          </w:p>
        </w:tc>
        <w:tc>
          <w:tcPr>
            <w:tcW w:w="1260" w:type="dxa"/>
            <w:vAlign w:val="bottom"/>
          </w:tcPr>
          <w:p>
            <w:pPr>
              <w:spacing w:after="0"/>
              <w:rPr>
                <w:sz w:val="16"/>
                <w:szCs w:val="16"/>
                <w:color w:val="auto"/>
              </w:rPr>
            </w:pPr>
          </w:p>
        </w:tc>
        <w:tc>
          <w:tcPr>
            <w:tcW w:w="11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8</w:t>
            </w:r>
          </w:p>
        </w:tc>
        <w:tc>
          <w:tcPr>
            <w:tcW w:w="26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9"/>
        </w:trPr>
        <w:tc>
          <w:tcPr>
            <w:tcW w:w="51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1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21</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218"/>
        </w:trPr>
        <w:tc>
          <w:tcPr>
            <w:tcW w:w="5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35"/>
              <w:spacing w:after="0"/>
              <w:rPr>
                <w:sz w:val="20"/>
                <w:szCs w:val="20"/>
                <w:color w:val="auto"/>
              </w:rPr>
            </w:pPr>
            <w:r>
              <w:rPr>
                <w:rFonts w:ascii="Arial" w:cs="Arial" w:eastAsia="Arial" w:hAnsi="Arial"/>
                <w:sz w:val="17"/>
                <w:szCs w:val="17"/>
                <w:b w:val="1"/>
                <w:bCs w:val="1"/>
                <w:color w:val="auto"/>
              </w:rPr>
              <w:t>343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-21590</wp:posOffset>
            </wp:positionV>
            <wp:extent cx="56489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4896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-4445</wp:posOffset>
            </wp:positionV>
            <wp:extent cx="56489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ind w:left="60"/>
        <w:spacing w:after="0" w:line="221" w:lineRule="auto"/>
        <w:rPr>
          <w:sz w:val="20"/>
          <w:szCs w:val="20"/>
          <w:color w:val="auto"/>
        </w:rPr>
      </w:pPr>
      <w:r>
        <w:rPr>
          <w:rFonts w:ascii="Arial" w:cs="Arial" w:eastAsia="Arial" w:hAnsi="Arial"/>
          <w:sz w:val="4"/>
          <w:szCs w:val="4"/>
          <w:color w:val="auto"/>
        </w:rPr>
        <w: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15. Leases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majority of our leases are operating leases for our company-operated retail store locations. We also lease, among other things, distribution and warehouse facilities, and office space for corporate administrative purposes. Operating lease periods generally range from 5 to 10 years and generally contain rent escalation provisions. Some of the store leases contain renewal options with varying terms and conditions.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900" w:type="dxa"/>
            <w:vAlign w:val="bottom"/>
          </w:tcPr>
          <w:p>
            <w:pPr>
              <w:ind w:left="20"/>
              <w:spacing w:after="0"/>
              <w:rPr>
                <w:sz w:val="20"/>
                <w:szCs w:val="20"/>
                <w:color w:val="auto"/>
              </w:rPr>
            </w:pPr>
            <w:r>
              <w:rPr>
                <w:rFonts w:ascii="Arial" w:cs="Arial" w:eastAsia="Arial" w:hAnsi="Arial"/>
                <w:sz w:val="17"/>
                <w:szCs w:val="17"/>
                <w:color w:val="auto"/>
              </w:rPr>
              <w:t>Amounts recognized in the Consolidated Balance Sheet were as follows:</w:t>
            </w:r>
          </w:p>
        </w:tc>
        <w:tc>
          <w:tcPr>
            <w:tcW w:w="500" w:type="dxa"/>
            <w:vAlign w:val="bottom"/>
          </w:tcPr>
          <w:p>
            <w:pPr>
              <w:spacing w:after="0"/>
              <w:rPr>
                <w:sz w:val="17"/>
                <w:szCs w:val="17"/>
                <w:color w:val="auto"/>
              </w:rPr>
            </w:pPr>
          </w:p>
        </w:tc>
        <w:tc>
          <w:tcPr>
            <w:tcW w:w="116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January 29,</w:t>
            </w:r>
          </w:p>
        </w:tc>
        <w:tc>
          <w:tcPr>
            <w:tcW w:w="260" w:type="dxa"/>
            <w:vAlign w:val="bottom"/>
          </w:tcPr>
          <w:p>
            <w:pPr>
              <w:spacing w:after="0"/>
              <w:rPr>
                <w:sz w:val="17"/>
                <w:szCs w:val="1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auto"/>
              </w:rPr>
              <w:t>January 30,</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leases:</w:t>
            </w: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Operating lease right-of-use assets</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2,616</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2,716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Pr>
          <w:p>
            <w:pPr>
              <w:ind w:left="120"/>
              <w:spacing w:after="0" w:line="189" w:lineRule="exact"/>
              <w:rPr>
                <w:sz w:val="20"/>
                <w:szCs w:val="20"/>
                <w:color w:val="auto"/>
              </w:rPr>
            </w:pPr>
            <w:r>
              <w:rPr>
                <w:rFonts w:ascii="Arial" w:cs="Arial" w:eastAsia="Arial" w:hAnsi="Arial"/>
                <w:sz w:val="17"/>
                <w:szCs w:val="17"/>
                <w:color w:val="auto"/>
              </w:rPr>
              <w:t>Operating lease liabilities classified as current</w:t>
            </w:r>
          </w:p>
        </w:tc>
        <w:tc>
          <w:tcPr>
            <w:tcW w:w="5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572</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580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0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Operating lease liabilities classified as long-term</w:t>
            </w: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2,363</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0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Total operating lease liabilities</w:t>
            </w:r>
          </w:p>
        </w:tc>
        <w:tc>
          <w:tcPr>
            <w:tcW w:w="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2,935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3,079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Arial" w:cs="Arial" w:eastAsia="Arial" w:hAnsi="Arial"/>
                <w:sz w:val="17"/>
                <w:szCs w:val="17"/>
                <w:color w:val="auto"/>
              </w:rPr>
              <w:t>2021 Form 10-K Page 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7"/>
        </w:trPr>
        <w:tc>
          <w:tcPr>
            <w:tcW w:w="5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4"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jc w:val="right"/>
              <w:ind w:right="115"/>
              <w:spacing w:after="0"/>
              <w:rPr>
                <w:sz w:val="20"/>
                <w:szCs w:val="20"/>
                <w:color w:val="auto"/>
              </w:rPr>
            </w:pPr>
            <w:r>
              <w:rPr>
                <w:rFonts w:ascii="Arial" w:cs="Arial" w:eastAsia="Arial" w:hAnsi="Arial"/>
                <w:sz w:val="17"/>
                <w:szCs w:val="17"/>
                <w:b w:val="1"/>
                <w:bCs w:val="1"/>
                <w:color w:val="auto"/>
              </w:rPr>
              <w:t>January 29,</w:t>
            </w:r>
          </w:p>
        </w:tc>
        <w:tc>
          <w:tcPr>
            <w:tcW w:w="260" w:type="dxa"/>
            <w:vAlign w:val="bottom"/>
          </w:tcPr>
          <w:p>
            <w:pPr>
              <w:spacing w:after="0"/>
              <w:rPr>
                <w:sz w:val="16"/>
                <w:szCs w:val="16"/>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January 30,</w:t>
            </w:r>
          </w:p>
        </w:tc>
      </w:tr>
      <w:tr>
        <w:trPr>
          <w:trHeight w:val="215"/>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2021</w:t>
            </w:r>
          </w:p>
        </w:tc>
      </w:tr>
      <w:tr>
        <w:trPr>
          <w:trHeight w:val="183"/>
        </w:trPr>
        <w:tc>
          <w:tcPr>
            <w:tcW w:w="50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Finance leases:</w:t>
            </w:r>
          </w:p>
        </w:tc>
        <w:tc>
          <w:tcPr>
            <w:tcW w:w="1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9"/>
        </w:trPr>
        <w:tc>
          <w:tcPr>
            <w:tcW w:w="5020" w:type="dxa"/>
            <w:vAlign w:val="bottom"/>
          </w:tcPr>
          <w:p>
            <w:pPr>
              <w:ind w:left="120"/>
              <w:spacing w:after="0" w:line="189" w:lineRule="exact"/>
              <w:rPr>
                <w:sz w:val="20"/>
                <w:szCs w:val="20"/>
                <w:color w:val="auto"/>
              </w:rPr>
            </w:pPr>
            <w:r>
              <w:rPr>
                <w:rFonts w:ascii="Arial" w:cs="Arial" w:eastAsia="Arial" w:hAnsi="Arial"/>
                <w:sz w:val="17"/>
                <w:szCs w:val="17"/>
                <w:color w:val="auto"/>
              </w:rPr>
              <w:t>Property and equipment, net</w:t>
            </w:r>
          </w:p>
        </w:tc>
        <w:tc>
          <w:tcPr>
            <w:tcW w:w="1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59</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r>
      <w:tr>
        <w:trPr>
          <w:trHeight w:val="189"/>
        </w:trPr>
        <w:tc>
          <w:tcPr>
            <w:tcW w:w="50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9"/>
        </w:trPr>
        <w:tc>
          <w:tcPr>
            <w:tcW w:w="5020" w:type="dxa"/>
            <w:vAlign w:val="bottom"/>
          </w:tcPr>
          <w:p>
            <w:pPr>
              <w:ind w:left="120"/>
              <w:spacing w:after="0" w:line="189" w:lineRule="exact"/>
              <w:rPr>
                <w:sz w:val="20"/>
                <w:szCs w:val="20"/>
                <w:color w:val="auto"/>
              </w:rPr>
            </w:pPr>
            <w:r>
              <w:rPr>
                <w:rFonts w:ascii="Arial" w:cs="Arial" w:eastAsia="Arial" w:hAnsi="Arial"/>
                <w:sz w:val="17"/>
                <w:szCs w:val="17"/>
                <w:color w:val="auto"/>
              </w:rPr>
              <w:t>Finance lease obligations classified as current</w:t>
            </w:r>
          </w:p>
        </w:tc>
        <w:tc>
          <w:tcPr>
            <w:tcW w:w="138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6</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5020" w:type="dxa"/>
            <w:vAlign w:val="bottom"/>
            <w:tcBorders>
              <w:bottom w:val="single" w:sz="8" w:color="auto"/>
            </w:tcBorders>
            <w:shd w:val="clear" w:color="auto" w:fill="CCEEFF"/>
          </w:tcPr>
          <w:p>
            <w:pPr>
              <w:ind w:left="120"/>
              <w:spacing w:after="0" w:line="189" w:lineRule="exact"/>
              <w:rPr>
                <w:sz w:val="20"/>
                <w:szCs w:val="20"/>
                <w:color w:val="auto"/>
              </w:rPr>
            </w:pPr>
            <w:r>
              <w:rPr>
                <w:rFonts w:ascii="Arial" w:cs="Arial" w:eastAsia="Arial" w:hAnsi="Arial"/>
                <w:sz w:val="17"/>
                <w:szCs w:val="17"/>
                <w:color w:val="auto"/>
              </w:rPr>
              <w:t>Finance lease obligations classified as long-tern</w:t>
            </w:r>
          </w:p>
        </w:tc>
        <w:tc>
          <w:tcPr>
            <w:tcW w:w="13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57</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w:t>
            </w:r>
          </w:p>
        </w:tc>
      </w:tr>
      <w:tr>
        <w:trPr>
          <w:trHeight w:val="183"/>
        </w:trPr>
        <w:tc>
          <w:tcPr>
            <w:tcW w:w="5020" w:type="dxa"/>
            <w:vAlign w:val="bottom"/>
            <w:tcBorders>
              <w:bottom w:val="single" w:sz="8" w:color="auto"/>
            </w:tcBorders>
          </w:tcPr>
          <w:p>
            <w:pPr>
              <w:ind w:left="120"/>
              <w:spacing w:after="0" w:line="183" w:lineRule="exact"/>
              <w:rPr>
                <w:sz w:val="20"/>
                <w:szCs w:val="20"/>
                <w:color w:val="auto"/>
              </w:rPr>
            </w:pPr>
            <w:r>
              <w:rPr>
                <w:rFonts w:ascii="Arial" w:cs="Arial" w:eastAsia="Arial" w:hAnsi="Arial"/>
                <w:sz w:val="17"/>
                <w:szCs w:val="17"/>
                <w:color w:val="auto"/>
              </w:rPr>
              <w:t>Total finance lease obligations</w:t>
            </w: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63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Other information related to our leases as of January 29, 2022 and January 30, 2021 consisted of the following:</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20" w:type="dxa"/>
            <w:vAlign w:val="bottom"/>
          </w:tcPr>
          <w:p>
            <w:pPr>
              <w:jc w:val="right"/>
              <w:ind w:right="175"/>
              <w:spacing w:after="0"/>
              <w:rPr>
                <w:sz w:val="20"/>
                <w:szCs w:val="20"/>
                <w:color w:val="auto"/>
              </w:rPr>
            </w:pPr>
            <w:r>
              <w:rPr>
                <w:rFonts w:ascii="Arial" w:cs="Arial" w:eastAsia="Arial" w:hAnsi="Arial"/>
                <w:sz w:val="17"/>
                <w:szCs w:val="17"/>
                <w:b w:val="1"/>
                <w:bCs w:val="1"/>
                <w:color w:val="auto"/>
              </w:rPr>
              <w:t>January 29,</w:t>
            </w:r>
          </w:p>
        </w:tc>
        <w:tc>
          <w:tcPr>
            <w:tcW w:w="1240" w:type="dxa"/>
            <w:vAlign w:val="bottom"/>
          </w:tcPr>
          <w:p>
            <w:pPr>
              <w:ind w:left="200"/>
              <w:spacing w:after="0"/>
              <w:rPr>
                <w:sz w:val="20"/>
                <w:szCs w:val="20"/>
                <w:color w:val="auto"/>
              </w:rPr>
            </w:pPr>
            <w:r>
              <w:rPr>
                <w:rFonts w:ascii="Arial" w:cs="Arial" w:eastAsia="Arial" w:hAnsi="Arial"/>
                <w:sz w:val="17"/>
                <w:szCs w:val="17"/>
                <w:color w:val="auto"/>
              </w:rPr>
              <w:t>January 30,</w:t>
            </w:r>
          </w:p>
        </w:tc>
      </w:tr>
      <w:tr>
        <w:trPr>
          <w:trHeight w:val="215"/>
        </w:trPr>
        <w:tc>
          <w:tcPr>
            <w:tcW w:w="50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2021</w:t>
            </w:r>
          </w:p>
        </w:tc>
      </w:tr>
      <w:tr>
        <w:trPr>
          <w:trHeight w:val="20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(years)</w:t>
            </w:r>
          </w:p>
        </w:tc>
        <w:tc>
          <w:tcPr>
            <w:tcW w:w="2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5040" w:type="dxa"/>
            <w:vAlign w:val="bottom"/>
          </w:tcPr>
          <w:p>
            <w:pPr>
              <w:ind w:left="120"/>
              <w:spacing w:after="0"/>
              <w:rPr>
                <w:sz w:val="20"/>
                <w:szCs w:val="20"/>
                <w:color w:val="auto"/>
              </w:rPr>
            </w:pPr>
            <w:r>
              <w:rPr>
                <w:rFonts w:ascii="Arial" w:cs="Arial" w:eastAsia="Arial" w:hAnsi="Arial"/>
                <w:sz w:val="17"/>
                <w:szCs w:val="17"/>
                <w:color w:val="auto"/>
              </w:rPr>
              <w:t>Operating leases</w:t>
            </w:r>
          </w:p>
        </w:tc>
        <w:tc>
          <w:tcPr>
            <w:tcW w:w="2620" w:type="dxa"/>
            <w:vAlign w:val="bottom"/>
          </w:tcPr>
          <w:p>
            <w:pPr>
              <w:jc w:val="right"/>
              <w:ind w:right="335"/>
              <w:spacing w:after="0"/>
              <w:rPr>
                <w:sz w:val="20"/>
                <w:szCs w:val="20"/>
                <w:color w:val="auto"/>
              </w:rPr>
            </w:pPr>
            <w:r>
              <w:rPr>
                <w:rFonts w:ascii="Arial" w:cs="Arial" w:eastAsia="Arial" w:hAnsi="Arial"/>
                <w:sz w:val="17"/>
                <w:szCs w:val="17"/>
                <w:b w:val="1"/>
                <w:bCs w:val="1"/>
                <w:color w:val="auto"/>
              </w:rPr>
              <w:t>6.7</w:t>
            </w:r>
          </w:p>
        </w:tc>
        <w:tc>
          <w:tcPr>
            <w:tcW w:w="1240" w:type="dxa"/>
            <w:vAlign w:val="bottom"/>
          </w:tcPr>
          <w:p>
            <w:pPr>
              <w:ind w:left="740"/>
              <w:spacing w:after="0"/>
              <w:rPr>
                <w:sz w:val="20"/>
                <w:szCs w:val="20"/>
                <w:color w:val="auto"/>
              </w:rPr>
            </w:pPr>
            <w:r>
              <w:rPr>
                <w:rFonts w:ascii="Arial" w:cs="Arial" w:eastAsia="Arial" w:hAnsi="Arial"/>
                <w:sz w:val="17"/>
                <w:szCs w:val="17"/>
                <w:color w:val="auto"/>
              </w:rPr>
              <w:t>6.7</w:t>
            </w:r>
          </w:p>
        </w:tc>
      </w:tr>
      <w:tr>
        <w:trPr>
          <w:trHeight w:val="216"/>
        </w:trPr>
        <w:tc>
          <w:tcPr>
            <w:tcW w:w="50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Finance leases</w:t>
            </w:r>
          </w:p>
        </w:tc>
        <w:tc>
          <w:tcPr>
            <w:tcW w:w="2620" w:type="dxa"/>
            <w:vAlign w:val="bottom"/>
            <w:shd w:val="clear" w:color="auto" w:fill="CCEEFF"/>
          </w:tcPr>
          <w:p>
            <w:pPr>
              <w:jc w:val="right"/>
              <w:ind w:right="335"/>
              <w:spacing w:after="0"/>
              <w:rPr>
                <w:sz w:val="20"/>
                <w:szCs w:val="20"/>
                <w:color w:val="auto"/>
              </w:rPr>
            </w:pPr>
            <w:r>
              <w:rPr>
                <w:rFonts w:ascii="Arial" w:cs="Arial" w:eastAsia="Arial" w:hAnsi="Arial"/>
                <w:sz w:val="17"/>
                <w:szCs w:val="17"/>
                <w:b w:val="1"/>
                <w:bCs w:val="1"/>
                <w:color w:val="auto"/>
              </w:rPr>
              <w:t>15.0</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4.4</w:t>
            </w:r>
          </w:p>
        </w:tc>
      </w:tr>
      <w:tr>
        <w:trPr>
          <w:trHeight w:val="216"/>
        </w:trPr>
        <w:tc>
          <w:tcPr>
            <w:tcW w:w="50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504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Operating leases</w:t>
            </w:r>
          </w:p>
        </w:tc>
        <w:tc>
          <w:tcPr>
            <w:tcW w:w="26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b w:val="1"/>
                <w:bCs w:val="1"/>
                <w:color w:val="auto"/>
              </w:rPr>
              <w:t>4.7 %</w:t>
            </w:r>
          </w:p>
        </w:tc>
        <w:tc>
          <w:tcPr>
            <w:tcW w:w="124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rPr>
              <w:t>5.0 %</w:t>
            </w:r>
          </w:p>
        </w:tc>
      </w:tr>
      <w:tr>
        <w:trPr>
          <w:trHeight w:val="189"/>
        </w:trPr>
        <w:tc>
          <w:tcPr>
            <w:tcW w:w="504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Finance leases</w:t>
            </w:r>
          </w:p>
        </w:tc>
        <w:tc>
          <w:tcPr>
            <w:tcW w:w="26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4.2 %</w:t>
            </w:r>
          </w:p>
        </w:tc>
        <w:tc>
          <w:tcPr>
            <w:tcW w:w="1240" w:type="dxa"/>
            <w:vAlign w:val="bottom"/>
            <w:tcBorders>
              <w:bottom w:val="single" w:sz="8" w:color="auto"/>
            </w:tcBorders>
          </w:tcPr>
          <w:p>
            <w:pPr>
              <w:ind w:left="740"/>
              <w:spacing w:after="0" w:line="189" w:lineRule="exact"/>
              <w:rPr>
                <w:sz w:val="20"/>
                <w:szCs w:val="20"/>
                <w:color w:val="auto"/>
              </w:rPr>
            </w:pPr>
            <w:r>
              <w:rPr>
                <w:rFonts w:ascii="Arial" w:cs="Arial" w:eastAsia="Arial" w:hAnsi="Arial"/>
                <w:sz w:val="17"/>
                <w:szCs w:val="17"/>
                <w:color w:val="auto"/>
              </w:rPr>
              <w:t>4.1 %</w:t>
            </w:r>
          </w:p>
        </w:tc>
      </w:tr>
    </w:tbl>
    <w:p>
      <w:pPr>
        <w:spacing w:after="0" w:line="15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Total lease costs include fixed operating lease costs, variable lease costs, and short-term lease costs. Most of our real estate leases require us to pay certain expenses, such as CAM costs, real estate taxes, and other executory costs, of which the fixed portion is included in operating lease costs. Variable lease costs include non-lease components which are not fixed and are not included in determining the present value of our lease liability. Variable lease costs also include amounts based on a percentage of gross sales in excess of specified levels that are recognized when probable.</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Lease costs which relate to retail stores and distribution centers are classified within cost of sales, while non-store lease costs are included in SG&amp;A. Amortization of leased equipment assets is classified in depreciation and amortization. The components of lease cost for 2021, 2020, and 2019 were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7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8"/>
                <w:szCs w:val="18"/>
                <w:color w:val="auto"/>
              </w:rPr>
            </w:pPr>
          </w:p>
        </w:tc>
      </w:tr>
      <w:tr>
        <w:trPr>
          <w:trHeight w:val="183"/>
        </w:trPr>
        <w:tc>
          <w:tcPr>
            <w:tcW w:w="39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Operating lease costs</w:t>
            </w:r>
          </w:p>
        </w:tc>
        <w:tc>
          <w:tcPr>
            <w:tcW w:w="174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653</w:t>
            </w:r>
          </w:p>
        </w:tc>
        <w:tc>
          <w:tcPr>
            <w:tcW w:w="30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620</w:t>
            </w:r>
          </w:p>
        </w:tc>
        <w:tc>
          <w:tcPr>
            <w:tcW w:w="32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668</w:t>
            </w:r>
          </w:p>
        </w:tc>
        <w:tc>
          <w:tcPr>
            <w:tcW w:w="20" w:type="dxa"/>
            <w:vAlign w:val="bottom"/>
          </w:tcPr>
          <w:p>
            <w:pPr>
              <w:spacing w:after="0"/>
              <w:rPr>
                <w:sz w:val="15"/>
                <w:szCs w:val="15"/>
                <w:color w:val="auto"/>
              </w:rPr>
            </w:pPr>
          </w:p>
        </w:tc>
      </w:tr>
      <w:tr>
        <w:trPr>
          <w:trHeight w:val="189"/>
        </w:trPr>
        <w:tc>
          <w:tcPr>
            <w:tcW w:w="3900" w:type="dxa"/>
            <w:vAlign w:val="bottom"/>
          </w:tcPr>
          <w:p>
            <w:pPr>
              <w:ind w:left="20"/>
              <w:spacing w:after="0" w:line="189" w:lineRule="exact"/>
              <w:rPr>
                <w:sz w:val="20"/>
                <w:szCs w:val="20"/>
                <w:color w:val="auto"/>
              </w:rPr>
            </w:pPr>
            <w:r>
              <w:rPr>
                <w:rFonts w:ascii="Arial" w:cs="Arial" w:eastAsia="Arial" w:hAnsi="Arial"/>
                <w:sz w:val="17"/>
                <w:szCs w:val="17"/>
                <w:color w:val="auto"/>
              </w:rPr>
              <w:t>Variable lease costs</w:t>
            </w:r>
          </w:p>
        </w:tc>
        <w:tc>
          <w:tcPr>
            <w:tcW w:w="174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331</w:t>
            </w:r>
          </w:p>
        </w:tc>
        <w:tc>
          <w:tcPr>
            <w:tcW w:w="300" w:type="dxa"/>
            <w:vAlign w:val="bottom"/>
          </w:tcPr>
          <w:p>
            <w:pPr>
              <w:spacing w:after="0"/>
              <w:rPr>
                <w:sz w:val="16"/>
                <w:szCs w:val="16"/>
                <w:color w:val="auto"/>
              </w:rPr>
            </w:pPr>
          </w:p>
        </w:tc>
        <w:tc>
          <w:tcPr>
            <w:tcW w:w="9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290</w:t>
            </w:r>
          </w:p>
        </w:tc>
        <w:tc>
          <w:tcPr>
            <w:tcW w:w="3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332</w:t>
            </w:r>
          </w:p>
        </w:tc>
        <w:tc>
          <w:tcPr>
            <w:tcW w:w="20" w:type="dxa"/>
            <w:vAlign w:val="bottom"/>
          </w:tcPr>
          <w:p>
            <w:pPr>
              <w:spacing w:after="0"/>
              <w:rPr>
                <w:sz w:val="16"/>
                <w:szCs w:val="16"/>
                <w:color w:val="auto"/>
              </w:rPr>
            </w:pPr>
          </w:p>
        </w:tc>
      </w:tr>
      <w:tr>
        <w:trPr>
          <w:trHeight w:val="189"/>
        </w:trPr>
        <w:tc>
          <w:tcPr>
            <w:tcW w:w="39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Short-term lease costs</w:t>
            </w:r>
          </w:p>
        </w:tc>
        <w:tc>
          <w:tcPr>
            <w:tcW w:w="17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23</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20" w:type="dxa"/>
            <w:vAlign w:val="bottom"/>
          </w:tcPr>
          <w:p>
            <w:pPr>
              <w:spacing w:after="0"/>
              <w:rPr>
                <w:sz w:val="16"/>
                <w:szCs w:val="16"/>
                <w:color w:val="auto"/>
              </w:rPr>
            </w:pPr>
          </w:p>
        </w:tc>
      </w:tr>
      <w:tr>
        <w:trPr>
          <w:trHeight w:val="189"/>
        </w:trPr>
        <w:tc>
          <w:tcPr>
            <w:tcW w:w="39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Sublease income</w:t>
            </w:r>
          </w:p>
        </w:tc>
        <w:tc>
          <w:tcPr>
            <w:tcW w:w="1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6"/>
                <w:szCs w:val="16"/>
                <w:color w:val="auto"/>
              </w:rPr>
            </w:pPr>
          </w:p>
        </w:tc>
      </w:tr>
      <w:tr>
        <w:trPr>
          <w:trHeight w:val="183"/>
        </w:trPr>
        <w:tc>
          <w:tcPr>
            <w:tcW w:w="39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Total operating lease costs</w:t>
            </w:r>
          </w:p>
        </w:tc>
        <w:tc>
          <w:tcPr>
            <w:tcW w:w="17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1,006</w:t>
            </w: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932</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1,022</w:t>
            </w:r>
          </w:p>
        </w:tc>
        <w:tc>
          <w:tcPr>
            <w:tcW w:w="20" w:type="dxa"/>
            <w:vAlign w:val="bottom"/>
          </w:tcPr>
          <w:p>
            <w:pPr>
              <w:spacing w:after="0"/>
              <w:rPr>
                <w:sz w:val="15"/>
                <w:szCs w:val="15"/>
                <w:color w:val="auto"/>
              </w:rPr>
            </w:pPr>
          </w:p>
        </w:tc>
      </w:tr>
      <w:tr>
        <w:trPr>
          <w:trHeight w:val="183"/>
        </w:trPr>
        <w:tc>
          <w:tcPr>
            <w:tcW w:w="3900" w:type="dxa"/>
            <w:vAlign w:val="bottom"/>
          </w:tcPr>
          <w:p>
            <w:pPr>
              <w:ind w:left="20"/>
              <w:spacing w:after="0" w:line="183" w:lineRule="exact"/>
              <w:rPr>
                <w:sz w:val="20"/>
                <w:szCs w:val="20"/>
                <w:color w:val="auto"/>
              </w:rPr>
            </w:pPr>
            <w:r>
              <w:rPr>
                <w:rFonts w:ascii="Arial" w:cs="Arial" w:eastAsia="Arial" w:hAnsi="Arial"/>
                <w:sz w:val="17"/>
                <w:szCs w:val="17"/>
                <w:color w:val="auto"/>
              </w:rPr>
              <w:t>Finance lease costs:</w:t>
            </w:r>
          </w:p>
        </w:tc>
        <w:tc>
          <w:tcPr>
            <w:tcW w:w="1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390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color w:val="auto"/>
              </w:rPr>
              <w:t>Amortization of leased assets</w:t>
            </w:r>
          </w:p>
        </w:tc>
        <w:tc>
          <w:tcPr>
            <w:tcW w:w="17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9"/>
        </w:trPr>
        <w:tc>
          <w:tcPr>
            <w:tcW w:w="3900" w:type="dxa"/>
            <w:vAlign w:val="bottom"/>
            <w:tcBorders>
              <w:bottom w:val="single" w:sz="8" w:color="auto"/>
            </w:tcBorders>
          </w:tcPr>
          <w:p>
            <w:pPr>
              <w:ind w:left="120"/>
              <w:spacing w:after="0" w:line="189" w:lineRule="exact"/>
              <w:rPr>
                <w:sz w:val="20"/>
                <w:szCs w:val="20"/>
                <w:color w:val="auto"/>
              </w:rPr>
            </w:pPr>
            <w:r>
              <w:rPr>
                <w:rFonts w:ascii="Arial" w:cs="Arial" w:eastAsia="Arial" w:hAnsi="Arial"/>
                <w:sz w:val="17"/>
                <w:szCs w:val="17"/>
                <w:color w:val="auto"/>
              </w:rPr>
              <w:t>Interest on lease liabilities</w:t>
            </w:r>
          </w:p>
        </w:tc>
        <w:tc>
          <w:tcPr>
            <w:tcW w:w="1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83"/>
        </w:trPr>
        <w:tc>
          <w:tcPr>
            <w:tcW w:w="390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Total finance lease costs</w:t>
            </w:r>
          </w:p>
        </w:tc>
        <w:tc>
          <w:tcPr>
            <w:tcW w:w="17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5</w:t>
            </w:r>
          </w:p>
        </w:tc>
        <w:tc>
          <w:tcPr>
            <w:tcW w:w="3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5"/>
                <w:szCs w:val="15"/>
                <w:color w:val="auto"/>
              </w:rPr>
            </w:pPr>
          </w:p>
        </w:tc>
      </w:tr>
      <w:tr>
        <w:trPr>
          <w:trHeight w:val="183"/>
        </w:trPr>
        <w:tc>
          <w:tcPr>
            <w:tcW w:w="39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Total lease cost</w:t>
            </w:r>
          </w:p>
        </w:tc>
        <w:tc>
          <w:tcPr>
            <w:tcW w:w="17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1,011</w:t>
            </w:r>
          </w:p>
        </w:tc>
        <w:tc>
          <w:tcPr>
            <w:tcW w:w="3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933</w:t>
            </w:r>
          </w:p>
        </w:tc>
        <w:tc>
          <w:tcPr>
            <w:tcW w:w="32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1,022</w:t>
            </w:r>
          </w:p>
        </w:tc>
        <w:tc>
          <w:tcPr>
            <w:tcW w:w="20" w:type="dxa"/>
            <w:vAlign w:val="bottom"/>
          </w:tcPr>
          <w:p>
            <w:pPr>
              <w:spacing w:after="0"/>
              <w:rPr>
                <w:sz w:val="15"/>
                <w:szCs w:val="15"/>
                <w:color w:val="auto"/>
              </w:rPr>
            </w:pPr>
          </w:p>
        </w:tc>
      </w:tr>
      <w:tr>
        <w:trPr>
          <w:trHeight w:val="20"/>
        </w:trPr>
        <w:tc>
          <w:tcPr>
            <w:tcW w:w="39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r>
      <w:tr>
        <w:trPr>
          <w:trHeight w:val="185"/>
        </w:trPr>
        <w:tc>
          <w:tcPr>
            <w:tcW w:w="39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gridSpan w:val="3"/>
          </w:tcPr>
          <w:p>
            <w:pPr>
              <w:jc w:val="center"/>
              <w:ind w:left="35"/>
              <w:spacing w:after="0" w:line="185" w:lineRule="exact"/>
              <w:rPr>
                <w:sz w:val="20"/>
                <w:szCs w:val="20"/>
                <w:color w:val="auto"/>
              </w:rPr>
            </w:pPr>
            <w:r>
              <w:rPr>
                <w:rFonts w:ascii="Arial" w:cs="Arial" w:eastAsia="Arial" w:hAnsi="Arial"/>
                <w:sz w:val="17"/>
                <w:szCs w:val="17"/>
                <w:color w:val="auto"/>
              </w:rPr>
              <w:t>2021 Form 10-K Page 60</w:t>
            </w:r>
          </w:p>
        </w:tc>
        <w:tc>
          <w:tcPr>
            <w:tcW w:w="20" w:type="dxa"/>
            <w:vAlign w:val="bottom"/>
          </w:tcPr>
          <w:p>
            <w:pPr>
              <w:spacing w:after="0"/>
              <w:rPr>
                <w:sz w:val="16"/>
                <w:szCs w:val="16"/>
                <w:color w:val="auto"/>
              </w:rPr>
            </w:pPr>
          </w:p>
        </w:tc>
      </w:tr>
      <w:tr>
        <w:trPr>
          <w:trHeight w:val="734"/>
        </w:trPr>
        <w:tc>
          <w:tcPr>
            <w:tcW w:w="39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64"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05"/>
        </w:trPr>
        <w:tc>
          <w:tcPr>
            <w:tcW w:w="5820" w:type="dxa"/>
            <w:vAlign w:val="bottom"/>
            <w:gridSpan w:val="3"/>
          </w:tcPr>
          <w:p>
            <w:pPr>
              <w:ind w:left="20"/>
              <w:spacing w:after="0"/>
              <w:rPr>
                <w:sz w:val="20"/>
                <w:szCs w:val="20"/>
                <w:color w:val="auto"/>
              </w:rPr>
            </w:pPr>
            <w:r>
              <w:rPr>
                <w:rFonts w:ascii="Arial" w:cs="Arial" w:eastAsia="Arial" w:hAnsi="Arial"/>
                <w:sz w:val="17"/>
                <w:szCs w:val="17"/>
                <w:color w:val="auto"/>
              </w:rPr>
              <w:t>Maturities of lease liabilities as of January 29, 2022 are as follows:</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83"/>
        </w:trPr>
        <w:tc>
          <w:tcPr>
            <w:tcW w:w="3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60" w:type="dxa"/>
            <w:vAlign w:val="bottom"/>
          </w:tcPr>
          <w:p>
            <w:pPr>
              <w:jc w:val="right"/>
              <w:ind w:right="275"/>
              <w:spacing w:after="0"/>
              <w:rPr>
                <w:sz w:val="20"/>
                <w:szCs w:val="20"/>
                <w:color w:val="auto"/>
              </w:rPr>
            </w:pPr>
            <w:r>
              <w:rPr>
                <w:rFonts w:ascii="Arial" w:cs="Arial" w:eastAsia="Arial" w:hAnsi="Arial"/>
                <w:sz w:val="17"/>
                <w:szCs w:val="17"/>
                <w:b w:val="1"/>
                <w:bCs w:val="1"/>
                <w:color w:val="auto"/>
              </w:rPr>
              <w:t>Operating</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15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leases</w:t>
            </w:r>
          </w:p>
        </w:tc>
        <w:tc>
          <w:tcPr>
            <w:tcW w:w="15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b w:val="1"/>
                <w:bCs w:val="1"/>
                <w:color w:val="auto"/>
              </w:rPr>
              <w:t>Finance leases</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Total</w:t>
            </w:r>
          </w:p>
        </w:tc>
      </w:tr>
      <w:tr>
        <w:trPr>
          <w:trHeight w:val="183"/>
        </w:trPr>
        <w:tc>
          <w:tcPr>
            <w:tcW w:w="30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2022</w:t>
            </w:r>
          </w:p>
        </w:tc>
        <w:tc>
          <w:tcPr>
            <w:tcW w:w="15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686</w:t>
            </w:r>
          </w:p>
        </w:tc>
        <w:tc>
          <w:tcPr>
            <w:tcW w:w="740" w:type="dxa"/>
            <w:vAlign w:val="bottom"/>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694</w:t>
            </w:r>
          </w:p>
        </w:tc>
      </w:tr>
      <w:tr>
        <w:trPr>
          <w:trHeight w:val="189"/>
        </w:trPr>
        <w:tc>
          <w:tcPr>
            <w:tcW w:w="3000" w:type="dxa"/>
            <w:vAlign w:val="bottom"/>
          </w:tcPr>
          <w:p>
            <w:pPr>
              <w:ind w:left="20"/>
              <w:spacing w:after="0" w:line="189" w:lineRule="exact"/>
              <w:rPr>
                <w:sz w:val="20"/>
                <w:szCs w:val="20"/>
                <w:color w:val="auto"/>
              </w:rPr>
            </w:pPr>
            <w:r>
              <w:rPr>
                <w:rFonts w:ascii="Arial" w:cs="Arial" w:eastAsia="Arial" w:hAnsi="Arial"/>
                <w:sz w:val="17"/>
                <w:szCs w:val="17"/>
                <w:color w:val="auto"/>
              </w:rPr>
              <w:t>2023</w:t>
            </w:r>
          </w:p>
        </w:tc>
        <w:tc>
          <w:tcPr>
            <w:tcW w:w="1560" w:type="dxa"/>
            <w:vAlign w:val="bottom"/>
          </w:tcPr>
          <w:p>
            <w:pPr>
              <w:spacing w:after="0"/>
              <w:rPr>
                <w:sz w:val="16"/>
                <w:szCs w:val="16"/>
                <w:color w:val="auto"/>
              </w:rPr>
            </w:pP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603</w:t>
            </w:r>
          </w:p>
        </w:tc>
        <w:tc>
          <w:tcPr>
            <w:tcW w:w="740" w:type="dxa"/>
            <w:vAlign w:val="bottom"/>
          </w:tcPr>
          <w:p>
            <w:pPr>
              <w:spacing w:after="0"/>
              <w:rPr>
                <w:sz w:val="16"/>
                <w:szCs w:val="16"/>
                <w:color w:val="auto"/>
              </w:rPr>
            </w:pPr>
          </w:p>
        </w:tc>
        <w:tc>
          <w:tcPr>
            <w:tcW w:w="8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611</w:t>
            </w: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2024</w:t>
            </w:r>
          </w:p>
        </w:tc>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512</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520</w:t>
            </w:r>
          </w:p>
        </w:tc>
      </w:tr>
      <w:tr>
        <w:trPr>
          <w:trHeight w:val="189"/>
        </w:trPr>
        <w:tc>
          <w:tcPr>
            <w:tcW w:w="3000" w:type="dxa"/>
            <w:vAlign w:val="bottom"/>
          </w:tcPr>
          <w:p>
            <w:pPr>
              <w:ind w:left="20"/>
              <w:spacing w:after="0" w:line="189" w:lineRule="exact"/>
              <w:rPr>
                <w:sz w:val="20"/>
                <w:szCs w:val="20"/>
                <w:color w:val="auto"/>
              </w:rPr>
            </w:pPr>
            <w:r>
              <w:rPr>
                <w:rFonts w:ascii="Arial" w:cs="Arial" w:eastAsia="Arial" w:hAnsi="Arial"/>
                <w:sz w:val="17"/>
                <w:szCs w:val="17"/>
                <w:color w:val="auto"/>
              </w:rPr>
              <w:t>2025</w:t>
            </w:r>
          </w:p>
        </w:tc>
        <w:tc>
          <w:tcPr>
            <w:tcW w:w="1560" w:type="dxa"/>
            <w:vAlign w:val="bottom"/>
          </w:tcPr>
          <w:p>
            <w:pPr>
              <w:spacing w:after="0"/>
              <w:rPr>
                <w:sz w:val="16"/>
                <w:szCs w:val="16"/>
                <w:color w:val="auto"/>
              </w:rPr>
            </w:pPr>
          </w:p>
        </w:tc>
        <w:tc>
          <w:tcPr>
            <w:tcW w:w="12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418</w:t>
            </w:r>
          </w:p>
        </w:tc>
        <w:tc>
          <w:tcPr>
            <w:tcW w:w="740" w:type="dxa"/>
            <w:vAlign w:val="bottom"/>
          </w:tcPr>
          <w:p>
            <w:pPr>
              <w:spacing w:after="0"/>
              <w:rPr>
                <w:sz w:val="16"/>
                <w:szCs w:val="16"/>
                <w:color w:val="auto"/>
              </w:rPr>
            </w:pPr>
          </w:p>
        </w:tc>
        <w:tc>
          <w:tcPr>
            <w:tcW w:w="8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w:t>
            </w:r>
          </w:p>
        </w:tc>
        <w:tc>
          <w:tcPr>
            <w:tcW w:w="44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424</w:t>
            </w:r>
          </w:p>
        </w:tc>
      </w:tr>
      <w:tr>
        <w:trPr>
          <w:trHeight w:val="189"/>
        </w:trPr>
        <w:tc>
          <w:tcPr>
            <w:tcW w:w="30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2026</w:t>
            </w:r>
          </w:p>
        </w:tc>
        <w:tc>
          <w:tcPr>
            <w:tcW w:w="15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323</w:t>
            </w:r>
          </w:p>
        </w:tc>
        <w:tc>
          <w:tcPr>
            <w:tcW w:w="7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4</w:t>
            </w:r>
          </w:p>
        </w:tc>
        <w:tc>
          <w:tcPr>
            <w:tcW w:w="4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327</w:t>
            </w:r>
          </w:p>
        </w:tc>
      </w:tr>
      <w:tr>
        <w:trPr>
          <w:trHeight w:val="189"/>
        </w:trPr>
        <w:tc>
          <w:tcPr>
            <w:tcW w:w="30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Thereafter</w:t>
            </w:r>
          </w:p>
        </w:tc>
        <w:tc>
          <w:tcPr>
            <w:tcW w:w="1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899</w:t>
            </w: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53</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952</w:t>
            </w:r>
          </w:p>
        </w:tc>
      </w:tr>
      <w:tr>
        <w:trPr>
          <w:trHeight w:val="183"/>
        </w:trPr>
        <w:tc>
          <w:tcPr>
            <w:tcW w:w="30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payments</w:t>
            </w:r>
          </w:p>
        </w:tc>
        <w:tc>
          <w:tcPr>
            <w:tcW w:w="15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3,441</w:t>
            </w:r>
          </w:p>
        </w:tc>
        <w:tc>
          <w:tcPr>
            <w:tcW w:w="7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87</w:t>
            </w: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3,528</w:t>
            </w:r>
          </w:p>
        </w:tc>
      </w:tr>
      <w:tr>
        <w:trPr>
          <w:trHeight w:val="189"/>
        </w:trPr>
        <w:tc>
          <w:tcPr>
            <w:tcW w:w="30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Less: Interest</w:t>
            </w:r>
          </w:p>
        </w:tc>
        <w:tc>
          <w:tcPr>
            <w:tcW w:w="1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506</w:t>
            </w: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24</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530</w:t>
            </w:r>
          </w:p>
        </w:tc>
      </w:tr>
      <w:tr>
        <w:trPr>
          <w:trHeight w:val="183"/>
        </w:trPr>
        <w:tc>
          <w:tcPr>
            <w:tcW w:w="300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Total lease liabilities</w:t>
            </w:r>
          </w:p>
        </w:tc>
        <w:tc>
          <w:tcPr>
            <w:tcW w:w="1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2,935</w:t>
            </w:r>
          </w:p>
        </w:tc>
        <w:tc>
          <w:tcPr>
            <w:tcW w:w="740" w:type="dxa"/>
            <w:vAlign w:val="bottom"/>
            <w:tcBorders>
              <w:bottom w:val="single" w:sz="8" w:color="auto"/>
            </w:tcBorders>
            <w:shd w:val="clear" w:color="auto" w:fill="CCEEFF"/>
          </w:tcPr>
          <w:p>
            <w:pPr>
              <w:jc w:val="right"/>
              <w:ind w:right="41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63</w:t>
            </w:r>
          </w:p>
        </w:tc>
        <w:tc>
          <w:tcPr>
            <w:tcW w:w="44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2,998</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As of January 29, 2022, we signed operating leases primarily for retail stores that have not yet commenced and the total future undiscounted lease payments under these leases are $87 million.</w:t>
      </w:r>
    </w:p>
    <w:p>
      <w:pPr>
        <w:spacing w:after="0" w:line="158"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Supplemental cash flow information related to leases for the years ended January 29, 2022 and January 30, 2021 were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2020</w:t>
            </w:r>
          </w:p>
        </w:tc>
      </w:tr>
      <w:tr>
        <w:trPr>
          <w:trHeight w:val="183"/>
        </w:trPr>
        <w:tc>
          <w:tcPr>
            <w:tcW w:w="60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Cash paid for amounts included in measurement of operating lease liabilities</w:t>
            </w:r>
          </w:p>
        </w:tc>
        <w:tc>
          <w:tcPr>
            <w:tcW w:w="5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790</w:t>
            </w:r>
          </w:p>
        </w:tc>
        <w:tc>
          <w:tcPr>
            <w:tcW w:w="3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626</w:t>
            </w:r>
          </w:p>
        </w:tc>
      </w:tr>
      <w:tr>
        <w:trPr>
          <w:trHeight w:val="189"/>
        </w:trPr>
        <w:tc>
          <w:tcPr>
            <w:tcW w:w="6020" w:type="dxa"/>
            <w:vAlign w:val="bottom"/>
          </w:tcPr>
          <w:p>
            <w:pPr>
              <w:ind w:left="20"/>
              <w:spacing w:after="0" w:line="189" w:lineRule="exact"/>
              <w:rPr>
                <w:sz w:val="20"/>
                <w:szCs w:val="20"/>
                <w:color w:val="auto"/>
              </w:rPr>
            </w:pPr>
            <w:r>
              <w:rPr>
                <w:rFonts w:ascii="Arial" w:cs="Arial" w:eastAsia="Arial" w:hAnsi="Arial"/>
                <w:sz w:val="17"/>
                <w:szCs w:val="17"/>
                <w:color w:val="auto"/>
              </w:rPr>
              <w:t>Right-of-use assets obtained in exchange for lease obligations</w:t>
            </w:r>
          </w:p>
        </w:tc>
        <w:tc>
          <w:tcPr>
            <w:tcW w:w="50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417</w:t>
            </w:r>
          </w:p>
        </w:tc>
        <w:tc>
          <w:tcPr>
            <w:tcW w:w="3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331</w:t>
            </w:r>
          </w:p>
        </w:tc>
      </w:tr>
      <w:tr>
        <w:trPr>
          <w:trHeight w:val="189"/>
        </w:trPr>
        <w:tc>
          <w:tcPr>
            <w:tcW w:w="60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Cash paid for amounts included in measurement of finance lease liabilities</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5</w:t>
            </w: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602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7"/>
                <w:szCs w:val="17"/>
                <w:color w:val="auto"/>
              </w:rPr>
              <w:t>Leases obtained in exchange for finance lease obligations</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w:t>
            </w:r>
          </w:p>
        </w:tc>
      </w:tr>
    </w:tbl>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4220" w:type="dxa"/>
            <w:vAlign w:val="bottom"/>
          </w:tcPr>
          <w:p>
            <w:pPr>
              <w:spacing w:after="0"/>
              <w:rPr>
                <w:sz w:val="20"/>
                <w:szCs w:val="20"/>
                <w:color w:val="auto"/>
              </w:rPr>
            </w:pPr>
            <w:r>
              <w:rPr>
                <w:rFonts w:ascii="Arial" w:cs="Arial" w:eastAsia="Arial" w:hAnsi="Arial"/>
                <w:sz w:val="17"/>
                <w:szCs w:val="17"/>
                <w:b w:val="1"/>
                <w:bCs w:val="1"/>
                <w:color w:val="auto"/>
              </w:rPr>
              <w:t>16. Accumulated Other Comprehensive Loss</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65"/>
        </w:trPr>
        <w:tc>
          <w:tcPr>
            <w:tcW w:w="4220" w:type="dxa"/>
            <w:vAlign w:val="bottom"/>
          </w:tcPr>
          <w:p>
            <w:pPr>
              <w:spacing w:after="0"/>
              <w:rPr>
                <w:sz w:val="20"/>
                <w:szCs w:val="20"/>
                <w:color w:val="auto"/>
              </w:rPr>
            </w:pPr>
            <w:r>
              <w:rPr>
                <w:rFonts w:ascii="Arial" w:cs="Arial" w:eastAsia="Arial" w:hAnsi="Arial"/>
                <w:sz w:val="17"/>
                <w:szCs w:val="17"/>
                <w:color w:val="auto"/>
              </w:rPr>
              <w:t>AOCL, net of tax, is comprised of the following:</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68"/>
        </w:trPr>
        <w:tc>
          <w:tcPr>
            <w:tcW w:w="4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42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Foreign currency translation adjustments</w:t>
            </w:r>
          </w:p>
        </w:tc>
        <w:tc>
          <w:tcPr>
            <w:tcW w:w="44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(107)</w:t>
            </w:r>
          </w:p>
        </w:tc>
        <w:tc>
          <w:tcPr>
            <w:tcW w:w="1020" w:type="dxa"/>
            <w:vAlign w:val="bottom"/>
            <w:shd w:val="clear" w:color="auto" w:fill="CCEEFF"/>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(64)</w:t>
            </w:r>
          </w:p>
        </w:tc>
        <w:tc>
          <w:tcPr>
            <w:tcW w:w="4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(104)</w:t>
            </w:r>
          </w:p>
        </w:tc>
      </w:tr>
      <w:tr>
        <w:trPr>
          <w:trHeight w:val="189"/>
        </w:trPr>
        <w:tc>
          <w:tcPr>
            <w:tcW w:w="4220" w:type="dxa"/>
            <w:vAlign w:val="bottom"/>
          </w:tcPr>
          <w:p>
            <w:pPr>
              <w:spacing w:after="0" w:line="189" w:lineRule="exact"/>
              <w:rPr>
                <w:sz w:val="20"/>
                <w:szCs w:val="20"/>
                <w:color w:val="auto"/>
              </w:rPr>
            </w:pPr>
            <w:r>
              <w:rPr>
                <w:rFonts w:ascii="Arial" w:cs="Arial" w:eastAsia="Arial" w:hAnsi="Arial"/>
                <w:sz w:val="17"/>
                <w:szCs w:val="17"/>
                <w:color w:val="auto"/>
              </w:rPr>
              <w:t>Cash flow hedges</w:t>
            </w:r>
          </w:p>
        </w:tc>
        <w:tc>
          <w:tcPr>
            <w:tcW w:w="440" w:type="dxa"/>
            <w:vAlign w:val="bottom"/>
          </w:tcPr>
          <w:p>
            <w:pPr>
              <w:spacing w:after="0"/>
              <w:rPr>
                <w:sz w:val="16"/>
                <w:szCs w:val="16"/>
                <w:color w:val="auto"/>
              </w:rPr>
            </w:pPr>
          </w:p>
        </w:tc>
        <w:tc>
          <w:tcPr>
            <w:tcW w:w="118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w:t>
            </w:r>
          </w:p>
        </w:tc>
        <w:tc>
          <w:tcPr>
            <w:tcW w:w="1020" w:type="dxa"/>
            <w:vAlign w:val="bottom"/>
          </w:tcPr>
          <w:p>
            <w:pPr>
              <w:spacing w:after="0"/>
              <w:rPr>
                <w:sz w:val="16"/>
                <w:szCs w:val="16"/>
                <w:color w:val="auto"/>
              </w:rPr>
            </w:pPr>
          </w:p>
        </w:tc>
        <w:tc>
          <w:tcPr>
            <w:tcW w:w="5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w:t>
            </w:r>
          </w:p>
        </w:tc>
        <w:tc>
          <w:tcPr>
            <w:tcW w:w="4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42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Unrecognized pension cost and postretirement benefit</w:t>
            </w:r>
          </w:p>
        </w:tc>
        <w:tc>
          <w:tcPr>
            <w:tcW w:w="4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(236)</w:t>
            </w:r>
          </w:p>
        </w:tc>
        <w:tc>
          <w:tcPr>
            <w:tcW w:w="10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(266)</w:t>
            </w:r>
          </w:p>
        </w:tc>
        <w:tc>
          <w:tcPr>
            <w:tcW w:w="4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(287)</w:t>
            </w:r>
          </w:p>
        </w:tc>
      </w:tr>
      <w:tr>
        <w:trPr>
          <w:trHeight w:val="183"/>
        </w:trPr>
        <w:tc>
          <w:tcPr>
            <w:tcW w:w="4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(343)</w:t>
            </w:r>
          </w:p>
        </w:tc>
        <w:tc>
          <w:tcPr>
            <w:tcW w:w="1020" w:type="dxa"/>
            <w:vAlign w:val="bottom"/>
            <w:tcBorders>
              <w:bottom w:val="single" w:sz="8" w:color="auto"/>
            </w:tcBorders>
          </w:tcPr>
          <w:p>
            <w:pPr>
              <w:jc w:val="right"/>
              <w:ind w:right="735"/>
              <w:spacing w:after="0" w:line="183" w:lineRule="exact"/>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(331)</w:t>
            </w:r>
          </w:p>
        </w:tc>
        <w:tc>
          <w:tcPr>
            <w:tcW w:w="40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(394)</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changes in AOCL for the year ended January 29, 2022 were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rPr>
                <w:sz w:val="20"/>
                <w:szCs w:val="20"/>
                <w:color w:val="auto"/>
              </w:rPr>
            </w:pPr>
            <w:r>
              <w:rPr>
                <w:rFonts w:ascii="Arial" w:cs="Arial" w:eastAsia="Arial" w:hAnsi="Arial"/>
                <w:sz w:val="17"/>
                <w:szCs w:val="17"/>
                <w:b w:val="1"/>
                <w:bCs w:val="1"/>
                <w:color w:val="auto"/>
              </w:rPr>
              <w:t>Foreign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Items Related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Currency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Translation</w:t>
            </w:r>
          </w:p>
        </w:tc>
        <w:tc>
          <w:tcPr>
            <w:tcW w:w="200" w:type="dxa"/>
            <w:vAlign w:val="bottom"/>
          </w:tcPr>
          <w:p>
            <w:pPr>
              <w:spacing w:after="0"/>
              <w:rPr>
                <w:sz w:val="16"/>
                <w:szCs w:val="16"/>
                <w:color w:val="auto"/>
              </w:rPr>
            </w:pPr>
          </w:p>
        </w:tc>
        <w:tc>
          <w:tcPr>
            <w:tcW w:w="104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w w:val="96"/>
              </w:rPr>
              <w:t>Cash Flow</w:t>
            </w:r>
          </w:p>
        </w:tc>
        <w:tc>
          <w:tcPr>
            <w:tcW w:w="1460" w:type="dxa"/>
            <w:vAlign w:val="bottom"/>
            <w:gridSpan w:val="2"/>
          </w:tcPr>
          <w:p>
            <w:pPr>
              <w:ind w:left="120"/>
              <w:spacing w:after="0" w:line="189" w:lineRule="exact"/>
              <w:rPr>
                <w:sz w:val="20"/>
                <w:szCs w:val="20"/>
                <w:color w:val="auto"/>
              </w:rPr>
            </w:pPr>
            <w:r>
              <w:rPr>
                <w:rFonts w:ascii="Arial" w:cs="Arial" w:eastAsia="Arial" w:hAnsi="Arial"/>
                <w:sz w:val="17"/>
                <w:szCs w:val="17"/>
                <w:b w:val="1"/>
                <w:bCs w:val="1"/>
                <w:color w:val="auto"/>
              </w:rPr>
              <w:t>Postretirement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740" w:type="dxa"/>
            <w:vAlign w:val="bottom"/>
          </w:tcPr>
          <w:p>
            <w:pPr>
              <w:ind w:left="20"/>
              <w:spacing w:after="0"/>
              <w:rPr>
                <w:sz w:val="20"/>
                <w:szCs w:val="20"/>
                <w:color w:val="auto"/>
              </w:rPr>
            </w:pPr>
            <w:r>
              <w:rPr>
                <w:rFonts w:ascii="Arial" w:cs="Arial" w:eastAsia="Arial" w:hAnsi="Arial"/>
                <w:sz w:val="17"/>
                <w:szCs w:val="17"/>
                <w:color w:val="auto"/>
              </w:rPr>
              <w:t>($ in millions)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00" w:type="dxa"/>
            <w:vAlign w:val="bottom"/>
          </w:tcPr>
          <w:p>
            <w:pPr>
              <w:spacing w:after="0"/>
              <w:rPr>
                <w:sz w:val="18"/>
                <w:szCs w:val="18"/>
                <w:color w:val="auto"/>
              </w:rPr>
            </w:pPr>
          </w:p>
        </w:tc>
        <w:tc>
          <w:tcPr>
            <w:tcW w:w="1040" w:type="dxa"/>
            <w:vAlign w:val="bottom"/>
          </w:tcPr>
          <w:p>
            <w:pPr>
              <w:jc w:val="right"/>
              <w:ind w:right="235"/>
              <w:spacing w:after="0"/>
              <w:rPr>
                <w:sz w:val="20"/>
                <w:szCs w:val="20"/>
                <w:color w:val="auto"/>
              </w:rPr>
            </w:pPr>
            <w:r>
              <w:rPr>
                <w:rFonts w:ascii="Arial" w:cs="Arial" w:eastAsia="Arial" w:hAnsi="Arial"/>
                <w:sz w:val="17"/>
                <w:szCs w:val="17"/>
                <w:b w:val="1"/>
                <w:bCs w:val="1"/>
                <w:color w:val="auto"/>
              </w:rPr>
              <w:t>Hedges</w:t>
            </w:r>
          </w:p>
        </w:tc>
        <w:tc>
          <w:tcPr>
            <w:tcW w:w="300" w:type="dxa"/>
            <w:vAlign w:val="bottom"/>
          </w:tcPr>
          <w:p>
            <w:pPr>
              <w:spacing w:after="0"/>
              <w:rPr>
                <w:sz w:val="18"/>
                <w:szCs w:val="18"/>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Benefits</w:t>
            </w:r>
          </w:p>
        </w:tc>
        <w:tc>
          <w:tcPr>
            <w:tcW w:w="3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3"/>
        </w:trPr>
        <w:tc>
          <w:tcPr>
            <w:tcW w:w="374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Balance as of January 30, 2021</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(64)</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top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(266)</w:t>
            </w:r>
          </w:p>
        </w:tc>
        <w:tc>
          <w:tcPr>
            <w:tcW w:w="3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OCI before reclassification</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(43)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Pr>
          <w:p>
            <w:pPr>
              <w:ind w:left="20"/>
              <w:spacing w:after="0" w:line="189" w:lineRule="exact"/>
              <w:rPr>
                <w:sz w:val="20"/>
                <w:szCs w:val="20"/>
                <w:color w:val="auto"/>
              </w:rPr>
            </w:pPr>
            <w:r>
              <w:rPr>
                <w:rFonts w:ascii="Arial" w:cs="Arial" w:eastAsia="Arial" w:hAnsi="Arial"/>
                <w:sz w:val="17"/>
                <w:szCs w:val="17"/>
                <w:color w:val="auto"/>
              </w:rPr>
              <w:t>Amortization of pension actuarial loss, net of tax</w:t>
            </w:r>
          </w:p>
        </w:tc>
        <w:tc>
          <w:tcPr>
            <w:tcW w:w="200" w:type="dxa"/>
            <w:vAlign w:val="bottom"/>
          </w:tcPr>
          <w:p>
            <w:pPr>
              <w:spacing w:after="0"/>
              <w:rPr>
                <w:sz w:val="16"/>
                <w:szCs w:val="16"/>
                <w:color w:val="auto"/>
              </w:rPr>
            </w:pP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3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Pension remeasurement, net of tax</w:t>
            </w:r>
          </w:p>
        </w:tc>
        <w:tc>
          <w:tcPr>
            <w:tcW w:w="2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w:t>
            </w:r>
          </w:p>
        </w:tc>
        <w:tc>
          <w:tcPr>
            <w:tcW w:w="3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Other comprehensive income</w:t>
            </w: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(43)</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30</w:t>
            </w: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74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Balance as of January 29, 2022</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(107)</w:t>
            </w:r>
          </w:p>
        </w:tc>
        <w:tc>
          <w:tcPr>
            <w:tcW w:w="2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(236)</w:t>
            </w:r>
          </w:p>
        </w:tc>
        <w:tc>
          <w:tcPr>
            <w:tcW w:w="3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(343)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4" w:name="page65"/>
    <w:bookmarkEnd w:id="64"/>
    <w:tbl>
      <w:tblPr>
        <w:tblLayout w:type="fixed"/>
        <w:tblInd w:w="6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620" w:type="dxa"/>
            <w:vAlign w:val="bottom"/>
            <w:gridSpan w:val="4"/>
          </w:tcPr>
          <w:p>
            <w:pPr>
              <w:jc w:val="center"/>
              <w:ind w:right="275"/>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88"/>
        </w:trPr>
        <w:tc>
          <w:tcPr>
            <w:tcW w:w="7440" w:type="dxa"/>
            <w:vAlign w:val="bottom"/>
            <w:gridSpan w:val="6"/>
          </w:tcPr>
          <w:p>
            <w:pPr>
              <w:spacing w:after="0"/>
              <w:rPr>
                <w:sz w:val="20"/>
                <w:szCs w:val="20"/>
                <w:color w:val="auto"/>
              </w:rPr>
            </w:pPr>
            <w:r>
              <w:rPr>
                <w:rFonts w:ascii="Arial" w:cs="Arial" w:eastAsia="Arial" w:hAnsi="Arial"/>
                <w:sz w:val="17"/>
                <w:szCs w:val="17"/>
                <w:color w:val="auto"/>
              </w:rPr>
              <w:t>Reclassifications to income from AOCL for the year ended January 29, 2022 were as follows: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9"/>
        </w:trPr>
        <w:tc>
          <w:tcPr>
            <w:tcW w:w="18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4680" w:type="dxa"/>
            <w:vAlign w:val="bottom"/>
            <w:tcBorders>
              <w:top w:val="single" w:sz="8" w:color="auto"/>
            </w:tcBorders>
            <w:gridSpan w:val="2"/>
            <w:shd w:val="clear" w:color="auto" w:fill="CCEEFF"/>
          </w:tcPr>
          <w:p>
            <w:pPr>
              <w:spacing w:after="0" w:line="183" w:lineRule="exact"/>
              <w:rPr>
                <w:sz w:val="20"/>
                <w:szCs w:val="20"/>
                <w:color w:val="auto"/>
              </w:rPr>
            </w:pPr>
            <w:r>
              <w:rPr>
                <w:rFonts w:ascii="Arial" w:cs="Arial" w:eastAsia="Arial" w:hAnsi="Arial"/>
                <w:sz w:val="17"/>
                <w:szCs w:val="17"/>
                <w:color w:val="auto"/>
              </w:rPr>
              <w:t>Amortization of actuarial loss:</w:t>
            </w:r>
          </w:p>
        </w:tc>
        <w:tc>
          <w:tcPr>
            <w:tcW w:w="1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1800" w:type="dxa"/>
            <w:vAlign w:val="bottom"/>
          </w:tcPr>
          <w:p>
            <w:pPr>
              <w:spacing w:after="0" w:line="189" w:lineRule="exact"/>
              <w:rPr>
                <w:sz w:val="20"/>
                <w:szCs w:val="20"/>
                <w:color w:val="auto"/>
              </w:rPr>
            </w:pPr>
            <w:r>
              <w:rPr>
                <w:rFonts w:ascii="Arial" w:cs="Arial" w:eastAsia="Arial" w:hAnsi="Arial"/>
                <w:sz w:val="17"/>
                <w:szCs w:val="17"/>
                <w:color w:val="auto"/>
              </w:rPr>
              <w:t>Pension benefits</w:t>
            </w:r>
          </w:p>
        </w:tc>
        <w:tc>
          <w:tcPr>
            <w:tcW w:w="2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235"/>
              <w:spacing w:after="0" w:line="189" w:lineRule="exact"/>
              <w:rPr>
                <w:sz w:val="20"/>
                <w:szCs w:val="20"/>
                <w:color w:val="auto"/>
              </w:rPr>
            </w:pPr>
            <w:r>
              <w:rPr>
                <w:rFonts w:ascii="Arial" w:cs="Arial" w:eastAsia="Arial" w:hAnsi="Arial"/>
                <w:sz w:val="17"/>
                <w:szCs w:val="17"/>
                <w:b w:val="1"/>
                <w:bCs w:val="1"/>
                <w:color w:val="auto"/>
              </w:rPr>
              <w:t>$</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10</w:t>
            </w:r>
          </w:p>
        </w:tc>
      </w:tr>
      <w:tr>
        <w:trPr>
          <w:trHeight w:val="189"/>
        </w:trPr>
        <w:tc>
          <w:tcPr>
            <w:tcW w:w="20" w:type="dxa"/>
            <w:vAlign w:val="bottom"/>
          </w:tcPr>
          <w:p>
            <w:pPr>
              <w:spacing w:after="0"/>
              <w:rPr>
                <w:sz w:val="16"/>
                <w:szCs w:val="16"/>
                <w:color w:val="auto"/>
              </w:rPr>
            </w:pPr>
          </w:p>
        </w:tc>
        <w:tc>
          <w:tcPr>
            <w:tcW w:w="18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Income tax benefit</w:t>
            </w:r>
          </w:p>
        </w:tc>
        <w:tc>
          <w:tcPr>
            <w:tcW w:w="28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w:t>
            </w:r>
          </w:p>
        </w:tc>
      </w:tr>
      <w:tr>
        <w:trPr>
          <w:trHeight w:val="183"/>
        </w:trPr>
        <w:tc>
          <w:tcPr>
            <w:tcW w:w="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net of tax</w:t>
            </w:r>
          </w:p>
        </w:tc>
        <w:tc>
          <w:tcPr>
            <w:tcW w:w="28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b w:val="1"/>
                <w:bCs w:val="1"/>
                <w:color w:val="auto"/>
              </w:rPr>
              <w:t>$</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7</w:t>
            </w: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5"/>
        </w:trPr>
        <w:tc>
          <w:tcPr>
            <w:tcW w:w="1820" w:type="dxa"/>
            <w:vAlign w:val="bottom"/>
            <w:gridSpan w:val="2"/>
          </w:tcPr>
          <w:p>
            <w:pPr>
              <w:spacing w:after="0"/>
              <w:rPr>
                <w:sz w:val="20"/>
                <w:szCs w:val="20"/>
                <w:color w:val="auto"/>
              </w:rPr>
            </w:pPr>
            <w:r>
              <w:rPr>
                <w:rFonts w:ascii="Arial" w:cs="Arial" w:eastAsia="Arial" w:hAnsi="Arial"/>
                <w:sz w:val="17"/>
                <w:szCs w:val="17"/>
                <w:b w:val="1"/>
                <w:bCs w:val="1"/>
                <w:color w:val="auto"/>
              </w:rPr>
              <w:t>17. Income Taxes</w:t>
            </w:r>
          </w:p>
        </w:tc>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4"/>
        </w:trPr>
        <w:tc>
          <w:tcPr>
            <w:tcW w:w="5900" w:type="dxa"/>
            <w:vAlign w:val="bottom"/>
            <w:gridSpan w:val="4"/>
          </w:tcPr>
          <w:p>
            <w:pPr>
              <w:spacing w:after="0"/>
              <w:rPr>
                <w:sz w:val="20"/>
                <w:szCs w:val="20"/>
                <w:color w:val="auto"/>
              </w:rPr>
            </w:pPr>
            <w:r>
              <w:rPr>
                <w:rFonts w:ascii="Arial" w:cs="Arial" w:eastAsia="Arial" w:hAnsi="Arial"/>
                <w:sz w:val="17"/>
                <w:szCs w:val="17"/>
                <w:color w:val="auto"/>
              </w:rPr>
              <w:t>The domestic and international components of pre-tax income are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182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880" w:type="dxa"/>
            <w:vAlign w:val="bottom"/>
          </w:tcPr>
          <w:p>
            <w:pPr>
              <w:spacing w:after="0"/>
              <w:rPr>
                <w:sz w:val="24"/>
                <w:szCs w:val="24"/>
                <w:color w:val="auto"/>
              </w:rPr>
            </w:pPr>
          </w:p>
        </w:tc>
        <w:tc>
          <w:tcPr>
            <w:tcW w:w="1200" w:type="dxa"/>
            <w:vAlign w:val="bottom"/>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360" w:type="dxa"/>
            <w:vAlign w:val="bottom"/>
          </w:tcPr>
          <w:p>
            <w:pPr>
              <w:spacing w:after="0"/>
              <w:rPr>
                <w:sz w:val="24"/>
                <w:szCs w:val="24"/>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color w:val="auto"/>
              </w:rPr>
              <w:t>2020</w:t>
            </w:r>
          </w:p>
        </w:tc>
        <w:tc>
          <w:tcPr>
            <w:tcW w:w="40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20" w:type="dxa"/>
            <w:vAlign w:val="bottom"/>
          </w:tcPr>
          <w:p>
            <w:pPr>
              <w:spacing w:after="0"/>
              <w:rPr>
                <w:sz w:val="15"/>
                <w:szCs w:val="15"/>
                <w:color w:val="auto"/>
              </w:rPr>
            </w:pPr>
          </w:p>
        </w:tc>
        <w:tc>
          <w:tcPr>
            <w:tcW w:w="18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Domestic</w:t>
            </w:r>
          </w:p>
        </w:tc>
        <w:tc>
          <w:tcPr>
            <w:tcW w:w="2880" w:type="dxa"/>
            <w:vAlign w:val="bottom"/>
            <w:tcBorders>
              <w:top w:val="single" w:sz="8" w:color="auto"/>
            </w:tcBorders>
            <w:shd w:val="clear" w:color="auto" w:fill="CCEEFF"/>
          </w:tcPr>
          <w:p>
            <w:pPr>
              <w:jc w:val="center"/>
              <w:ind w:left="2313"/>
              <w:spacing w:after="0" w:line="183" w:lineRule="exact"/>
              <w:rPr>
                <w:sz w:val="20"/>
                <w:szCs w:val="20"/>
                <w:color w:val="auto"/>
              </w:rPr>
            </w:pPr>
            <w:r>
              <w:rPr>
                <w:rFonts w:ascii="Arial" w:cs="Arial" w:eastAsia="Arial" w:hAnsi="Arial"/>
                <w:sz w:val="17"/>
                <w:szCs w:val="17"/>
                <w:b w:val="1"/>
                <w:bCs w:val="1"/>
                <w:color w:val="auto"/>
                <w:w w:val="84"/>
              </w:rPr>
              <w:t>$</w:t>
            </w:r>
          </w:p>
        </w:tc>
        <w:tc>
          <w:tcPr>
            <w:tcW w:w="12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1,244</w:t>
            </w:r>
          </w:p>
        </w:tc>
        <w:tc>
          <w:tcPr>
            <w:tcW w:w="36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647</w:t>
            </w:r>
          </w:p>
        </w:tc>
        <w:tc>
          <w:tcPr>
            <w:tcW w:w="40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591</w:t>
            </w:r>
          </w:p>
        </w:tc>
      </w:tr>
      <w:tr>
        <w:trPr>
          <w:trHeight w:val="189"/>
        </w:trPr>
        <w:tc>
          <w:tcPr>
            <w:tcW w:w="20" w:type="dxa"/>
            <w:vAlign w:val="bottom"/>
          </w:tcPr>
          <w:p>
            <w:pPr>
              <w:spacing w:after="0"/>
              <w:rPr>
                <w:sz w:val="16"/>
                <w:szCs w:val="16"/>
                <w:color w:val="auto"/>
              </w:rPr>
            </w:pPr>
          </w:p>
        </w:tc>
        <w:tc>
          <w:tcPr>
            <w:tcW w:w="18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International</w:t>
            </w:r>
          </w:p>
        </w:tc>
        <w:tc>
          <w:tcPr>
            <w:tcW w:w="2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(4)</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(153)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81</w:t>
            </w:r>
          </w:p>
        </w:tc>
      </w:tr>
      <w:tr>
        <w:trPr>
          <w:trHeight w:val="183"/>
        </w:trPr>
        <w:tc>
          <w:tcPr>
            <w:tcW w:w="20" w:type="dxa"/>
            <w:vAlign w:val="bottom"/>
          </w:tcPr>
          <w:p>
            <w:pPr>
              <w:spacing w:after="0"/>
              <w:rPr>
                <w:sz w:val="15"/>
                <w:szCs w:val="15"/>
                <w:color w:val="auto"/>
              </w:rPr>
            </w:pPr>
          </w:p>
        </w:tc>
        <w:tc>
          <w:tcPr>
            <w:tcW w:w="18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pre-tax income</w:t>
            </w:r>
          </w:p>
        </w:tc>
        <w:tc>
          <w:tcPr>
            <w:tcW w:w="2880" w:type="dxa"/>
            <w:vAlign w:val="bottom"/>
            <w:tcBorders>
              <w:bottom w:val="single" w:sz="8" w:color="auto"/>
            </w:tcBorders>
            <w:shd w:val="clear" w:color="auto" w:fill="CCEEFF"/>
          </w:tcPr>
          <w:p>
            <w:pPr>
              <w:jc w:val="center"/>
              <w:ind w:left="2313"/>
              <w:spacing w:after="0" w:line="183" w:lineRule="exact"/>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1,240</w:t>
            </w:r>
          </w:p>
        </w:tc>
        <w:tc>
          <w:tcPr>
            <w:tcW w:w="36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494</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672</w:t>
            </w:r>
          </w:p>
        </w:tc>
      </w:tr>
      <w:tr>
        <w:trPr>
          <w:trHeight w:val="20"/>
        </w:trPr>
        <w:tc>
          <w:tcPr>
            <w:tcW w:w="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r>
    </w:p>
    <w:p>
      <w:pPr>
        <w:jc w:val="both"/>
        <w:ind w:left="60" w:right="59"/>
        <w:spacing w:after="0" w:line="243" w:lineRule="auto"/>
        <w:rPr>
          <w:sz w:val="20"/>
          <w:szCs w:val="20"/>
          <w:color w:val="auto"/>
        </w:rPr>
      </w:pPr>
      <w:r>
        <w:rPr>
          <w:rFonts w:ascii="Arial" w:cs="Arial" w:eastAsia="Arial" w:hAnsi="Arial"/>
          <w:sz w:val="17"/>
          <w:szCs w:val="17"/>
          <w:color w:val="auto"/>
        </w:rPr>
        <w:t>Domestic pre-tax income includes the results of non-U.S. businesses that are operated in branches owned directly by the U.S. which, therefore, are subject to U.S. income tax.</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4100" w:type="dxa"/>
            <w:vAlign w:val="bottom"/>
            <w:gridSpan w:val="2"/>
          </w:tcPr>
          <w:p>
            <w:pPr>
              <w:spacing w:after="0"/>
              <w:rPr>
                <w:sz w:val="20"/>
                <w:szCs w:val="20"/>
                <w:color w:val="auto"/>
              </w:rPr>
            </w:pPr>
            <w:r>
              <w:rPr>
                <w:rFonts w:ascii="Arial" w:cs="Arial" w:eastAsia="Arial" w:hAnsi="Arial"/>
                <w:sz w:val="17"/>
                <w:szCs w:val="17"/>
                <w:color w:val="auto"/>
              </w:rPr>
              <w:t>The income tax provision consists of the following:</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68"/>
        </w:trPr>
        <w:tc>
          <w:tcPr>
            <w:tcW w:w="41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600" w:type="dxa"/>
            <w:vAlign w:val="bottom"/>
          </w:tcPr>
          <w:p>
            <w:pPr>
              <w:spacing w:after="0"/>
              <w:rPr>
                <w:sz w:val="24"/>
                <w:szCs w:val="24"/>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420" w:type="dxa"/>
            <w:vAlign w:val="bottom"/>
          </w:tcPr>
          <w:p>
            <w:pPr>
              <w:spacing w:after="0"/>
              <w:rPr>
                <w:sz w:val="24"/>
                <w:szCs w:val="24"/>
                <w:color w:val="auto"/>
              </w:rPr>
            </w:pPr>
          </w:p>
        </w:tc>
        <w:tc>
          <w:tcPr>
            <w:tcW w:w="1180" w:type="dxa"/>
            <w:vAlign w:val="bottom"/>
          </w:tcPr>
          <w:p>
            <w:pPr>
              <w:jc w:val="right"/>
              <w:ind w:right="515"/>
              <w:spacing w:after="0"/>
              <w:rPr>
                <w:sz w:val="20"/>
                <w:szCs w:val="20"/>
                <w:color w:val="auto"/>
              </w:rPr>
            </w:pPr>
            <w:r>
              <w:rPr>
                <w:rFonts w:ascii="Arial" w:cs="Arial" w:eastAsia="Arial" w:hAnsi="Arial"/>
                <w:sz w:val="17"/>
                <w:szCs w:val="17"/>
                <w:color w:val="auto"/>
              </w:rPr>
              <w:t>2020</w:t>
            </w:r>
          </w:p>
        </w:tc>
        <w:tc>
          <w:tcPr>
            <w:tcW w:w="400" w:type="dxa"/>
            <w:vAlign w:val="bottom"/>
          </w:tcPr>
          <w:p>
            <w:pPr>
              <w:spacing w:after="0"/>
              <w:rPr>
                <w:sz w:val="24"/>
                <w:szCs w:val="24"/>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20" w:type="dxa"/>
            <w:vAlign w:val="bottom"/>
          </w:tcPr>
          <w:p>
            <w:pPr>
              <w:spacing w:after="0"/>
              <w:rPr>
                <w:sz w:val="15"/>
                <w:szCs w:val="15"/>
                <w:color w:val="auto"/>
              </w:rPr>
            </w:pPr>
          </w:p>
        </w:tc>
        <w:tc>
          <w:tcPr>
            <w:tcW w:w="40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Current:</w:t>
            </w:r>
          </w:p>
        </w:tc>
        <w:tc>
          <w:tcPr>
            <w:tcW w:w="6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80"/>
              <w:spacing w:after="0" w:line="189" w:lineRule="exact"/>
              <w:rPr>
                <w:sz w:val="20"/>
                <w:szCs w:val="20"/>
                <w:color w:val="auto"/>
              </w:rPr>
            </w:pPr>
            <w:r>
              <w:rPr>
                <w:rFonts w:ascii="Arial" w:cs="Arial" w:eastAsia="Arial" w:hAnsi="Arial"/>
                <w:sz w:val="17"/>
                <w:szCs w:val="17"/>
                <w:color w:val="auto"/>
              </w:rPr>
              <w:t>Federal</w:t>
            </w:r>
          </w:p>
        </w:tc>
        <w:tc>
          <w:tcPr>
            <w:tcW w:w="600" w:type="dxa"/>
            <w:vAlign w:val="bottom"/>
          </w:tcPr>
          <w:p>
            <w:pPr>
              <w:jc w:val="right"/>
              <w:ind w:right="115"/>
              <w:spacing w:after="0" w:line="189" w:lineRule="exact"/>
              <w:rPr>
                <w:sz w:val="20"/>
                <w:szCs w:val="20"/>
                <w:color w:val="auto"/>
              </w:rPr>
            </w:pPr>
            <w:r>
              <w:rPr>
                <w:rFonts w:ascii="Arial" w:cs="Arial" w:eastAsia="Arial" w:hAnsi="Arial"/>
                <w:sz w:val="17"/>
                <w:szCs w:val="17"/>
                <w:b w:val="1"/>
                <w:bCs w:val="1"/>
                <w:color w:val="auto"/>
              </w:rPr>
              <w:t>$</w:t>
            </w: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192</w:t>
            </w:r>
          </w:p>
        </w:tc>
        <w:tc>
          <w:tcPr>
            <w:tcW w:w="420" w:type="dxa"/>
            <w:vAlign w:val="bottom"/>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114</w:t>
            </w:r>
          </w:p>
        </w:tc>
        <w:tc>
          <w:tcPr>
            <w:tcW w:w="40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106</w:t>
            </w: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State and local</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66</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43</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39</w:t>
            </w:r>
          </w:p>
        </w:tc>
      </w:tr>
      <w:tr>
        <w:trPr>
          <w:trHeight w:val="189"/>
        </w:trPr>
        <w:tc>
          <w:tcPr>
            <w:tcW w:w="20" w:type="dxa"/>
            <w:vAlign w:val="bottom"/>
          </w:tcPr>
          <w:p>
            <w:pPr>
              <w:spacing w:after="0"/>
              <w:rPr>
                <w:sz w:val="16"/>
                <w:szCs w:val="16"/>
                <w:color w:val="auto"/>
              </w:rPr>
            </w:pPr>
          </w:p>
        </w:tc>
        <w:tc>
          <w:tcPr>
            <w:tcW w:w="4080" w:type="dxa"/>
            <w:vAlign w:val="bottom"/>
            <w:tcBorders>
              <w:bottom w:val="single" w:sz="8" w:color="auto"/>
            </w:tcBorders>
          </w:tcPr>
          <w:p>
            <w:pPr>
              <w:ind w:left="80"/>
              <w:spacing w:after="0" w:line="189" w:lineRule="exact"/>
              <w:rPr>
                <w:sz w:val="20"/>
                <w:szCs w:val="20"/>
                <w:color w:val="auto"/>
              </w:rPr>
            </w:pPr>
            <w:r>
              <w:rPr>
                <w:rFonts w:ascii="Arial" w:cs="Arial" w:eastAsia="Arial" w:hAnsi="Arial"/>
                <w:sz w:val="17"/>
                <w:szCs w:val="17"/>
                <w:color w:val="auto"/>
              </w:rPr>
              <w:t>International</w:t>
            </w: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31</w:t>
            </w:r>
          </w:p>
        </w:tc>
      </w:tr>
      <w:tr>
        <w:trPr>
          <w:trHeight w:val="182"/>
        </w:trPr>
        <w:tc>
          <w:tcPr>
            <w:tcW w:w="20" w:type="dxa"/>
            <w:vAlign w:val="bottom"/>
          </w:tcPr>
          <w:p>
            <w:pPr>
              <w:spacing w:after="0"/>
              <w:rPr>
                <w:sz w:val="15"/>
                <w:szCs w:val="15"/>
                <w:color w:val="auto"/>
              </w:rPr>
            </w:pPr>
          </w:p>
        </w:tc>
        <w:tc>
          <w:tcPr>
            <w:tcW w:w="4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current tax provision</w:t>
            </w:r>
          </w:p>
        </w:tc>
        <w:tc>
          <w:tcPr>
            <w:tcW w:w="6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274</w:t>
            </w:r>
          </w:p>
        </w:tc>
        <w:tc>
          <w:tcPr>
            <w:tcW w:w="4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180</w:t>
            </w: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176</w:t>
            </w:r>
          </w:p>
        </w:tc>
      </w:tr>
      <w:tr>
        <w:trPr>
          <w:trHeight w:val="183"/>
        </w:trPr>
        <w:tc>
          <w:tcPr>
            <w:tcW w:w="20" w:type="dxa"/>
            <w:vAlign w:val="bottom"/>
          </w:tcPr>
          <w:p>
            <w:pPr>
              <w:spacing w:after="0"/>
              <w:rPr>
                <w:sz w:val="15"/>
                <w:szCs w:val="15"/>
                <w:color w:val="auto"/>
              </w:rPr>
            </w:pPr>
          </w:p>
        </w:tc>
        <w:tc>
          <w:tcPr>
            <w:tcW w:w="4080" w:type="dxa"/>
            <w:vAlign w:val="bottom"/>
          </w:tcPr>
          <w:p>
            <w:pPr>
              <w:spacing w:after="0" w:line="183" w:lineRule="exact"/>
              <w:rPr>
                <w:sz w:val="20"/>
                <w:szCs w:val="20"/>
                <w:color w:val="auto"/>
              </w:rPr>
            </w:pPr>
            <w:r>
              <w:rPr>
                <w:rFonts w:ascii="Arial" w:cs="Arial" w:eastAsia="Arial" w:hAnsi="Arial"/>
                <w:sz w:val="17"/>
                <w:szCs w:val="17"/>
                <w:b w:val="1"/>
                <w:bCs w:val="1"/>
                <w:color w:val="auto"/>
              </w:rPr>
              <w:t>Deferred:</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Federal</w:t>
            </w:r>
          </w:p>
        </w:tc>
        <w:tc>
          <w:tcPr>
            <w:tcW w:w="6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49</w:t>
            </w: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w:t>
            </w: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4080" w:type="dxa"/>
            <w:vAlign w:val="bottom"/>
          </w:tcPr>
          <w:p>
            <w:pPr>
              <w:ind w:left="80"/>
              <w:spacing w:after="0" w:line="189" w:lineRule="exact"/>
              <w:rPr>
                <w:sz w:val="20"/>
                <w:szCs w:val="20"/>
                <w:color w:val="auto"/>
              </w:rPr>
            </w:pPr>
            <w:r>
              <w:rPr>
                <w:rFonts w:ascii="Arial" w:cs="Arial" w:eastAsia="Arial" w:hAnsi="Arial"/>
                <w:sz w:val="17"/>
                <w:szCs w:val="17"/>
                <w:color w:val="auto"/>
              </w:rPr>
              <w:t>State and local</w:t>
            </w:r>
          </w:p>
        </w:tc>
        <w:tc>
          <w:tcPr>
            <w:tcW w:w="600" w:type="dxa"/>
            <w:vAlign w:val="bottom"/>
          </w:tcPr>
          <w:p>
            <w:pPr>
              <w:spacing w:after="0"/>
              <w:rPr>
                <w:sz w:val="16"/>
                <w:szCs w:val="16"/>
                <w:color w:val="auto"/>
              </w:rPr>
            </w:pPr>
          </w:p>
        </w:tc>
        <w:tc>
          <w:tcPr>
            <w:tcW w:w="11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15</w:t>
            </w:r>
          </w:p>
        </w:tc>
        <w:tc>
          <w:tcPr>
            <w:tcW w:w="420" w:type="dxa"/>
            <w:vAlign w:val="bottom"/>
          </w:tcPr>
          <w:p>
            <w:pPr>
              <w:spacing w:after="0"/>
              <w:rPr>
                <w:sz w:val="16"/>
                <w:szCs w:val="16"/>
                <w:color w:val="auto"/>
              </w:rPr>
            </w:pPr>
          </w:p>
        </w:tc>
        <w:tc>
          <w:tcPr>
            <w:tcW w:w="11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w:t>
            </w:r>
          </w:p>
        </w:tc>
        <w:tc>
          <w:tcPr>
            <w:tcW w:w="4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08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International</w:t>
            </w:r>
          </w:p>
        </w:tc>
        <w:tc>
          <w:tcPr>
            <w:tcW w:w="6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w:t>
            </w: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(13)</w:t>
            </w:r>
          </w:p>
        </w:tc>
        <w:tc>
          <w:tcPr>
            <w:tcW w:w="4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w:t>
            </w:r>
          </w:p>
        </w:tc>
      </w:tr>
      <w:tr>
        <w:trPr>
          <w:trHeight w:val="183"/>
        </w:trPr>
        <w:tc>
          <w:tcPr>
            <w:tcW w:w="20" w:type="dxa"/>
            <w:vAlign w:val="bottom"/>
          </w:tcPr>
          <w:p>
            <w:pPr>
              <w:spacing w:after="0"/>
              <w:rPr>
                <w:sz w:val="15"/>
                <w:szCs w:val="15"/>
                <w:color w:val="auto"/>
              </w:rPr>
            </w:pPr>
          </w:p>
        </w:tc>
        <w:tc>
          <w:tcPr>
            <w:tcW w:w="40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deferred tax provision</w:t>
            </w: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74</w:t>
            </w: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(9)</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w:t>
            </w:r>
          </w:p>
        </w:tc>
      </w:tr>
      <w:tr>
        <w:trPr>
          <w:trHeight w:val="183"/>
        </w:trPr>
        <w:tc>
          <w:tcPr>
            <w:tcW w:w="20" w:type="dxa"/>
            <w:vAlign w:val="bottom"/>
          </w:tcPr>
          <w:p>
            <w:pPr>
              <w:spacing w:after="0"/>
              <w:rPr>
                <w:sz w:val="15"/>
                <w:szCs w:val="15"/>
                <w:color w:val="auto"/>
              </w:rPr>
            </w:pPr>
          </w:p>
        </w:tc>
        <w:tc>
          <w:tcPr>
            <w:tcW w:w="4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Total income tax provision</w:t>
            </w:r>
          </w:p>
        </w:tc>
        <w:tc>
          <w:tcPr>
            <w:tcW w:w="6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348</w:t>
            </w:r>
          </w:p>
        </w:tc>
        <w:tc>
          <w:tcPr>
            <w:tcW w:w="4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171</w:t>
            </w:r>
          </w:p>
        </w:tc>
        <w:tc>
          <w:tcPr>
            <w:tcW w:w="40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181</w:t>
            </w: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Following the enactment of Public Law 115-97 (“Tax Act”) and the one-time transition tax, our historical foreign earnings are not subject to additional U.S. federal tax upon repatriation. Further, no additional U.S. federal tax will be due upon repatriation of current foreign earnings because they are either exempt or subject to U.S. tax as earned.</w:t>
      </w:r>
    </w:p>
    <w:p>
      <w:pPr>
        <w:spacing w:after="0" w:line="16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January 29, 2022, we had accumulated undistributed foreign earnings of approximately $617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not recorded a deferred tax liability for the difference between the financial statement carrying amount and the tax basis of our investments in foreign subsidiaries. The determination of any unrecorded deferred tax liability on this amount is not practicable due to the uncertainty of how these investments would be recovered.</w:t>
      </w:r>
    </w:p>
    <w:p>
      <w:pPr>
        <w:spacing w:after="0" w:line="14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 reconciliation of the significant differences between the federal statutory income tax rate and the effective income tax rate on pre-tax income is as follows:</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400" w:type="dxa"/>
            <w:vAlign w:val="bottom"/>
            <w:tcBorders>
              <w:bottom w:val="single" w:sz="8" w:color="auto"/>
            </w:tcBorders>
          </w:tcPr>
          <w:p>
            <w:pPr>
              <w:ind w:left="5020"/>
              <w:spacing w:after="0"/>
              <w:rPr>
                <w:sz w:val="20"/>
                <w:szCs w:val="20"/>
                <w:color w:val="auto"/>
              </w:rPr>
            </w:pPr>
            <w:r>
              <w:rPr>
                <w:rFonts w:ascii="Arial" w:cs="Arial" w:eastAsia="Arial" w:hAnsi="Arial"/>
                <w:sz w:val="17"/>
                <w:szCs w:val="17"/>
                <w:b w:val="1"/>
                <w:bCs w:val="1"/>
                <w:color w:val="auto"/>
                <w:w w:val="95"/>
              </w:rPr>
              <w:t>2021</w:t>
            </w: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15"/>
              <w:spacing w:after="0"/>
              <w:rPr>
                <w:sz w:val="20"/>
                <w:szCs w:val="20"/>
                <w:color w:val="auto"/>
              </w:rPr>
            </w:pPr>
            <w:r>
              <w:rPr>
                <w:rFonts w:ascii="Arial" w:cs="Arial" w:eastAsia="Arial" w:hAnsi="Arial"/>
                <w:sz w:val="17"/>
                <w:szCs w:val="17"/>
                <w:color w:val="auto"/>
              </w:rPr>
              <w:t>2020</w:t>
            </w: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2019</w:t>
            </w: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Federal statutory income tax rate</w:t>
            </w:r>
          </w:p>
        </w:tc>
        <w:tc>
          <w:tcPr>
            <w:tcW w:w="800" w:type="dxa"/>
            <w:vAlign w:val="bottom"/>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w w:val="98"/>
              </w:rPr>
              <w:t>21.0 %</w:t>
            </w:r>
          </w:p>
        </w:tc>
        <w:tc>
          <w:tcPr>
            <w:tcW w:w="142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21.0 %</w:t>
            </w:r>
          </w:p>
        </w:tc>
        <w:tc>
          <w:tcPr>
            <w:tcW w:w="12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21.0 %</w:t>
            </w: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Increase in valuation allowance</w:t>
            </w:r>
          </w:p>
        </w:tc>
        <w:tc>
          <w:tcPr>
            <w:tcW w:w="80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0.7</w:t>
            </w:r>
          </w:p>
        </w:tc>
        <w:tc>
          <w:tcPr>
            <w:tcW w:w="142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6.3</w:t>
            </w:r>
          </w:p>
        </w:tc>
        <w:tc>
          <w:tcPr>
            <w:tcW w:w="12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1.0</w:t>
            </w: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and local income taxes, net of federal tax benefit</w:t>
            </w:r>
          </w:p>
        </w:tc>
        <w:tc>
          <w:tcPr>
            <w:tcW w:w="80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b w:val="1"/>
                <w:bCs w:val="1"/>
                <w:color w:val="auto"/>
              </w:rPr>
              <w:t>5.4</w:t>
            </w:r>
          </w:p>
        </w:tc>
        <w:tc>
          <w:tcPr>
            <w:tcW w:w="1420" w:type="dxa"/>
            <w:vAlign w:val="bottom"/>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6.6</w:t>
            </w:r>
          </w:p>
        </w:tc>
        <w:tc>
          <w:tcPr>
            <w:tcW w:w="1280" w:type="dxa"/>
            <w:vAlign w:val="bottom"/>
            <w:shd w:val="clear" w:color="auto" w:fill="CCEEFF"/>
          </w:tcPr>
          <w:p>
            <w:pPr>
              <w:jc w:val="right"/>
              <w:ind w:right="215"/>
              <w:spacing w:after="0" w:line="189" w:lineRule="exact"/>
              <w:rPr>
                <w:sz w:val="20"/>
                <w:szCs w:val="20"/>
                <w:color w:val="auto"/>
              </w:rPr>
            </w:pPr>
            <w:r>
              <w:rPr>
                <w:rFonts w:ascii="Arial" w:cs="Arial" w:eastAsia="Arial" w:hAnsi="Arial"/>
                <w:sz w:val="17"/>
                <w:szCs w:val="17"/>
                <w:color w:val="auto"/>
              </w:rPr>
              <w:t>4.5</w:t>
            </w: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International income taxed at varying rates</w:t>
            </w:r>
          </w:p>
        </w:tc>
        <w:tc>
          <w:tcPr>
            <w:tcW w:w="800" w:type="dxa"/>
            <w:vAlign w:val="bottom"/>
          </w:tcPr>
          <w:p>
            <w:pPr>
              <w:jc w:val="right"/>
              <w:ind w:right="375"/>
              <w:spacing w:after="0" w:line="189" w:lineRule="exact"/>
              <w:rPr>
                <w:sz w:val="20"/>
                <w:szCs w:val="20"/>
                <w:color w:val="auto"/>
              </w:rPr>
            </w:pPr>
            <w:r>
              <w:rPr>
                <w:rFonts w:ascii="Arial" w:cs="Arial" w:eastAsia="Arial" w:hAnsi="Arial"/>
                <w:sz w:val="17"/>
                <w:szCs w:val="17"/>
                <w:b w:val="1"/>
                <w:bCs w:val="1"/>
                <w:color w:val="auto"/>
              </w:rPr>
              <w:t>2.4</w:t>
            </w:r>
          </w:p>
        </w:tc>
        <w:tc>
          <w:tcPr>
            <w:tcW w:w="1420" w:type="dxa"/>
            <w:vAlign w:val="bottom"/>
          </w:tcPr>
          <w:p>
            <w:pPr>
              <w:jc w:val="right"/>
              <w:ind w:right="375"/>
              <w:spacing w:after="0" w:line="189" w:lineRule="exact"/>
              <w:rPr>
                <w:sz w:val="20"/>
                <w:szCs w:val="20"/>
                <w:color w:val="auto"/>
              </w:rPr>
            </w:pPr>
            <w:r>
              <w:rPr>
                <w:rFonts w:ascii="Arial" w:cs="Arial" w:eastAsia="Arial" w:hAnsi="Arial"/>
                <w:sz w:val="17"/>
                <w:szCs w:val="17"/>
                <w:color w:val="auto"/>
              </w:rPr>
              <w:t>4.3</w:t>
            </w:r>
          </w:p>
        </w:tc>
        <w:tc>
          <w:tcPr>
            <w:tcW w:w="12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1.9</w:t>
            </w: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 tax credits</w:t>
            </w:r>
          </w:p>
        </w:tc>
        <w:tc>
          <w:tcPr>
            <w:tcW w:w="800" w:type="dxa"/>
            <w:vAlign w:val="bottom"/>
            <w:shd w:val="clear" w:color="auto" w:fill="CCEEFF"/>
          </w:tcPr>
          <w:p>
            <w:pPr>
              <w:jc w:val="right"/>
              <w:ind w:right="335"/>
              <w:spacing w:after="0" w:line="189" w:lineRule="exact"/>
              <w:rPr>
                <w:sz w:val="20"/>
                <w:szCs w:val="20"/>
                <w:color w:val="auto"/>
              </w:rPr>
            </w:pPr>
            <w:r>
              <w:rPr>
                <w:rFonts w:ascii="Arial" w:cs="Arial" w:eastAsia="Arial" w:hAnsi="Arial"/>
                <w:sz w:val="17"/>
                <w:szCs w:val="17"/>
                <w:b w:val="1"/>
                <w:bCs w:val="1"/>
                <w:color w:val="auto"/>
              </w:rPr>
              <w:t>(1.4)</w:t>
            </w:r>
          </w:p>
        </w:tc>
        <w:tc>
          <w:tcPr>
            <w:tcW w:w="142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(2.4)</w:t>
            </w:r>
          </w:p>
        </w:tc>
        <w:tc>
          <w:tcPr>
            <w:tcW w:w="12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(2.0)</w:t>
            </w: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Domestic/foreign tax settlements</w:t>
            </w:r>
          </w:p>
        </w:tc>
        <w:tc>
          <w:tcPr>
            <w:tcW w:w="800" w:type="dxa"/>
            <w:vAlign w:val="bottom"/>
          </w:tcPr>
          <w:p>
            <w:pPr>
              <w:jc w:val="right"/>
              <w:ind w:right="335"/>
              <w:spacing w:after="0" w:line="189" w:lineRule="exact"/>
              <w:rPr>
                <w:sz w:val="20"/>
                <w:szCs w:val="20"/>
                <w:color w:val="auto"/>
              </w:rPr>
            </w:pPr>
            <w:r>
              <w:rPr>
                <w:rFonts w:ascii="Arial" w:cs="Arial" w:eastAsia="Arial" w:hAnsi="Arial"/>
                <w:sz w:val="17"/>
                <w:szCs w:val="17"/>
                <w:b w:val="1"/>
                <w:bCs w:val="1"/>
                <w:color w:val="auto"/>
              </w:rPr>
              <w:t>(0.3)</w:t>
            </w:r>
          </w:p>
        </w:tc>
        <w:tc>
          <w:tcPr>
            <w:tcW w:w="1420" w:type="dxa"/>
            <w:vAlign w:val="bottom"/>
          </w:tcPr>
          <w:p>
            <w:pPr>
              <w:jc w:val="right"/>
              <w:ind w:right="315"/>
              <w:spacing w:after="0" w:line="189" w:lineRule="exact"/>
              <w:rPr>
                <w:sz w:val="20"/>
                <w:szCs w:val="20"/>
                <w:color w:val="auto"/>
              </w:rPr>
            </w:pPr>
            <w:r>
              <w:rPr>
                <w:rFonts w:ascii="Arial" w:cs="Arial" w:eastAsia="Arial" w:hAnsi="Arial"/>
                <w:sz w:val="17"/>
                <w:szCs w:val="17"/>
                <w:color w:val="auto"/>
              </w:rPr>
              <w:t>(0.5)</w:t>
            </w:r>
          </w:p>
        </w:tc>
        <w:tc>
          <w:tcPr>
            <w:tcW w:w="1280" w:type="dxa"/>
            <w:vAlign w:val="bottom"/>
          </w:tcPr>
          <w:p>
            <w:pPr>
              <w:jc w:val="right"/>
              <w:ind w:right="215"/>
              <w:spacing w:after="0" w:line="189" w:lineRule="exact"/>
              <w:rPr>
                <w:sz w:val="20"/>
                <w:szCs w:val="20"/>
                <w:color w:val="auto"/>
              </w:rPr>
            </w:pPr>
            <w:r>
              <w:rPr>
                <w:rFonts w:ascii="Arial" w:cs="Arial" w:eastAsia="Arial" w:hAnsi="Arial"/>
                <w:sz w:val="17"/>
                <w:szCs w:val="17"/>
                <w:color w:val="auto"/>
              </w:rPr>
              <w:t>—</w:t>
            </w: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Federal tax credits</w:t>
            </w:r>
          </w:p>
        </w:tc>
        <w:tc>
          <w:tcPr>
            <w:tcW w:w="800" w:type="dxa"/>
            <w:vAlign w:val="bottom"/>
            <w:shd w:val="clear" w:color="auto" w:fill="CCEEFF"/>
          </w:tcPr>
          <w:p>
            <w:pPr>
              <w:jc w:val="right"/>
              <w:ind w:right="335"/>
              <w:spacing w:after="0" w:line="189" w:lineRule="exact"/>
              <w:rPr>
                <w:sz w:val="20"/>
                <w:szCs w:val="20"/>
                <w:color w:val="auto"/>
              </w:rPr>
            </w:pPr>
            <w:r>
              <w:rPr>
                <w:rFonts w:ascii="Arial" w:cs="Arial" w:eastAsia="Arial" w:hAnsi="Arial"/>
                <w:sz w:val="17"/>
                <w:szCs w:val="17"/>
                <w:b w:val="1"/>
                <w:bCs w:val="1"/>
                <w:color w:val="auto"/>
              </w:rPr>
              <w:t>(0.1)</w:t>
            </w:r>
          </w:p>
        </w:tc>
        <w:tc>
          <w:tcPr>
            <w:tcW w:w="1420" w:type="dxa"/>
            <w:vAlign w:val="bottom"/>
            <w:shd w:val="clear" w:color="auto" w:fill="CCEEFF"/>
          </w:tcPr>
          <w:p>
            <w:pPr>
              <w:jc w:val="right"/>
              <w:ind w:right="315"/>
              <w:spacing w:after="0" w:line="189" w:lineRule="exact"/>
              <w:rPr>
                <w:sz w:val="20"/>
                <w:szCs w:val="20"/>
                <w:color w:val="auto"/>
              </w:rPr>
            </w:pPr>
            <w:r>
              <w:rPr>
                <w:rFonts w:ascii="Arial" w:cs="Arial" w:eastAsia="Arial" w:hAnsi="Arial"/>
                <w:sz w:val="17"/>
                <w:szCs w:val="17"/>
                <w:color w:val="auto"/>
              </w:rPr>
              <w:t>(0.4)</w:t>
            </w:r>
          </w:p>
        </w:tc>
        <w:tc>
          <w:tcPr>
            <w:tcW w:w="128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(0.2)</w:t>
            </w:r>
          </w:p>
        </w:tc>
      </w:tr>
      <w:tr>
        <w:trPr>
          <w:trHeight w:val="189"/>
        </w:trPr>
        <w:tc>
          <w:tcPr>
            <w:tcW w:w="54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Other, net</w:t>
            </w:r>
          </w:p>
        </w:tc>
        <w:tc>
          <w:tcPr>
            <w:tcW w:w="800" w:type="dxa"/>
            <w:vAlign w:val="bottom"/>
            <w:tcBorders>
              <w:bottom w:val="single" w:sz="8" w:color="auto"/>
            </w:tcBorders>
          </w:tcPr>
          <w:p>
            <w:pPr>
              <w:jc w:val="right"/>
              <w:ind w:right="375"/>
              <w:spacing w:after="0" w:line="189" w:lineRule="exact"/>
              <w:rPr>
                <w:sz w:val="20"/>
                <w:szCs w:val="20"/>
                <w:color w:val="auto"/>
              </w:rPr>
            </w:pPr>
            <w:r>
              <w:rPr>
                <w:rFonts w:ascii="Arial" w:cs="Arial" w:eastAsia="Arial" w:hAnsi="Arial"/>
                <w:sz w:val="17"/>
                <w:szCs w:val="17"/>
                <w:b w:val="1"/>
                <w:bCs w:val="1"/>
                <w:color w:val="auto"/>
              </w:rPr>
              <w:t>0.4</w:t>
            </w:r>
          </w:p>
        </w:tc>
        <w:tc>
          <w:tcPr>
            <w:tcW w:w="1420" w:type="dxa"/>
            <w:vAlign w:val="bottom"/>
            <w:tcBorders>
              <w:bottom w:val="single" w:sz="8" w:color="auto"/>
            </w:tcBorders>
          </w:tcPr>
          <w:p>
            <w:pPr>
              <w:jc w:val="right"/>
              <w:ind w:right="315"/>
              <w:spacing w:after="0" w:line="189" w:lineRule="exact"/>
              <w:rPr>
                <w:sz w:val="20"/>
                <w:szCs w:val="20"/>
                <w:color w:val="auto"/>
              </w:rPr>
            </w:pPr>
            <w:r>
              <w:rPr>
                <w:rFonts w:ascii="Arial" w:cs="Arial" w:eastAsia="Arial" w:hAnsi="Arial"/>
                <w:sz w:val="17"/>
                <w:szCs w:val="17"/>
                <w:color w:val="auto"/>
              </w:rPr>
              <w:t>(0.4)</w:t>
            </w:r>
          </w:p>
        </w:tc>
        <w:tc>
          <w:tcPr>
            <w:tcW w:w="1280" w:type="dxa"/>
            <w:vAlign w:val="bottom"/>
            <w:tcBorders>
              <w:bottom w:val="single" w:sz="8" w:color="auto"/>
            </w:tcBorders>
          </w:tcPr>
          <w:p>
            <w:pPr>
              <w:jc w:val="right"/>
              <w:ind w:right="215"/>
              <w:spacing w:after="0" w:line="189" w:lineRule="exact"/>
              <w:rPr>
                <w:sz w:val="20"/>
                <w:szCs w:val="20"/>
                <w:color w:val="auto"/>
              </w:rPr>
            </w:pPr>
            <w:r>
              <w:rPr>
                <w:rFonts w:ascii="Arial" w:cs="Arial" w:eastAsia="Arial" w:hAnsi="Arial"/>
                <w:sz w:val="17"/>
                <w:szCs w:val="17"/>
                <w:color w:val="auto"/>
              </w:rPr>
              <w:t>0.8</w:t>
            </w:r>
          </w:p>
        </w:tc>
      </w:tr>
      <w:tr>
        <w:trPr>
          <w:trHeight w:val="183"/>
        </w:trPr>
        <w:tc>
          <w:tcPr>
            <w:tcW w:w="54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Effective income tax rate</w:t>
            </w:r>
          </w:p>
        </w:tc>
        <w:tc>
          <w:tcPr>
            <w:tcW w:w="8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w w:val="98"/>
              </w:rPr>
              <w:t>28.1 %</w:t>
            </w:r>
          </w:p>
        </w:tc>
        <w:tc>
          <w:tcPr>
            <w:tcW w:w="142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34.5 %</w:t>
            </w:r>
          </w:p>
        </w:tc>
        <w:tc>
          <w:tcPr>
            <w:tcW w:w="12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27.0 %</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and liabilities are as follows:</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jc w:val="right"/>
              <w:ind w:right="155"/>
              <w:spacing w:after="0"/>
              <w:rPr>
                <w:sz w:val="20"/>
                <w:szCs w:val="20"/>
                <w:color w:val="auto"/>
              </w:rPr>
            </w:pPr>
            <w:r>
              <w:rPr>
                <w:rFonts w:ascii="Arial" w:cs="Arial" w:eastAsia="Arial" w:hAnsi="Arial"/>
                <w:sz w:val="17"/>
                <w:szCs w:val="17"/>
                <w:b w:val="1"/>
                <w:bCs w:val="1"/>
                <w:color w:val="auto"/>
              </w:rPr>
              <w:t>January 29,</w:t>
            </w:r>
          </w:p>
        </w:tc>
        <w:tc>
          <w:tcPr>
            <w:tcW w:w="260" w:type="dxa"/>
            <w:vAlign w:val="bottom"/>
          </w:tcPr>
          <w:p>
            <w:pPr>
              <w:spacing w:after="0"/>
              <w:rPr>
                <w:sz w:val="16"/>
                <w:szCs w:val="16"/>
                <w:color w:val="auto"/>
              </w:rPr>
            </w:pPr>
          </w:p>
        </w:tc>
        <w:tc>
          <w:tcPr>
            <w:tcW w:w="1120" w:type="dxa"/>
            <w:vAlign w:val="bottom"/>
          </w:tcPr>
          <w:p>
            <w:pPr>
              <w:jc w:val="right"/>
              <w:ind w:right="95"/>
              <w:spacing w:after="0"/>
              <w:rPr>
                <w:sz w:val="20"/>
                <w:szCs w:val="20"/>
                <w:color w:val="auto"/>
              </w:rPr>
            </w:pPr>
            <w:r>
              <w:rPr>
                <w:rFonts w:ascii="Arial" w:cs="Arial" w:eastAsia="Arial" w:hAnsi="Arial"/>
                <w:sz w:val="17"/>
                <w:szCs w:val="17"/>
                <w:color w:val="auto"/>
              </w:rPr>
              <w:t>January 30,</w:t>
            </w:r>
          </w:p>
        </w:tc>
      </w:tr>
      <w:tr>
        <w:trPr>
          <w:trHeight w:val="215"/>
        </w:trPr>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1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2021</w:t>
            </w:r>
          </w:p>
        </w:tc>
      </w:tr>
      <w:tr>
        <w:trPr>
          <w:trHeight w:val="183"/>
        </w:trPr>
        <w:tc>
          <w:tcPr>
            <w:tcW w:w="4840" w:type="dxa"/>
            <w:vAlign w:val="bottom"/>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Deferred tax assets:</w:t>
            </w:r>
          </w:p>
        </w:tc>
        <w:tc>
          <w:tcPr>
            <w:tcW w:w="14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9"/>
        </w:trPr>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Tax loss/credit carryforwards and capital loss</w:t>
            </w:r>
          </w:p>
        </w:tc>
        <w:tc>
          <w:tcPr>
            <w:tcW w:w="14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133</w:t>
            </w:r>
          </w:p>
        </w:tc>
        <w:tc>
          <w:tcPr>
            <w:tcW w:w="2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120</w:t>
            </w:r>
          </w:p>
        </w:tc>
      </w:tr>
      <w:tr>
        <w:trPr>
          <w:trHeight w:val="189"/>
        </w:trPr>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Employee benefits</w:t>
            </w:r>
          </w:p>
        </w:tc>
        <w:tc>
          <w:tcPr>
            <w:tcW w:w="1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38</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w:t>
            </w:r>
          </w:p>
        </w:tc>
      </w:tr>
      <w:tr>
        <w:trPr>
          <w:trHeight w:val="189"/>
        </w:trPr>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Property and equipment</w:t>
            </w:r>
          </w:p>
        </w:tc>
        <w:tc>
          <w:tcPr>
            <w:tcW w:w="146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w:t>
            </w:r>
          </w:p>
        </w:tc>
        <w:tc>
          <w:tcPr>
            <w:tcW w:w="2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r>
      <w:tr>
        <w:trPr>
          <w:trHeight w:val="189"/>
        </w:trPr>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Operating leases - liabilities</w:t>
            </w:r>
          </w:p>
        </w:tc>
        <w:tc>
          <w:tcPr>
            <w:tcW w:w="1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720</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811</w:t>
            </w:r>
          </w:p>
        </w:tc>
      </w:tr>
      <w:tr>
        <w:trPr>
          <w:trHeight w:val="189"/>
        </w:trPr>
        <w:tc>
          <w:tcPr>
            <w:tcW w:w="48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w:t>
            </w:r>
          </w:p>
        </w:tc>
        <w:tc>
          <w:tcPr>
            <w:tcW w:w="1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74</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39</w:t>
            </w:r>
          </w:p>
        </w:tc>
      </w:tr>
      <w:tr>
        <w:trPr>
          <w:trHeight w:val="183"/>
        </w:trPr>
        <w:tc>
          <w:tcPr>
            <w:tcW w:w="48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Total deferred tax assets</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980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1,035</w:t>
            </w:r>
          </w:p>
        </w:tc>
      </w:tr>
      <w:tr>
        <w:trPr>
          <w:trHeight w:val="189"/>
        </w:trPr>
        <w:tc>
          <w:tcPr>
            <w:tcW w:w="48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Valuation allowance</w:t>
            </w:r>
          </w:p>
        </w:tc>
        <w:tc>
          <w:tcPr>
            <w:tcW w:w="1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(80)</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(76)</w:t>
            </w:r>
          </w:p>
        </w:tc>
      </w:tr>
      <w:tr>
        <w:trPr>
          <w:trHeight w:val="183"/>
        </w:trPr>
        <w:tc>
          <w:tcPr>
            <w:tcW w:w="4840" w:type="dxa"/>
            <w:vAlign w:val="bottom"/>
            <w:tcBorders>
              <w:bottom w:val="single" w:sz="8" w:color="auto"/>
            </w:tcBorders>
            <w:shd w:val="clear" w:color="auto" w:fill="CCEEFF"/>
          </w:tcPr>
          <w:p>
            <w:pPr>
              <w:ind w:left="220"/>
              <w:spacing w:after="0" w:line="183" w:lineRule="exact"/>
              <w:rPr>
                <w:sz w:val="20"/>
                <w:szCs w:val="20"/>
                <w:color w:val="auto"/>
              </w:rPr>
            </w:pPr>
            <w:r>
              <w:rPr>
                <w:rFonts w:ascii="Arial" w:cs="Arial" w:eastAsia="Arial" w:hAnsi="Arial"/>
                <w:sz w:val="17"/>
                <w:szCs w:val="17"/>
                <w:color w:val="auto"/>
              </w:rPr>
              <w:t>Total deferred tax assets, net</w:t>
            </w: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900</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959</w:t>
            </w:r>
          </w:p>
        </w:tc>
      </w:tr>
      <w:tr>
        <w:trPr>
          <w:trHeight w:val="183"/>
        </w:trPr>
        <w:tc>
          <w:tcPr>
            <w:tcW w:w="4840" w:type="dxa"/>
            <w:vAlign w:val="bottom"/>
          </w:tcPr>
          <w:p>
            <w:pPr>
              <w:spacing w:after="0" w:line="183" w:lineRule="exact"/>
              <w:rPr>
                <w:sz w:val="20"/>
                <w:szCs w:val="20"/>
                <w:color w:val="auto"/>
              </w:rPr>
            </w:pPr>
            <w:r>
              <w:rPr>
                <w:rFonts w:ascii="Arial" w:cs="Arial" w:eastAsia="Arial" w:hAnsi="Arial"/>
                <w:sz w:val="17"/>
                <w:szCs w:val="17"/>
                <w:b w:val="1"/>
                <w:bCs w:val="1"/>
                <w:color w:val="auto"/>
              </w:rPr>
              <w:t>Deferred tax liabilities:</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Merchandise inventories</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68</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w:t>
            </w:r>
          </w:p>
        </w:tc>
      </w:tr>
      <w:tr>
        <w:trPr>
          <w:trHeight w:val="189"/>
        </w:trPr>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Operating leases - assets</w:t>
            </w:r>
          </w:p>
        </w:tc>
        <w:tc>
          <w:tcPr>
            <w:tcW w:w="146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662</w:t>
            </w:r>
          </w:p>
        </w:tc>
        <w:tc>
          <w:tcPr>
            <w:tcW w:w="2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746</w:t>
            </w:r>
          </w:p>
        </w:tc>
      </w:tr>
      <w:tr>
        <w:trPr>
          <w:trHeight w:val="189"/>
        </w:trPr>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Goodwill and other intangible assets</w:t>
            </w:r>
          </w:p>
        </w:tc>
        <w:tc>
          <w:tcPr>
            <w:tcW w:w="14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155</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w:t>
            </w:r>
          </w:p>
        </w:tc>
      </w:tr>
      <w:tr>
        <w:trPr>
          <w:trHeight w:val="189"/>
        </w:trPr>
        <w:tc>
          <w:tcPr>
            <w:tcW w:w="4840" w:type="dxa"/>
            <w:vAlign w:val="bottom"/>
          </w:tcPr>
          <w:p>
            <w:pPr>
              <w:ind w:left="100"/>
              <w:spacing w:after="0" w:line="189" w:lineRule="exact"/>
              <w:rPr>
                <w:sz w:val="20"/>
                <w:szCs w:val="20"/>
                <w:color w:val="auto"/>
              </w:rPr>
            </w:pPr>
            <w:r>
              <w:rPr>
                <w:rFonts w:ascii="Arial" w:cs="Arial" w:eastAsia="Arial" w:hAnsi="Arial"/>
                <w:sz w:val="17"/>
                <w:szCs w:val="17"/>
                <w:color w:val="auto"/>
              </w:rPr>
              <w:t>Net investment gains</w:t>
            </w:r>
          </w:p>
        </w:tc>
        <w:tc>
          <w:tcPr>
            <w:tcW w:w="1460" w:type="dxa"/>
            <w:vAlign w:val="bottom"/>
          </w:tcPr>
          <w:p>
            <w:pPr>
              <w:spacing w:after="0"/>
              <w:rPr>
                <w:sz w:val="16"/>
                <w:szCs w:val="16"/>
                <w:color w:val="auto"/>
              </w:rPr>
            </w:pPr>
          </w:p>
        </w:tc>
        <w:tc>
          <w:tcPr>
            <w:tcW w:w="12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131</w:t>
            </w:r>
          </w:p>
        </w:tc>
        <w:tc>
          <w:tcPr>
            <w:tcW w:w="2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46</w:t>
            </w:r>
          </w:p>
        </w:tc>
      </w:tr>
      <w:tr>
        <w:trPr>
          <w:trHeight w:val="189"/>
        </w:trPr>
        <w:tc>
          <w:tcPr>
            <w:tcW w:w="484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rPr>
              <w:t>Other</w:t>
            </w:r>
          </w:p>
        </w:tc>
        <w:tc>
          <w:tcPr>
            <w:tcW w:w="14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22</w:t>
            </w: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r>
      <w:tr>
        <w:trPr>
          <w:trHeight w:val="182"/>
        </w:trPr>
        <w:tc>
          <w:tcPr>
            <w:tcW w:w="484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7"/>
                <w:szCs w:val="17"/>
                <w:color w:val="auto"/>
              </w:rPr>
              <w:t>Total deferred tax liabilities</w:t>
            </w:r>
          </w:p>
        </w:tc>
        <w:tc>
          <w:tcPr>
            <w:tcW w:w="1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1,038</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876</w:t>
            </w:r>
          </w:p>
        </w:tc>
      </w:tr>
      <w:tr>
        <w:trPr>
          <w:trHeight w:val="183"/>
        </w:trPr>
        <w:tc>
          <w:tcPr>
            <w:tcW w:w="48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Net deferred tax (liability) asset</w:t>
            </w: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(138)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83</w:t>
            </w:r>
          </w:p>
        </w:tc>
      </w:tr>
      <w:tr>
        <w:trPr>
          <w:trHeight w:val="183"/>
        </w:trPr>
        <w:tc>
          <w:tcPr>
            <w:tcW w:w="4840" w:type="dxa"/>
            <w:vAlign w:val="bottom"/>
          </w:tcPr>
          <w:p>
            <w:pPr>
              <w:spacing w:after="0" w:line="183" w:lineRule="exact"/>
              <w:rPr>
                <w:sz w:val="20"/>
                <w:szCs w:val="20"/>
                <w:color w:val="auto"/>
              </w:rPr>
            </w:pPr>
            <w:r>
              <w:rPr>
                <w:rFonts w:ascii="Arial" w:cs="Arial" w:eastAsia="Arial" w:hAnsi="Arial"/>
                <w:sz w:val="17"/>
                <w:szCs w:val="17"/>
                <w:b w:val="1"/>
                <w:bCs w:val="1"/>
                <w:color w:val="auto"/>
              </w:rPr>
              <w:t>Balance Sheet caption reported in:</w:t>
            </w: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9"/>
        </w:trPr>
        <w:tc>
          <w:tcPr>
            <w:tcW w:w="4840" w:type="dxa"/>
            <w:vAlign w:val="bottom"/>
            <w:shd w:val="clear" w:color="auto" w:fill="CCEEFF"/>
          </w:tcPr>
          <w:p>
            <w:pPr>
              <w:ind w:left="100"/>
              <w:spacing w:after="0" w:line="189" w:lineRule="exact"/>
              <w:rPr>
                <w:sz w:val="20"/>
                <w:szCs w:val="20"/>
                <w:color w:val="auto"/>
              </w:rPr>
            </w:pPr>
            <w:r>
              <w:rPr>
                <w:rFonts w:ascii="Arial" w:cs="Arial" w:eastAsia="Arial" w:hAnsi="Arial"/>
                <w:sz w:val="17"/>
                <w:szCs w:val="17"/>
                <w:color w:val="auto"/>
              </w:rPr>
              <w:t>Deferred taxes</w:t>
            </w:r>
          </w:p>
        </w:tc>
        <w:tc>
          <w:tcPr>
            <w:tcW w:w="14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86</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w:t>
            </w:r>
          </w:p>
        </w:tc>
      </w:tr>
      <w:tr>
        <w:trPr>
          <w:trHeight w:val="189"/>
        </w:trPr>
        <w:tc>
          <w:tcPr>
            <w:tcW w:w="4840" w:type="dxa"/>
            <w:vAlign w:val="bottom"/>
            <w:tcBorders>
              <w:bottom w:val="single" w:sz="8" w:color="auto"/>
            </w:tcBorders>
          </w:tcPr>
          <w:p>
            <w:pPr>
              <w:ind w:left="100"/>
              <w:spacing w:after="0" w:line="189" w:lineRule="exact"/>
              <w:rPr>
                <w:sz w:val="20"/>
                <w:szCs w:val="20"/>
                <w:color w:val="auto"/>
              </w:rPr>
            </w:pPr>
            <w:r>
              <w:rPr>
                <w:rFonts w:ascii="Arial" w:cs="Arial" w:eastAsia="Arial" w:hAnsi="Arial"/>
                <w:sz w:val="17"/>
                <w:szCs w:val="17"/>
                <w:color w:val="auto"/>
              </w:rPr>
              <w:t>Other liabilities</w:t>
            </w:r>
          </w:p>
        </w:tc>
        <w:tc>
          <w:tcPr>
            <w:tcW w:w="1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b w:val="1"/>
                <w:bCs w:val="1"/>
                <w:color w:val="auto"/>
              </w:rPr>
              <w:t>(224)</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(18)</w:t>
            </w:r>
          </w:p>
        </w:tc>
      </w:tr>
      <w:tr>
        <w:trPr>
          <w:trHeight w:val="182"/>
        </w:trPr>
        <w:tc>
          <w:tcPr>
            <w:tcW w:w="48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b w:val="1"/>
                <w:bCs w:val="1"/>
                <w:color w:val="auto"/>
              </w:rPr>
              <w:t>(138)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83</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Based upon the level of historical taxable income and projections for future taxable income, which are based upon our long-range strategic plans, management believes it is more likely than not that we will realize the benefits of deductible differences, net of the valuation allowances at January 29, 2022, over the periods in which the temporary differences are anticipated to reverse. However, the amount of the deferred tax asset considered realizable could be adjusted in the future if estimates of taxable income are revised.</w:t>
      </w:r>
    </w:p>
    <w:p>
      <w:pPr>
        <w:spacing w:after="0" w:line="16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As of January 29, 2022, we have a valuation allowance of $80 million to reduce our deferred tax assets to an amount that is more likely than not to be realized. A valuation allowance of $68 million was recorded against tax loss carryforwards of certain foreign entities. Based on the history of losses and the absence of prudent and feasible business plans for generating future taxable income in these entities, we believe it is more likely than not that the benefit of these loss carryforwards will not be realized. As of January 29, 2022, a valuation allowance of $11 million was established for foreign taxes assessed at rates in excess of the U.S. federal tax rate for which no U.S. foreign tax credit is available.</w:t>
      </w:r>
    </w:p>
    <w:p>
      <w:pPr>
        <w:spacing w:after="0" w:line="16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Additionally, since we do not have any reasonably foreseeable sources of Canadian capital gains, a valuation allowance of $1 million was established since 2019 for a deferred tax asset arising from a capital loss associated with an uncollectible Canadian note receivable.</w:t>
      </w:r>
    </w:p>
    <w:p>
      <w:pPr>
        <w:spacing w:after="0" w:line="14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At January 29, 2022, we have international minimum tax credit carryforwards with a potential tax benefit of $3 million and operating loss carryforwards with a potential tax benefit of $114 million, a portion of which will expire between 2022 and 2036 and a portion of which will never expire. We will have, when realized, a capital loss with a potential benefit of $1 million arising from a Canadian note receivable. The Canadian loss will carryforward indefinitely after realization. The international operating loss carryforwards include nominal unrecognized tax benefits. We also have foreign tax credit carrybacks and carryforwards with a potential tax benefit of $15 million that will expire between 2022 and 2031.</w:t>
      </w:r>
    </w:p>
    <w:p>
      <w:pPr>
        <w:spacing w:after="0" w:line="16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operate in multiple taxing jurisdictions and are subject to audit. Audits can involve complex issues that may require an extended period of time to resolve. A taxing authority may challenge positions that we have adopted in our income tax filings. Accordingly, we may apply different tax treatments for transactions in filing the income tax returns than for income tax financial reporting. We regularly assess our tax positions for such transactions and record reserves for those differences.</w:t>
      </w:r>
    </w:p>
    <w:p>
      <w:pPr>
        <w:spacing w:after="0" w:line="16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examination of our 2020 U.S. Federal income tax filing was concluded in March 2022. We are participating in the IRS’s Compliance Assurance Process (“CAP”) for 2022 and 2021. The 2021 CAP is expected to conclude during 2022. We are subject to state and local tax examinations from 2015 to the present. To date, no adjustments have been proposed in any audits that will have a material effect on our financial position or results of operations.</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At January 29, 2022, we had $41 million of gross unrecognized tax benefits, of which $35 million would, if recognized, affect our annual effective tax rate. We classified certain income tax liabilities as current or noncurrent based on management’s estimate of when these liabilities will be settled. Interest expense and penalties related to unrecognized tax benefits are classified as income tax expense. We recognized $1 million of interest expense in 2021, 2020, and 2019. The total amount of accrued interest and penalties was $3 million, $3 million, and $2 million in 2021, 2020, and 2019,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the activity related to unrecognized tax benefits: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96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2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7"/>
                <w:szCs w:val="17"/>
                <w:b w:val="1"/>
                <w:bCs w:val="1"/>
                <w:color w:val="auto"/>
              </w:rPr>
              <w:t>2021</w:t>
            </w:r>
          </w:p>
        </w:tc>
        <w:tc>
          <w:tcPr>
            <w:tcW w:w="420" w:type="dxa"/>
            <w:vAlign w:val="bottom"/>
          </w:tcPr>
          <w:p>
            <w:pPr>
              <w:spacing w:after="0"/>
              <w:rPr>
                <w:sz w:val="18"/>
                <w:szCs w:val="18"/>
                <w:color w:val="auto"/>
              </w:rPr>
            </w:pPr>
          </w:p>
        </w:tc>
        <w:tc>
          <w:tcPr>
            <w:tcW w:w="1160" w:type="dxa"/>
            <w:vAlign w:val="bottom"/>
          </w:tcPr>
          <w:p>
            <w:pPr>
              <w:jc w:val="right"/>
              <w:ind w:right="515"/>
              <w:spacing w:after="0"/>
              <w:rPr>
                <w:sz w:val="20"/>
                <w:szCs w:val="20"/>
                <w:color w:val="auto"/>
              </w:rPr>
            </w:pPr>
            <w:r>
              <w:rPr>
                <w:rFonts w:ascii="Arial" w:cs="Arial" w:eastAsia="Arial" w:hAnsi="Arial"/>
                <w:sz w:val="17"/>
                <w:szCs w:val="17"/>
                <w:color w:val="auto"/>
              </w:rPr>
              <w:t>2020</w:t>
            </w:r>
          </w:p>
        </w:tc>
        <w:tc>
          <w:tcPr>
            <w:tcW w:w="42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20" w:type="dxa"/>
            <w:vAlign w:val="bottom"/>
          </w:tcPr>
          <w:p>
            <w:pPr>
              <w:spacing w:after="0"/>
              <w:rPr>
                <w:sz w:val="15"/>
                <w:szCs w:val="15"/>
                <w:color w:val="auto"/>
              </w:rPr>
            </w:pPr>
          </w:p>
        </w:tc>
        <w:tc>
          <w:tcPr>
            <w:tcW w:w="39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Unrecognized tax benefits at beginning of year</w:t>
            </w:r>
          </w:p>
        </w:tc>
        <w:tc>
          <w:tcPr>
            <w:tcW w:w="7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47</w:t>
            </w:r>
          </w:p>
        </w:tc>
        <w:tc>
          <w:tcPr>
            <w:tcW w:w="4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45</w:t>
            </w:r>
          </w:p>
        </w:tc>
        <w:tc>
          <w:tcPr>
            <w:tcW w:w="420" w:type="dxa"/>
            <w:vAlign w:val="bottom"/>
            <w:tcBorders>
              <w:top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Foreign currency translation adjustments</w:t>
            </w:r>
          </w:p>
        </w:tc>
        <w:tc>
          <w:tcPr>
            <w:tcW w:w="7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4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Increases related to current year tax positions</w:t>
            </w:r>
          </w:p>
        </w:tc>
        <w:tc>
          <w:tcPr>
            <w:tcW w:w="7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Increases related to prior period tax positions</w:t>
            </w:r>
          </w:p>
        </w:tc>
        <w:tc>
          <w:tcPr>
            <w:tcW w:w="7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w:t>
            </w:r>
          </w:p>
        </w:tc>
        <w:tc>
          <w:tcPr>
            <w:tcW w:w="420" w:type="dxa"/>
            <w:vAlign w:val="bottom"/>
          </w:tcPr>
          <w:p>
            <w:pPr>
              <w:spacing w:after="0"/>
              <w:rPr>
                <w:sz w:val="16"/>
                <w:szCs w:val="16"/>
                <w:color w:val="auto"/>
              </w:rPr>
            </w:pPr>
          </w:p>
        </w:tc>
        <w:tc>
          <w:tcPr>
            <w:tcW w:w="11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12</w:t>
            </w: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Decreases related to prior period tax positions</w:t>
            </w:r>
          </w:p>
        </w:tc>
        <w:tc>
          <w:tcPr>
            <w:tcW w:w="7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3940" w:type="dxa"/>
            <w:vAlign w:val="bottom"/>
          </w:tcPr>
          <w:p>
            <w:pPr>
              <w:spacing w:after="0" w:line="189" w:lineRule="exact"/>
              <w:rPr>
                <w:sz w:val="20"/>
                <w:szCs w:val="20"/>
                <w:color w:val="auto"/>
              </w:rPr>
            </w:pPr>
            <w:r>
              <w:rPr>
                <w:rFonts w:ascii="Arial" w:cs="Arial" w:eastAsia="Arial" w:hAnsi="Arial"/>
                <w:sz w:val="17"/>
                <w:szCs w:val="17"/>
                <w:color w:val="auto"/>
              </w:rPr>
              <w:t>Settlements</w:t>
            </w:r>
          </w:p>
        </w:tc>
        <w:tc>
          <w:tcPr>
            <w:tcW w:w="7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420" w:type="dxa"/>
            <w:vAlign w:val="bottom"/>
          </w:tcPr>
          <w:p>
            <w:pPr>
              <w:spacing w:after="0"/>
              <w:rPr>
                <w:sz w:val="16"/>
                <w:szCs w:val="16"/>
                <w:color w:val="auto"/>
              </w:rPr>
            </w:pPr>
          </w:p>
        </w:tc>
        <w:tc>
          <w:tcPr>
            <w:tcW w:w="1160" w:type="dxa"/>
            <w:vAlign w:val="bottom"/>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42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39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Lapse of statute of limitations</w:t>
            </w:r>
          </w:p>
        </w:tc>
        <w:tc>
          <w:tcPr>
            <w:tcW w:w="7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(5)</w:t>
            </w:r>
          </w:p>
        </w:tc>
        <w:tc>
          <w:tcPr>
            <w:tcW w:w="4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w:t>
            </w: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3"/>
        </w:trPr>
        <w:tc>
          <w:tcPr>
            <w:tcW w:w="20" w:type="dxa"/>
            <w:vAlign w:val="bottom"/>
            <w:tcBorders>
              <w:bottom w:val="single" w:sz="8" w:color="auto"/>
            </w:tcBorders>
          </w:tcPr>
          <w:p>
            <w:pPr>
              <w:spacing w:after="0"/>
              <w:rPr>
                <w:sz w:val="15"/>
                <w:szCs w:val="15"/>
                <w:color w:val="auto"/>
              </w:rPr>
            </w:pPr>
          </w:p>
        </w:tc>
        <w:tc>
          <w:tcPr>
            <w:tcW w:w="39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Unrecognized tax benefits at end of year</w:t>
            </w:r>
          </w:p>
        </w:tc>
        <w:tc>
          <w:tcPr>
            <w:tcW w:w="7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41</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47</w:t>
            </w:r>
          </w:p>
        </w:tc>
        <w:tc>
          <w:tcPr>
            <w:tcW w:w="42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45</w:t>
            </w:r>
          </w:p>
        </w:tc>
      </w:tr>
      <w:tr>
        <w:trPr>
          <w:trHeight w:val="20"/>
        </w:trPr>
        <w:tc>
          <w:tcPr>
            <w:tcW w:w="20" w:type="dxa"/>
            <w:vAlign w:val="bottom"/>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It is reasonably possible that the liability associated with our unrecognized tax benefits will increase or decrease within the next twelve months. These changes may be the result of foreign currency fluctuations, ongoing audits, or the expiration of statutes of limitations. Settlements during 2022 are not expected to be significant based on current estimates. Audit outcomes and the timing of audit settlements are subject to significant uncertainty. Although management believes that adequate provision has been made for such issues, the ultimate resolution could have an adverse effect on our earnings. Conversely, if these issues are resolved favorably in the future, the related provision would be reduced, generating a positive effect on earnings.</w:t>
      </w:r>
    </w:p>
    <w:p>
      <w:pPr>
        <w:spacing w:after="0" w:line="16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Due to the uncertainty of amounts and in accordance with our accounting policies, we have not recorded any potential consequences of these settlements. In addition, to the extent there are settlements in the future for certain foreign unrecognized tax benefits, the transition tax may also be revised accordingly.</w:t>
      </w:r>
    </w:p>
    <w:p>
      <w:pPr>
        <w:spacing w:after="0" w:line="200" w:lineRule="exact"/>
        <w:rPr>
          <w:sz w:val="20"/>
          <w:szCs w:val="20"/>
          <w:color w:val="auto"/>
        </w:rPr>
      </w:pPr>
    </w:p>
    <w:p>
      <w:pPr>
        <w:spacing w:after="0" w:line="31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7" w:name="page68"/>
    <w:bookmarkEnd w:id="67"/>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18. Financial Instruments and Risk Management</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operate internationally and utilize certain derivative financial instruments to mitigate our foreign currency exposures, primarily related to third-party and intercompany forecasted transactions. As a result of the use of derivative instruments, we are exposed to the risk that counterparties will fail to meet their contractual obligations. To mitigate this counterparty credit risk, we have a practice of entering into contracts with major financial institutions selected based upon their credit ratings and other financial factors. We monitor the creditworthiness of counterparties throughout the duration of the derivative instrument.</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Designated as Hedges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For a derivative to qualify as a hedge at inception and throughout the hedged period, we formally document the nature of the hedged items and the relationships between the hedging instruments and the hedged items, as well as our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Gains or losses recognized in earnings for any of the periods presented were not significant. Derivative financial instruments qualifying for hedge accounting must maintain a specified level of effectiveness between the hedging instrument and the item being hedged, both at inception and throughout the hedged period, which we evaluate periodically.</w:t>
      </w:r>
    </w:p>
    <w:p>
      <w:pPr>
        <w:spacing w:after="0" w:line="154"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primary currencies to which we are exposed are the euro, British pound, Canadian dollar, and Australian dollar. Generally, merchandise inventories are purchased by each geographic area in their respective local currency with the exception of the United Kingdom, whose merchandise inventory purchases are primarily denominated in euros.</w:t>
      </w:r>
    </w:p>
    <w:p>
      <w:pPr>
        <w:spacing w:after="0" w:line="161"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we exclude the time value of the contract from the assessment of effectiveness.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At January 29, 2022, no contracts were outstanding. The notional value of the contracts outstanding January 30, 2021 was $69 million. The loss in AOCL was not significant for any of the periods presented.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Derivative Holdings Not Designated as Hedges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We enter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SG&amp;A or Other income, net, depending on the type of transaction. The aggregate amount recognized for these contracts was not significant for any of the periods presented.</w:t>
      </w:r>
    </w:p>
    <w:p>
      <w:pPr>
        <w:spacing w:after="0" w:line="16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notional value of foreign exchange forward contracts outstanding at January 29, 2022 and January 30, 2021 was $99 million and $135 million, respectively. The foreign exchange forward contracts outstanding at January 29, 2022 extend less than twelve months into the future.</w:t>
      </w:r>
    </w:p>
    <w:p>
      <w:pPr>
        <w:spacing w:after="0" w:line="14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8" w:name="page69"/>
    <w:bookmarkEnd w:id="68"/>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Fair Value of Derivative Contracts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represents the fair value of our derivative contracts.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20" w:type="dxa"/>
            <w:vAlign w:val="bottom"/>
          </w:tcPr>
          <w:p>
            <w:pPr>
              <w:spacing w:after="0"/>
              <w:rPr>
                <w:sz w:val="16"/>
                <w:szCs w:val="16"/>
                <w:color w:val="auto"/>
              </w:rPr>
            </w:pPr>
          </w:p>
        </w:tc>
        <w:tc>
          <w:tcPr>
            <w:tcW w:w="2220" w:type="dxa"/>
            <w:vAlign w:val="bottom"/>
          </w:tcPr>
          <w:p>
            <w:pPr>
              <w:jc w:val="center"/>
              <w:ind w:left="555"/>
              <w:spacing w:after="0"/>
              <w:rPr>
                <w:sz w:val="20"/>
                <w:szCs w:val="20"/>
                <w:color w:val="auto"/>
              </w:rPr>
            </w:pPr>
            <w:r>
              <w:rPr>
                <w:rFonts w:ascii="Arial" w:cs="Arial" w:eastAsia="Arial" w:hAnsi="Arial"/>
                <w:sz w:val="17"/>
                <w:szCs w:val="17"/>
                <w:b w:val="1"/>
                <w:bCs w:val="1"/>
                <w:color w:val="auto"/>
              </w:rPr>
              <w:t>Balance Sheet</w:t>
            </w:r>
          </w:p>
        </w:tc>
        <w:tc>
          <w:tcPr>
            <w:tcW w:w="360" w:type="dxa"/>
            <w:vAlign w:val="bottom"/>
          </w:tcPr>
          <w:p>
            <w:pPr>
              <w:spacing w:after="0"/>
              <w:rPr>
                <w:sz w:val="16"/>
                <w:szCs w:val="16"/>
                <w:color w:val="auto"/>
              </w:rPr>
            </w:pPr>
          </w:p>
        </w:tc>
        <w:tc>
          <w:tcPr>
            <w:tcW w:w="1340" w:type="dxa"/>
            <w:vAlign w:val="bottom"/>
          </w:tcPr>
          <w:p>
            <w:pPr>
              <w:jc w:val="right"/>
              <w:ind w:right="235"/>
              <w:spacing w:after="0"/>
              <w:rPr>
                <w:sz w:val="20"/>
                <w:szCs w:val="20"/>
                <w:color w:val="auto"/>
              </w:rPr>
            </w:pPr>
            <w:r>
              <w:rPr>
                <w:rFonts w:ascii="Arial" w:cs="Arial" w:eastAsia="Arial" w:hAnsi="Arial"/>
                <w:sz w:val="17"/>
                <w:szCs w:val="17"/>
                <w:b w:val="1"/>
                <w:bCs w:val="1"/>
                <w:color w:val="auto"/>
              </w:rPr>
              <w:t>January 29,</w:t>
            </w:r>
          </w:p>
        </w:tc>
        <w:tc>
          <w:tcPr>
            <w:tcW w:w="320" w:type="dxa"/>
            <w:vAlign w:val="bottom"/>
          </w:tcPr>
          <w:p>
            <w:pPr>
              <w:spacing w:after="0"/>
              <w:rPr>
                <w:sz w:val="16"/>
                <w:szCs w:val="16"/>
                <w:color w:val="auto"/>
              </w:rPr>
            </w:pPr>
          </w:p>
        </w:tc>
        <w:tc>
          <w:tcPr>
            <w:tcW w:w="1240" w:type="dxa"/>
            <w:vAlign w:val="bottom"/>
          </w:tcPr>
          <w:p>
            <w:pPr>
              <w:jc w:val="right"/>
              <w:ind w:right="175"/>
              <w:spacing w:after="0"/>
              <w:rPr>
                <w:sz w:val="20"/>
                <w:szCs w:val="20"/>
                <w:color w:val="auto"/>
              </w:rPr>
            </w:pPr>
            <w:r>
              <w:rPr>
                <w:rFonts w:ascii="Arial" w:cs="Arial" w:eastAsia="Arial" w:hAnsi="Arial"/>
                <w:sz w:val="17"/>
                <w:szCs w:val="17"/>
                <w:color w:val="auto"/>
              </w:rPr>
              <w:t>January 30,</w:t>
            </w:r>
          </w:p>
        </w:tc>
      </w:tr>
      <w:tr>
        <w:trPr>
          <w:trHeight w:val="215"/>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220" w:type="dxa"/>
            <w:vAlign w:val="bottom"/>
            <w:tcBorders>
              <w:bottom w:val="single" w:sz="8" w:color="auto"/>
            </w:tcBorders>
          </w:tcPr>
          <w:p>
            <w:pPr>
              <w:jc w:val="center"/>
              <w:ind w:left="555"/>
              <w:spacing w:after="0"/>
              <w:rPr>
                <w:sz w:val="20"/>
                <w:szCs w:val="20"/>
                <w:color w:val="auto"/>
              </w:rPr>
            </w:pPr>
            <w:r>
              <w:rPr>
                <w:rFonts w:ascii="Arial" w:cs="Arial" w:eastAsia="Arial" w:hAnsi="Arial"/>
                <w:sz w:val="17"/>
                <w:szCs w:val="17"/>
                <w:b w:val="1"/>
                <w:bCs w:val="1"/>
                <w:color w:val="auto"/>
                <w:w w:val="97"/>
              </w:rPr>
              <w:t>Caption</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2022</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2021</w:t>
            </w:r>
          </w:p>
        </w:tc>
      </w:tr>
      <w:tr>
        <w:trPr>
          <w:trHeight w:val="183"/>
        </w:trPr>
        <w:tc>
          <w:tcPr>
            <w:tcW w:w="34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i w:val="1"/>
                <w:iCs w:val="1"/>
                <w:color w:val="auto"/>
              </w:rPr>
              <w:t>Hedging Instruments:</w:t>
            </w:r>
          </w:p>
        </w:tc>
        <w:tc>
          <w:tcPr>
            <w:tcW w:w="2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3420" w:type="dxa"/>
            <w:vAlign w:val="bottom"/>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220" w:type="dxa"/>
            <w:vAlign w:val="bottom"/>
          </w:tcPr>
          <w:p>
            <w:pPr>
              <w:ind w:left="680"/>
              <w:spacing w:after="0" w:line="189" w:lineRule="exact"/>
              <w:rPr>
                <w:sz w:val="20"/>
                <w:szCs w:val="20"/>
                <w:color w:val="auto"/>
              </w:rPr>
            </w:pPr>
            <w:r>
              <w:rPr>
                <w:rFonts w:ascii="Arial" w:cs="Arial" w:eastAsia="Arial" w:hAnsi="Arial"/>
                <w:sz w:val="17"/>
                <w:szCs w:val="17"/>
                <w:color w:val="auto"/>
              </w:rPr>
              <w:t>Current assets</w:t>
            </w:r>
          </w:p>
        </w:tc>
        <w:tc>
          <w:tcPr>
            <w:tcW w:w="3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4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Foreign exchange forward contracts</w:t>
            </w:r>
          </w:p>
        </w:tc>
        <w:tc>
          <w:tcPr>
            <w:tcW w:w="2220" w:type="dxa"/>
            <w:vAlign w:val="bottom"/>
            <w:tcBorders>
              <w:bottom w:val="single" w:sz="8" w:color="auto"/>
            </w:tcBorders>
            <w:shd w:val="clear" w:color="auto" w:fill="CCEEFF"/>
          </w:tcPr>
          <w:p>
            <w:pPr>
              <w:ind w:left="680"/>
              <w:spacing w:after="0" w:line="189" w:lineRule="exact"/>
              <w:rPr>
                <w:sz w:val="20"/>
                <w:szCs w:val="20"/>
                <w:color w:val="auto"/>
              </w:rPr>
            </w:pPr>
            <w:r>
              <w:rPr>
                <w:rFonts w:ascii="Arial" w:cs="Arial" w:eastAsia="Arial" w:hAnsi="Arial"/>
                <w:sz w:val="17"/>
                <w:szCs w:val="17"/>
                <w:color w:val="auto"/>
              </w:rPr>
              <w:t>Current liabilities</w:t>
            </w:r>
          </w:p>
        </w:tc>
        <w:tc>
          <w:tcPr>
            <w:tcW w:w="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bl>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Notional Values and Foreign Currency Exchange Rates</w:t>
      </w:r>
    </w:p>
    <w:p>
      <w:pPr>
        <w:spacing w:after="0" w:line="187"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table below presents the notional amounts for all outstanding derivatives and the weighted-average exchange rates of foreign exchange forward contracts at January 29, 2022:</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jc w:val="center"/>
              <w:ind w:left="3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37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w w:val="98"/>
              </w:rPr>
              <w:t>Average</w:t>
            </w:r>
          </w:p>
        </w:tc>
      </w:tr>
      <w:tr>
        <w:trPr>
          <w:trHeight w:val="215"/>
        </w:trPr>
        <w:tc>
          <w:tcPr>
            <w:tcW w:w="3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Contract Value</w:t>
            </w:r>
          </w:p>
        </w:tc>
        <w:tc>
          <w:tcPr>
            <w:tcW w:w="138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rPr>
              <w:t>Exchange Rate</w:t>
            </w:r>
          </w:p>
        </w:tc>
      </w:tr>
      <w:tr>
        <w:trPr>
          <w:trHeight w:val="183"/>
        </w:trPr>
        <w:tc>
          <w:tcPr>
            <w:tcW w:w="37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Intercompany</w:t>
            </w:r>
          </w:p>
        </w:tc>
        <w:tc>
          <w:tcPr>
            <w:tcW w:w="23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7"/>
                <w:szCs w:val="17"/>
                <w:color w:val="auto"/>
              </w:rPr>
              <w:t>Buy US $/Sell CAD $</w:t>
            </w:r>
          </w:p>
        </w:tc>
        <w:tc>
          <w:tcPr>
            <w:tcW w:w="23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3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1380" w:type="dxa"/>
            <w:vAlign w:val="bottom"/>
          </w:tcPr>
          <w:p>
            <w:pPr>
              <w:jc w:val="right"/>
              <w:spacing w:after="0" w:line="189" w:lineRule="exact"/>
              <w:rPr>
                <w:sz w:val="20"/>
                <w:szCs w:val="20"/>
                <w:color w:val="auto"/>
              </w:rPr>
            </w:pPr>
            <w:r>
              <w:rPr>
                <w:rFonts w:ascii="Arial" w:cs="Arial" w:eastAsia="Arial" w:hAnsi="Arial"/>
                <w:sz w:val="17"/>
                <w:szCs w:val="17"/>
                <w:color w:val="auto"/>
              </w:rPr>
              <w:t>1.2512</w:t>
            </w: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Buy US $/Sell AUD $</w:t>
            </w:r>
          </w:p>
        </w:tc>
        <w:tc>
          <w:tcPr>
            <w:tcW w:w="23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1.3740</w:t>
            </w:r>
          </w:p>
        </w:tc>
      </w:tr>
      <w:tr>
        <w:trPr>
          <w:trHeight w:val="189"/>
        </w:trPr>
        <w:tc>
          <w:tcPr>
            <w:tcW w:w="37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Buy US $/ Sell Yen</w:t>
            </w:r>
          </w:p>
        </w:tc>
        <w:tc>
          <w:tcPr>
            <w:tcW w:w="2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95</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116.2600</w:t>
            </w:r>
          </w:p>
        </w:tc>
      </w:tr>
    </w:tbl>
    <w:p>
      <w:pPr>
        <w:spacing w:after="0" w:line="15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Business Risk</w:t>
      </w:r>
    </w:p>
    <w:p>
      <w:pPr>
        <w:spacing w:after="0" w:line="18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retail business is highly competitive. Price, quality, selection of merchandise, reputation, store location, advertising, and customer experience are important competitive factors in our business. We operate in 28 countries and purchased 87% of our merchandise in 2021 from our top 5 suppliers. In 2021, we purchased 68% of our athletic merchandise from one major supplier, Nike, Inc. (“Nike”). Each of our banners are highly dependent on Nike; they individually purchased 50% to 75% of their merchandise from Nike. Beginning with the fourth quarter of 2022, we do not expect any one supplier to represent more than 55% of merchandise purchases.</w:t>
      </w:r>
    </w:p>
    <w:p>
      <w:pPr>
        <w:spacing w:after="0" w:line="14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Included in our Consolidated Balance Sheet at January 29, 2022, are the net assets of our European operations, which total $505 million and are located in 19 countries, 11 of which have adopted the euro as their functional currency.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19. Fair Value Measurements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categorize our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w:t>
      </w:r>
    </w:p>
    <w:p>
      <w:pPr>
        <w:spacing w:after="0" w:line="150"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spacing w:after="0" w:line="134"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7"/>
          <w:szCs w:val="17"/>
          <w:b w:val="1"/>
          <w:bCs w:val="1"/>
          <w:color w:val="auto"/>
        </w:rPr>
        <w:t>Level 1 -</w:t>
      </w:r>
      <w:r>
        <w:rPr>
          <w:sz w:val="20"/>
          <w:szCs w:val="20"/>
          <w:color w:val="auto"/>
        </w:rPr>
        <w:tab/>
      </w:r>
      <w:r>
        <w:rPr>
          <w:rFonts w:ascii="Arial" w:cs="Arial" w:eastAsia="Arial" w:hAnsi="Arial"/>
          <w:sz w:val="17"/>
          <w:szCs w:val="17"/>
          <w:color w:val="auto"/>
        </w:rPr>
        <w:t>Quoted prices for identical instruments in active markets.</w:t>
      </w:r>
    </w:p>
    <w:p>
      <w:pPr>
        <w:spacing w:after="0" w:line="14" w:lineRule="exact"/>
        <w:rPr>
          <w:sz w:val="20"/>
          <w:szCs w:val="20"/>
          <w:color w:val="auto"/>
        </w:rPr>
      </w:pPr>
    </w:p>
    <w:p>
      <w:pPr>
        <w:jc w:val="both"/>
        <w:ind w:left="1020" w:right="59" w:hanging="945"/>
        <w:spacing w:after="0" w:line="232" w:lineRule="auto"/>
        <w:tabs>
          <w:tab w:leader="none" w:pos="1000" w:val="left"/>
        </w:tabs>
        <w:rPr>
          <w:sz w:val="20"/>
          <w:szCs w:val="20"/>
          <w:color w:val="auto"/>
        </w:rPr>
      </w:pPr>
      <w:r>
        <w:rPr>
          <w:rFonts w:ascii="Arial" w:cs="Arial" w:eastAsia="Arial" w:hAnsi="Arial"/>
          <w:sz w:val="17"/>
          <w:szCs w:val="17"/>
          <w:b w:val="1"/>
          <w:bCs w:val="1"/>
          <w:color w:val="auto"/>
        </w:rPr>
        <w:t>Level 2 -</w:t>
      </w:r>
      <w:r>
        <w:rPr>
          <w:sz w:val="20"/>
          <w:szCs w:val="20"/>
          <w:color w:val="auto"/>
        </w:rPr>
        <w:tab/>
      </w:r>
      <w:r>
        <w:rPr>
          <w:rFonts w:ascii="Arial" w:cs="Arial" w:eastAsia="Arial" w:hAnsi="Arial"/>
          <w:sz w:val="17"/>
          <w:szCs w:val="17"/>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jc w:val="both"/>
        <w:ind w:left="1020" w:right="59" w:hanging="945"/>
        <w:spacing w:after="0" w:line="243" w:lineRule="auto"/>
        <w:tabs>
          <w:tab w:leader="none" w:pos="1000" w:val="left"/>
        </w:tabs>
        <w:rPr>
          <w:sz w:val="20"/>
          <w:szCs w:val="20"/>
          <w:color w:val="auto"/>
        </w:rPr>
      </w:pPr>
      <w:r>
        <w:rPr>
          <w:rFonts w:ascii="Arial" w:cs="Arial" w:eastAsia="Arial" w:hAnsi="Arial"/>
          <w:sz w:val="17"/>
          <w:szCs w:val="17"/>
          <w:b w:val="1"/>
          <w:bCs w:val="1"/>
          <w:color w:val="auto"/>
        </w:rPr>
        <w:t>Level 3 -</w:t>
      </w:r>
      <w:r>
        <w:rPr>
          <w:sz w:val="20"/>
          <w:szCs w:val="20"/>
          <w:color w:val="auto"/>
        </w:rPr>
        <w:tab/>
      </w:r>
      <w:r>
        <w:rPr>
          <w:rFonts w:ascii="Arial" w:cs="Arial" w:eastAsia="Arial" w:hAnsi="Arial"/>
          <w:sz w:val="17"/>
          <w:szCs w:val="17"/>
          <w:color w:val="auto"/>
        </w:rPr>
        <w:t>Model-derived valuations in which one or more significant inputs or significant value-drivers are unobservable.</w:t>
      </w:r>
    </w:p>
    <w:p>
      <w:pPr>
        <w:spacing w:after="0" w:line="347"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During the second quarter of 2021, we invested $68 million to take a common stock minority stake in a public entity, Retailors, Ltd., which is traded on the Tel Aviv stock exchange. This investment is classified as a Level 1 instrument since the fair value is readily available in an active market.</w:t>
      </w:r>
    </w:p>
    <w:p>
      <w:pPr>
        <w:spacing w:after="0" w:line="14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Our auction rate security, classified as available-for-sale, is recorded within Other assets on the Consolidated Balance Sheet and is recorded at fair value with gains and losses reported in Other income, net in our Consolidated Statements of Operations. The fair value of the auction rate security is determined by using quoted prices for similar instruments in active markets and accordingly is classified as a Level 2 instrument.</w:t>
      </w:r>
    </w:p>
    <w:p>
      <w:pPr>
        <w:spacing w:after="0" w:line="16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fair value of the contingent consideration liability associated with the atmos acquisition is estimated using an option pricing model simulation that determines an average projected payment value across numerous iterations. See Note 1 for further details.</w:t>
      </w:r>
    </w:p>
    <w:p>
      <w:pPr>
        <w:spacing w:after="0" w:line="20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720" w:type="dxa"/>
            <w:vAlign w:val="bottom"/>
            <w:gridSpan w:val="8"/>
          </w:tcPr>
          <w:p>
            <w:pPr>
              <w:spacing w:after="0"/>
              <w:rPr>
                <w:sz w:val="20"/>
                <w:szCs w:val="20"/>
                <w:color w:val="auto"/>
              </w:rPr>
            </w:pPr>
            <w:r>
              <w:rPr>
                <w:rFonts w:ascii="Arial" w:cs="Arial" w:eastAsia="Arial" w:hAnsi="Arial"/>
                <w:sz w:val="17"/>
                <w:szCs w:val="17"/>
                <w:i w:val="1"/>
                <w:iCs w:val="1"/>
                <w:color w:val="auto"/>
              </w:rPr>
              <w:t>Assets and Liabilities Measured at Fair Value on a Recurring Basis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25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24"/>
                <w:szCs w:val="24"/>
                <w:color w:val="auto"/>
              </w:rPr>
            </w:pPr>
          </w:p>
        </w:tc>
        <w:tc>
          <w:tcPr>
            <w:tcW w:w="2940" w:type="dxa"/>
            <w:vAlign w:val="bottom"/>
            <w:gridSpan w:val="5"/>
          </w:tcPr>
          <w:p>
            <w:pPr>
              <w:jc w:val="right"/>
              <w:ind w:right="555"/>
              <w:spacing w:after="0"/>
              <w:rPr>
                <w:sz w:val="20"/>
                <w:szCs w:val="20"/>
                <w:color w:val="auto"/>
              </w:rPr>
            </w:pPr>
            <w:r>
              <w:rPr>
                <w:rFonts w:ascii="Arial" w:cs="Arial" w:eastAsia="Arial" w:hAnsi="Arial"/>
                <w:sz w:val="17"/>
                <w:szCs w:val="17"/>
                <w:b w:val="1"/>
                <w:bCs w:val="1"/>
                <w:color w:val="auto"/>
              </w:rPr>
              <w:t>As of January 29, 2022</w:t>
            </w:r>
          </w:p>
        </w:tc>
        <w:tc>
          <w:tcPr>
            <w:tcW w:w="240" w:type="dxa"/>
            <w:vAlign w:val="bottom"/>
          </w:tcPr>
          <w:p>
            <w:pPr>
              <w:spacing w:after="0"/>
              <w:rPr>
                <w:sz w:val="24"/>
                <w:szCs w:val="24"/>
                <w:color w:val="auto"/>
              </w:rPr>
            </w:pPr>
          </w:p>
        </w:tc>
        <w:tc>
          <w:tcPr>
            <w:tcW w:w="2940" w:type="dxa"/>
            <w:vAlign w:val="bottom"/>
            <w:gridSpan w:val="5"/>
          </w:tcPr>
          <w:p>
            <w:pPr>
              <w:ind w:left="520"/>
              <w:spacing w:after="0"/>
              <w:rPr>
                <w:sz w:val="20"/>
                <w:szCs w:val="20"/>
                <w:color w:val="auto"/>
              </w:rPr>
            </w:pPr>
            <w:r>
              <w:rPr>
                <w:rFonts w:ascii="Arial" w:cs="Arial" w:eastAsia="Arial" w:hAnsi="Arial"/>
                <w:sz w:val="17"/>
                <w:szCs w:val="17"/>
                <w:color w:val="auto"/>
              </w:rPr>
              <w:t>As of January 30, 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1</w:t>
            </w: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15"/>
              <w:spacing w:after="0" w:line="183" w:lineRule="exact"/>
              <w:rPr>
                <w:sz w:val="20"/>
                <w:szCs w:val="20"/>
                <w:color w:val="auto"/>
              </w:rPr>
            </w:pPr>
            <w:r>
              <w:rPr>
                <w:rFonts w:ascii="Arial" w:cs="Arial" w:eastAsia="Arial" w:hAnsi="Arial"/>
                <w:sz w:val="17"/>
                <w:szCs w:val="17"/>
                <w:b w:val="1"/>
                <w:bCs w:val="1"/>
                <w:color w:val="auto"/>
              </w:rPr>
              <w:t>Level 2</w:t>
            </w: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35"/>
              <w:spacing w:after="0" w:line="183" w:lineRule="exact"/>
              <w:rPr>
                <w:sz w:val="20"/>
                <w:szCs w:val="20"/>
                <w:color w:val="auto"/>
              </w:rPr>
            </w:pPr>
            <w:r>
              <w:rPr>
                <w:rFonts w:ascii="Arial" w:cs="Arial" w:eastAsia="Arial" w:hAnsi="Arial"/>
                <w:sz w:val="17"/>
                <w:szCs w:val="17"/>
                <w:b w:val="1"/>
                <w:bCs w:val="1"/>
                <w:color w:val="auto"/>
              </w:rPr>
              <w:t>Level 3</w:t>
            </w:r>
          </w:p>
        </w:tc>
        <w:tc>
          <w:tcPr>
            <w:tcW w:w="2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ind w:left="40"/>
              <w:spacing w:after="0" w:line="183" w:lineRule="exact"/>
              <w:rPr>
                <w:sz w:val="20"/>
                <w:szCs w:val="20"/>
                <w:color w:val="auto"/>
              </w:rPr>
            </w:pPr>
            <w:r>
              <w:rPr>
                <w:rFonts w:ascii="Arial" w:cs="Arial" w:eastAsia="Arial" w:hAnsi="Arial"/>
                <w:sz w:val="17"/>
                <w:szCs w:val="17"/>
                <w:color w:val="auto"/>
              </w:rPr>
              <w:t>Level 1</w:t>
            </w:r>
          </w:p>
        </w:tc>
        <w:tc>
          <w:tcPr>
            <w:tcW w:w="26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Level 2</w:t>
            </w:r>
          </w:p>
        </w:tc>
        <w:tc>
          <w:tcPr>
            <w:tcW w:w="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40"/>
              <w:spacing w:after="0" w:line="183" w:lineRule="exact"/>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Pr>
          <w:p>
            <w:pPr>
              <w:spacing w:after="0" w:line="183" w:lineRule="exact"/>
              <w:rPr>
                <w:sz w:val="20"/>
                <w:szCs w:val="20"/>
                <w:color w:val="auto"/>
              </w:rPr>
            </w:pPr>
            <w:r>
              <w:rPr>
                <w:rFonts w:ascii="Arial" w:cs="Arial" w:eastAsia="Arial" w:hAnsi="Arial"/>
                <w:sz w:val="17"/>
                <w:szCs w:val="17"/>
                <w:color w:val="auto"/>
              </w:rPr>
              <w:t>Minority investment in common</w:t>
            </w:r>
          </w:p>
        </w:tc>
        <w:tc>
          <w:tcPr>
            <w:tcW w:w="2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145</w:t>
            </w: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Pr>
          <w:p>
            <w:pPr>
              <w:ind w:left="140"/>
              <w:spacing w:after="0"/>
              <w:rPr>
                <w:sz w:val="20"/>
                <w:szCs w:val="20"/>
                <w:color w:val="auto"/>
              </w:rPr>
            </w:pPr>
            <w:r>
              <w:rPr>
                <w:rFonts w:ascii="Arial" w:cs="Arial" w:eastAsia="Arial" w:hAnsi="Arial"/>
                <w:sz w:val="17"/>
                <w:szCs w:val="17"/>
                <w:color w:val="auto"/>
              </w:rPr>
              <w:t>stock</w:t>
            </w:r>
          </w:p>
        </w:tc>
        <w:tc>
          <w:tcPr>
            <w:tcW w:w="2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Available-for-sale security</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7</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Pr>
          <w:p>
            <w:pPr>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5"/>
                <w:szCs w:val="15"/>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5"/>
                <w:szCs w:val="15"/>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assets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145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7</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2480" w:type="dxa"/>
            <w:vAlign w:val="bottom"/>
          </w:tcPr>
          <w:p>
            <w:pPr>
              <w:spacing w:after="0" w:line="170" w:lineRule="exact"/>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Contingent consideration</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35</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ind w:lef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Pr>
          <w:p>
            <w:pPr>
              <w:spacing w:after="0" w:line="183" w:lineRule="exact"/>
              <w:rPr>
                <w:sz w:val="20"/>
                <w:szCs w:val="20"/>
                <w:color w:val="auto"/>
              </w:rPr>
            </w:pPr>
            <w:r>
              <w:rPr>
                <w:rFonts w:ascii="Arial" w:cs="Arial" w:eastAsia="Arial" w:hAnsi="Arial"/>
                <w:sz w:val="17"/>
                <w:szCs w:val="17"/>
                <w:color w:val="auto"/>
              </w:rPr>
              <w:t>Foreign exchange forward</w:t>
            </w:r>
          </w:p>
        </w:tc>
        <w:tc>
          <w:tcPr>
            <w:tcW w:w="280" w:type="dxa"/>
            <w:vAlign w:val="bottom"/>
          </w:tcPr>
          <w:p>
            <w:pPr>
              <w:spacing w:after="0"/>
              <w:rPr>
                <w:sz w:val="15"/>
                <w:szCs w:val="15"/>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0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w:t>
            </w:r>
          </w:p>
        </w:tc>
        <w:tc>
          <w:tcPr>
            <w:tcW w:w="260" w:type="dxa"/>
            <w:vAlign w:val="bottom"/>
          </w:tcPr>
          <w:p>
            <w:pPr>
              <w:spacing w:after="0"/>
              <w:rPr>
                <w:sz w:val="15"/>
                <w:szCs w:val="15"/>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contracts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35</w:t>
            </w: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ind w:left="54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60" w:right="1559"/>
        <w:spacing w:after="0" w:line="439" w:lineRule="auto"/>
        <w:rPr>
          <w:sz w:val="20"/>
          <w:szCs w:val="20"/>
          <w:color w:val="auto"/>
        </w:rPr>
      </w:pPr>
      <w:r>
        <w:rPr>
          <w:rFonts w:ascii="Arial" w:cs="Arial" w:eastAsia="Arial" w:hAnsi="Arial"/>
          <w:sz w:val="17"/>
          <w:szCs w:val="17"/>
          <w:color w:val="auto"/>
        </w:rPr>
        <w:t xml:space="preserve">There were no transfers into or out of Level 1, Level 2, or Level 3 for any of the periods presented. </w:t>
      </w:r>
      <w:r>
        <w:rPr>
          <w:rFonts w:ascii="Arial" w:cs="Arial" w:eastAsia="Arial" w:hAnsi="Arial"/>
          <w:sz w:val="17"/>
          <w:szCs w:val="17"/>
          <w:i w:val="1"/>
          <w:iCs w:val="1"/>
          <w:color w:val="auto"/>
        </w:rPr>
        <w:t>Assets and Liabilities Measured at Fair Value on a Nonrecurring Basis</w:t>
      </w:r>
    </w:p>
    <w:p>
      <w:pPr>
        <w:jc w:val="both"/>
        <w:ind w:left="60" w:right="59"/>
        <w:spacing w:after="0" w:line="235" w:lineRule="auto"/>
        <w:rPr>
          <w:sz w:val="20"/>
          <w:szCs w:val="20"/>
          <w:color w:val="auto"/>
        </w:rPr>
      </w:pPr>
      <w:r>
        <w:rPr>
          <w:rFonts w:ascii="Arial" w:cs="Arial" w:eastAsia="Arial" w:hAnsi="Arial"/>
          <w:sz w:val="17"/>
          <w:szCs w:val="17"/>
          <w:color w:val="auto"/>
        </w:rPr>
        <w:t>Certain assets and liabilities are measured at fair value on a nonrecurring basis. 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 As of January 29, 2022, cumulative impairments on our portfolio of minority investments were $53 million.</w:t>
      </w:r>
    </w:p>
    <w:p>
      <w:pPr>
        <w:spacing w:after="0" w:line="7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Long-Term Debt</w:t>
      </w:r>
    </w:p>
    <w:p>
      <w:pPr>
        <w:spacing w:after="0" w:line="18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value-drivers are observable in active markets and therefore are classified as Level 2.</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99"/>
              </w:rPr>
              <w:t>January 29, 2022</w:t>
            </w: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January 30, 2021</w:t>
            </w:r>
          </w:p>
        </w:tc>
      </w:tr>
      <w:tr>
        <w:trPr>
          <w:trHeight w:val="183"/>
        </w:trPr>
        <w:tc>
          <w:tcPr>
            <w:tcW w:w="3300" w:type="dxa"/>
            <w:vAlign w:val="bottom"/>
            <w:shd w:val="clear" w:color="auto" w:fill="CCEEFF"/>
          </w:tcPr>
          <w:p>
            <w:pPr>
              <w:spacing w:after="0" w:line="183" w:lineRule="exact"/>
              <w:rPr>
                <w:sz w:val="20"/>
                <w:szCs w:val="20"/>
                <w:color w:val="auto"/>
              </w:rPr>
            </w:pPr>
            <w:r>
              <w:rPr>
                <w:rFonts w:ascii="Arial" w:cs="Arial" w:eastAsia="Arial" w:hAnsi="Arial"/>
                <w:sz w:val="15"/>
                <w:szCs w:val="15"/>
                <w:color w:val="auto"/>
              </w:rPr>
              <w:t xml:space="preserve">Carrying value </w:t>
            </w:r>
            <w:r>
              <w:rPr>
                <w:rFonts w:ascii="Arial" w:cs="Arial" w:eastAsia="Arial" w:hAnsi="Arial"/>
                <w:sz w:val="21"/>
                <w:szCs w:val="21"/>
                <w:color w:val="auto"/>
                <w:vertAlign w:val="superscript"/>
              </w:rPr>
              <w:t>(1)</w:t>
            </w:r>
          </w:p>
        </w:tc>
        <w:tc>
          <w:tcPr>
            <w:tcW w:w="2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6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394</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100</w:t>
            </w:r>
          </w:p>
        </w:tc>
      </w:tr>
      <w:tr>
        <w:trPr>
          <w:trHeight w:val="189"/>
        </w:trPr>
        <w:tc>
          <w:tcPr>
            <w:tcW w:w="33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Fair value</w:t>
            </w:r>
          </w:p>
        </w:tc>
        <w:tc>
          <w:tcPr>
            <w:tcW w:w="2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6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389</w:t>
            </w:r>
          </w:p>
        </w:tc>
        <w:tc>
          <w:tcPr>
            <w:tcW w:w="3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106</w:t>
            </w:r>
          </w:p>
        </w:tc>
      </w:tr>
    </w:tbl>
    <w:p>
      <w:pPr>
        <w:spacing w:after="0" w:line="107"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carrying value of debt as of January 29, 2022 reflects $6 million of issuer’s discount and costs related to 4% Notes due in 2029.</w:t>
      </w:r>
    </w:p>
    <w:p>
      <w:pPr>
        <w:spacing w:after="0" w:line="169"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 carrying values of cash and cash equivalents, restricted cash, and other current receivables and payables approximate their fair value.</w:t>
      </w:r>
    </w:p>
    <w:p>
      <w:pPr>
        <w:spacing w:after="0" w:line="15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0" w:name="page71"/>
    <w:bookmarkEnd w:id="70"/>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20. Retirement Plans and Other Benefits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Pension and Other Postretirement Plans</w:t>
      </w:r>
    </w:p>
    <w:p>
      <w:pPr>
        <w:spacing w:after="0" w:line="18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have defined benefit pension plans covering certain of our North American employees. In May 2019, the U.S. qualified pension plan was amended such that all employees who were not participants in the plan as of December 31, 2019, will not become participants after such date. All benefit accruals were frozen as of December 31, 2019 for all plan participants with less than eleven years of service as of December 31, 2019. For participants with more than eleven years of service as of December 31, 2019, benefit accruals will be frozen as of December 31, 2022. Participants will continue to accrue interest at a fixed rate of 6% per year.</w:t>
      </w:r>
    </w:p>
    <w:p>
      <w:pPr>
        <w:spacing w:after="0" w:line="160"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We also sponsor postretirement medical and life insurance plans, which are available to most of our retired U.S. employees. These plans are contributory and are not funded. The measurement date of the assets and liabilities is the month-end date that is closest to our fiscal year end.</w:t>
      </w:r>
    </w:p>
    <w:p>
      <w:pPr>
        <w:spacing w:after="0" w:line="14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The following tables set forth the plans’ changes in benefit obligations and plan assets, funded status, and amounts recognized in the Consolidated Balance Sheets: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Pension Benefits</w:t>
            </w: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5"/>
              <w:spacing w:after="0" w:line="183" w:lineRule="exact"/>
              <w:rPr>
                <w:sz w:val="20"/>
                <w:szCs w:val="20"/>
                <w:color w:val="auto"/>
              </w:rPr>
            </w:pPr>
            <w:r>
              <w:rPr>
                <w:rFonts w:ascii="Arial" w:cs="Arial" w:eastAsia="Arial" w:hAnsi="Arial"/>
                <w:sz w:val="17"/>
                <w:szCs w:val="17"/>
                <w:b w:val="1"/>
                <w:bCs w:val="1"/>
                <w:color w:val="auto"/>
              </w:rPr>
              <w:t>2021</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2020</w:t>
            </w: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Change in benefit obligation</w:t>
            </w: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Benefit obligation at beginning of year</w:t>
            </w:r>
          </w:p>
        </w:tc>
        <w:tc>
          <w:tcPr>
            <w:tcW w:w="46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753</w:t>
            </w:r>
          </w:p>
        </w:tc>
        <w:tc>
          <w:tcPr>
            <w:tcW w:w="840" w:type="dxa"/>
            <w:vAlign w:val="bottom"/>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w w:val="98"/>
              </w:rPr>
              <w:t>775</w:t>
            </w:r>
          </w:p>
        </w:tc>
        <w:tc>
          <w:tcPr>
            <w:tcW w:w="26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13</w:t>
            </w:r>
          </w:p>
        </w:tc>
        <w:tc>
          <w:tcPr>
            <w:tcW w:w="32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Service cost</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16</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14</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Interest cost</w:t>
            </w:r>
          </w:p>
        </w:tc>
        <w:tc>
          <w:tcPr>
            <w:tcW w:w="46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18</w:t>
            </w:r>
          </w:p>
        </w:tc>
        <w:tc>
          <w:tcPr>
            <w:tcW w:w="84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Plan participants’ contributions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Actuarial (gain)/loss</w:t>
            </w:r>
          </w:p>
        </w:tc>
        <w:tc>
          <w:tcPr>
            <w:tcW w:w="460" w:type="dxa"/>
            <w:vAlign w:val="bottom"/>
          </w:tcPr>
          <w:p>
            <w:pPr>
              <w:spacing w:after="0"/>
              <w:rPr>
                <w:sz w:val="16"/>
                <w:szCs w:val="16"/>
                <w:color w:val="auto"/>
              </w:rPr>
            </w:pPr>
          </w:p>
        </w:tc>
        <w:tc>
          <w:tcPr>
            <w:tcW w:w="9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(55)</w:t>
            </w:r>
          </w:p>
        </w:tc>
        <w:tc>
          <w:tcPr>
            <w:tcW w:w="84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8</w:t>
            </w:r>
          </w:p>
        </w:tc>
        <w:tc>
          <w:tcPr>
            <w:tcW w:w="260" w:type="dxa"/>
            <w:vAlign w:val="bottom"/>
          </w:tcPr>
          <w:p>
            <w:pPr>
              <w:spacing w:after="0"/>
              <w:rPr>
                <w:sz w:val="16"/>
                <w:szCs w:val="16"/>
                <w:color w:val="auto"/>
              </w:rPr>
            </w:pPr>
          </w:p>
        </w:tc>
        <w:tc>
          <w:tcPr>
            <w:tcW w:w="104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Benefits paid</w:t>
            </w:r>
          </w:p>
        </w:tc>
        <w:tc>
          <w:tcPr>
            <w:tcW w:w="460" w:type="dxa"/>
            <w:vAlign w:val="bottom"/>
          </w:tcPr>
          <w:p>
            <w:pPr>
              <w:spacing w:after="0"/>
              <w:rPr>
                <w:sz w:val="16"/>
                <w:szCs w:val="16"/>
                <w:color w:val="auto"/>
              </w:rPr>
            </w:pPr>
          </w:p>
        </w:tc>
        <w:tc>
          <w:tcPr>
            <w:tcW w:w="9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(55)</w:t>
            </w:r>
          </w:p>
        </w:tc>
        <w:tc>
          <w:tcPr>
            <w:tcW w:w="840" w:type="dxa"/>
            <w:vAlign w:val="bottom"/>
          </w:tcPr>
          <w:p>
            <w:pPr>
              <w:spacing w:after="0"/>
              <w:rPr>
                <w:sz w:val="16"/>
                <w:szCs w:val="16"/>
                <w:color w:val="auto"/>
              </w:rPr>
            </w:pPr>
          </w:p>
        </w:tc>
        <w:tc>
          <w:tcPr>
            <w:tcW w:w="4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(67)</w:t>
            </w:r>
          </w:p>
        </w:tc>
        <w:tc>
          <w:tcPr>
            <w:tcW w:w="260" w:type="dxa"/>
            <w:vAlign w:val="bottom"/>
          </w:tcPr>
          <w:p>
            <w:pPr>
              <w:spacing w:after="0"/>
              <w:rPr>
                <w:sz w:val="16"/>
                <w:szCs w:val="16"/>
                <w:color w:val="auto"/>
              </w:rPr>
            </w:pP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Settlement</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(2)</w:t>
            </w:r>
          </w:p>
        </w:tc>
        <w:tc>
          <w:tcPr>
            <w:tcW w:w="8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7"/>
                <w:szCs w:val="17"/>
                <w:color w:val="auto"/>
              </w:rPr>
              <w:t>Benefit obligation at end of year</w:t>
            </w:r>
          </w:p>
        </w:tc>
        <w:tc>
          <w:tcPr>
            <w:tcW w:w="4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674</w:t>
            </w:r>
          </w:p>
        </w:tc>
        <w:tc>
          <w:tcPr>
            <w:tcW w:w="84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98"/>
              </w:rPr>
              <w:t>753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12</w:t>
            </w:r>
          </w:p>
        </w:tc>
        <w:tc>
          <w:tcPr>
            <w:tcW w:w="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7"/>
                <w:szCs w:val="17"/>
                <w:b w:val="1"/>
                <w:bCs w:val="1"/>
                <w:color w:val="auto"/>
              </w:rPr>
              <w:t>Change in plan assets</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Fair value of plan assets at beginning of year</w:t>
            </w:r>
          </w:p>
        </w:tc>
        <w:tc>
          <w:tcPr>
            <w:tcW w:w="4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716</w:t>
            </w:r>
          </w:p>
        </w:tc>
        <w:tc>
          <w:tcPr>
            <w:tcW w:w="84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98"/>
              </w:rPr>
              <w:t>715</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Actual return on plan assets</w:t>
            </w:r>
          </w:p>
        </w:tc>
        <w:tc>
          <w:tcPr>
            <w:tcW w:w="46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w:t>
            </w:r>
          </w:p>
        </w:tc>
        <w:tc>
          <w:tcPr>
            <w:tcW w:w="84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65</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Employer contributions</w:t>
            </w:r>
          </w:p>
        </w:tc>
        <w:tc>
          <w:tcPr>
            <w:tcW w:w="4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3</w:t>
            </w:r>
          </w:p>
        </w:tc>
        <w:tc>
          <w:tcPr>
            <w:tcW w:w="84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Foreign currency translation adjustments</w:t>
            </w:r>
          </w:p>
        </w:tc>
        <w:tc>
          <w:tcPr>
            <w:tcW w:w="460" w:type="dxa"/>
            <w:vAlign w:val="bottom"/>
          </w:tcPr>
          <w:p>
            <w:pPr>
              <w:spacing w:after="0"/>
              <w:rPr>
                <w:sz w:val="16"/>
                <w:szCs w:val="16"/>
                <w:color w:val="auto"/>
              </w:rPr>
            </w:pPr>
          </w:p>
        </w:tc>
        <w:tc>
          <w:tcPr>
            <w:tcW w:w="94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w:t>
            </w:r>
          </w:p>
        </w:tc>
        <w:tc>
          <w:tcPr>
            <w:tcW w:w="840" w:type="dxa"/>
            <w:vAlign w:val="bottom"/>
          </w:tcPr>
          <w:p>
            <w:pPr>
              <w:spacing w:after="0"/>
              <w:rPr>
                <w:sz w:val="16"/>
                <w:szCs w:val="16"/>
                <w:color w:val="auto"/>
              </w:rPr>
            </w:pPr>
          </w:p>
        </w:tc>
        <w:tc>
          <w:tcPr>
            <w:tcW w:w="440" w:type="dxa"/>
            <w:vAlign w:val="bottom"/>
          </w:tcPr>
          <w:p>
            <w:pPr>
              <w:jc w:val="right"/>
              <w:ind w:right="5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Benefits paid</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(55)</w:t>
            </w:r>
          </w:p>
        </w:tc>
        <w:tc>
          <w:tcPr>
            <w:tcW w:w="8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(67)</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7"/>
                <w:szCs w:val="17"/>
                <w:color w:val="auto"/>
              </w:rPr>
              <w:t>Fair value of plan assets at end of year</w:t>
            </w:r>
          </w:p>
        </w:tc>
        <w:tc>
          <w:tcPr>
            <w:tcW w:w="4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676</w:t>
            </w:r>
          </w:p>
        </w:tc>
        <w:tc>
          <w:tcPr>
            <w:tcW w:w="84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w w:val="98"/>
              </w:rPr>
              <w:t>716</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7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Funded status</w:t>
            </w:r>
          </w:p>
        </w:tc>
        <w:tc>
          <w:tcPr>
            <w:tcW w:w="4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b w:val="1"/>
                <w:bCs w:val="1"/>
                <w:color w:val="auto"/>
              </w:rPr>
              <w:t>2</w:t>
            </w:r>
          </w:p>
        </w:tc>
        <w:tc>
          <w:tcPr>
            <w:tcW w:w="840" w:type="dxa"/>
            <w:vAlign w:val="bottom"/>
            <w:tcBorders>
              <w:bottom w:val="single" w:sz="8" w:color="auto"/>
            </w:tcBorders>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(37)</w:t>
            </w:r>
          </w:p>
        </w:tc>
        <w:tc>
          <w:tcPr>
            <w:tcW w:w="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b w:val="1"/>
                <w:bCs w:val="1"/>
                <w:color w:val="auto"/>
              </w:rPr>
              <w:t>(12)</w:t>
            </w:r>
          </w:p>
        </w:tc>
        <w:tc>
          <w:tcPr>
            <w:tcW w:w="32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720" w:type="dxa"/>
            <w:vAlign w:val="bottom"/>
          </w:tcPr>
          <w:p>
            <w:pPr>
              <w:spacing w:after="0" w:line="189" w:lineRule="exact"/>
              <w:rPr>
                <w:sz w:val="20"/>
                <w:szCs w:val="20"/>
                <w:color w:val="auto"/>
              </w:rPr>
            </w:pPr>
            <w:r>
              <w:rPr>
                <w:rFonts w:ascii="Arial" w:cs="Arial" w:eastAsia="Arial" w:hAnsi="Arial"/>
                <w:sz w:val="17"/>
                <w:szCs w:val="17"/>
                <w:b w:val="1"/>
                <w:bCs w:val="1"/>
                <w:color w:val="auto"/>
              </w:rPr>
              <w:t>Amounts recognized on the balance sheet:</w:t>
            </w: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Other assets</w:t>
            </w:r>
          </w:p>
        </w:tc>
        <w:tc>
          <w:tcPr>
            <w:tcW w:w="4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21</w:t>
            </w:r>
          </w:p>
        </w:tc>
        <w:tc>
          <w:tcPr>
            <w:tcW w:w="840" w:type="dxa"/>
            <w:vAlign w:val="bottom"/>
            <w:shd w:val="clear" w:color="auto" w:fill="CCEEFF"/>
          </w:tcPr>
          <w:p>
            <w:pPr>
              <w:jc w:val="right"/>
              <w:ind w:right="555"/>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Pr>
          <w:p>
            <w:pPr>
              <w:ind w:left="80"/>
              <w:spacing w:after="0" w:line="189" w:lineRule="exact"/>
              <w:rPr>
                <w:sz w:val="20"/>
                <w:szCs w:val="20"/>
                <w:color w:val="auto"/>
              </w:rPr>
            </w:pPr>
            <w:r>
              <w:rPr>
                <w:rFonts w:ascii="Arial" w:cs="Arial" w:eastAsia="Arial" w:hAnsi="Arial"/>
                <w:sz w:val="17"/>
                <w:szCs w:val="17"/>
                <w:color w:val="auto"/>
              </w:rPr>
              <w:t>Accrued and other liabilities</w:t>
            </w:r>
          </w:p>
        </w:tc>
        <w:tc>
          <w:tcPr>
            <w:tcW w:w="460" w:type="dxa"/>
            <w:vAlign w:val="bottom"/>
          </w:tcPr>
          <w:p>
            <w:pPr>
              <w:spacing w:after="0"/>
              <w:rPr>
                <w:sz w:val="16"/>
                <w:szCs w:val="16"/>
                <w:color w:val="auto"/>
              </w:rPr>
            </w:pPr>
          </w:p>
        </w:tc>
        <w:tc>
          <w:tcPr>
            <w:tcW w:w="9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(3)</w:t>
            </w:r>
          </w:p>
        </w:tc>
        <w:tc>
          <w:tcPr>
            <w:tcW w:w="840" w:type="dxa"/>
            <w:vAlign w:val="bottom"/>
          </w:tcPr>
          <w:p>
            <w:pPr>
              <w:spacing w:after="0"/>
              <w:rPr>
                <w:sz w:val="16"/>
                <w:szCs w:val="16"/>
                <w:color w:val="auto"/>
              </w:rPr>
            </w:pPr>
          </w:p>
        </w:tc>
        <w:tc>
          <w:tcPr>
            <w:tcW w:w="44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w:t>
            </w:r>
          </w:p>
        </w:tc>
        <w:tc>
          <w:tcPr>
            <w:tcW w:w="260" w:type="dxa"/>
            <w:vAlign w:val="bottom"/>
          </w:tcPr>
          <w:p>
            <w:pPr>
              <w:spacing w:after="0"/>
              <w:rPr>
                <w:sz w:val="16"/>
                <w:szCs w:val="16"/>
                <w:color w:val="auto"/>
              </w:rPr>
            </w:pPr>
          </w:p>
        </w:tc>
        <w:tc>
          <w:tcPr>
            <w:tcW w:w="1040" w:type="dxa"/>
            <w:vAlign w:val="bottom"/>
          </w:tcPr>
          <w:p>
            <w:pPr>
              <w:jc w:val="right"/>
              <w:ind w:right="15"/>
              <w:spacing w:after="0" w:line="189" w:lineRule="exact"/>
              <w:rPr>
                <w:sz w:val="20"/>
                <w:szCs w:val="20"/>
                <w:color w:val="auto"/>
              </w:rPr>
            </w:pPr>
            <w:r>
              <w:rPr>
                <w:rFonts w:ascii="Arial" w:cs="Arial" w:eastAsia="Arial" w:hAnsi="Arial"/>
                <w:sz w:val="17"/>
                <w:szCs w:val="17"/>
                <w:b w:val="1"/>
                <w:bCs w:val="1"/>
                <w:color w:val="auto"/>
              </w:rPr>
              <w:t>(1)</w:t>
            </w:r>
          </w:p>
        </w:tc>
        <w:tc>
          <w:tcPr>
            <w:tcW w:w="3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2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7"/>
                <w:szCs w:val="17"/>
                <w:color w:val="auto"/>
              </w:rPr>
              <w:t>Other liabilities</w:t>
            </w:r>
          </w:p>
        </w:tc>
        <w:tc>
          <w:tcPr>
            <w:tcW w:w="4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b w:val="1"/>
                <w:bCs w:val="1"/>
                <w:color w:val="auto"/>
              </w:rPr>
              <w:t>(16)</w:t>
            </w:r>
          </w:p>
        </w:tc>
        <w:tc>
          <w:tcPr>
            <w:tcW w:w="8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(38)</w:t>
            </w: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(11)</w:t>
            </w: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b w:val="1"/>
                <w:bCs w:val="1"/>
                <w:color w:val="auto"/>
              </w:rPr>
              <w:t>2</w:t>
            </w:r>
          </w:p>
        </w:tc>
        <w:tc>
          <w:tcPr>
            <w:tcW w:w="84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color w:val="auto"/>
              </w:rPr>
              <w:t>(37)</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(12)</w:t>
            </w:r>
          </w:p>
        </w:tc>
        <w:tc>
          <w:tcPr>
            <w:tcW w:w="32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Canadian qualified pension plan’s assets exceeded its accumulated benefit obligation for both 2021 and 2020. In 2021, the U.S. qualified pension plan’s assets exceeded its accumulated benefit obligation. Our non-qualified pension plans have an accumulated benefit obligation in excess of plan assets, as these plans are unfunded. Accordingly, the table below reflects the U.S. non-qualified plans for 2021 and 2020 and the U.S. qualified plan for 2020.</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0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2021</w:t>
            </w:r>
          </w:p>
        </w:tc>
        <w:tc>
          <w:tcPr>
            <w:tcW w:w="4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2020</w:t>
            </w:r>
          </w:p>
        </w:tc>
      </w:tr>
      <w:tr>
        <w:trPr>
          <w:trHeight w:val="183"/>
        </w:trPr>
        <w:tc>
          <w:tcPr>
            <w:tcW w:w="4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Projected benefit obligation</w:t>
            </w:r>
          </w:p>
        </w:tc>
        <w:tc>
          <w:tcPr>
            <w:tcW w:w="20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20</w:t>
            </w:r>
          </w:p>
        </w:tc>
        <w:tc>
          <w:tcPr>
            <w:tcW w:w="46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706</w:t>
            </w:r>
          </w:p>
        </w:tc>
      </w:tr>
      <w:tr>
        <w:trPr>
          <w:trHeight w:val="189"/>
        </w:trPr>
        <w:tc>
          <w:tcPr>
            <w:tcW w:w="4060" w:type="dxa"/>
            <w:vAlign w:val="bottom"/>
          </w:tcPr>
          <w:p>
            <w:pPr>
              <w:spacing w:after="0" w:line="189" w:lineRule="exact"/>
              <w:rPr>
                <w:sz w:val="20"/>
                <w:szCs w:val="20"/>
                <w:color w:val="auto"/>
              </w:rPr>
            </w:pPr>
            <w:r>
              <w:rPr>
                <w:rFonts w:ascii="Arial" w:cs="Arial" w:eastAsia="Arial" w:hAnsi="Arial"/>
                <w:sz w:val="17"/>
                <w:szCs w:val="17"/>
                <w:color w:val="auto"/>
              </w:rPr>
              <w:t>Accumulated benefit obligation</w:t>
            </w:r>
          </w:p>
        </w:tc>
        <w:tc>
          <w:tcPr>
            <w:tcW w:w="2060" w:type="dxa"/>
            <w:vAlign w:val="bottom"/>
          </w:tcPr>
          <w:p>
            <w:pPr>
              <w:spacing w:after="0"/>
              <w:rPr>
                <w:sz w:val="16"/>
                <w:szCs w:val="16"/>
                <w:color w:val="auto"/>
              </w:rPr>
            </w:pPr>
          </w:p>
        </w:tc>
        <w:tc>
          <w:tcPr>
            <w:tcW w:w="120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20</w:t>
            </w:r>
          </w:p>
        </w:tc>
        <w:tc>
          <w:tcPr>
            <w:tcW w:w="46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706</w:t>
            </w:r>
          </w:p>
        </w:tc>
      </w:tr>
      <w:tr>
        <w:trPr>
          <w:trHeight w:val="189"/>
        </w:trPr>
        <w:tc>
          <w:tcPr>
            <w:tcW w:w="4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Fair value of plan assets</w:t>
            </w:r>
          </w:p>
        </w:tc>
        <w:tc>
          <w:tcPr>
            <w:tcW w:w="20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8890</wp:posOffset>
            </wp:positionV>
            <wp:extent cx="56489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6860" w:type="dxa"/>
            <w:vAlign w:val="bottom"/>
            <w:gridSpan w:val="3"/>
          </w:tcPr>
          <w:p>
            <w:pPr>
              <w:spacing w:after="0"/>
              <w:rPr>
                <w:sz w:val="20"/>
                <w:szCs w:val="20"/>
                <w:color w:val="auto"/>
              </w:rPr>
            </w:pPr>
            <w:r>
              <w:rPr>
                <w:rFonts w:ascii="Arial" w:cs="Arial" w:eastAsia="Arial" w:hAnsi="Arial"/>
                <w:sz w:val="17"/>
                <w:szCs w:val="17"/>
                <w:color w:val="auto"/>
              </w:rPr>
              <w:t>The following table provides the amounts recognized in AOCL on a pre-tax basis:</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2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7"/>
                <w:szCs w:val="17"/>
                <w:b w:val="1"/>
                <w:bCs w:val="1"/>
                <w:color w:val="auto"/>
              </w:rPr>
              <w:t>Pension</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Postretirement</w:t>
            </w:r>
          </w:p>
        </w:tc>
      </w:tr>
      <w:tr>
        <w:trPr>
          <w:trHeight w:val="215"/>
        </w:trPr>
        <w:tc>
          <w:tcPr>
            <w:tcW w:w="45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2280" w:type="dxa"/>
            <w:vAlign w:val="bottom"/>
          </w:tcPr>
          <w:p>
            <w:pPr>
              <w:jc w:val="right"/>
              <w:spacing w:after="0"/>
              <w:rPr>
                <w:sz w:val="20"/>
                <w:szCs w:val="20"/>
                <w:color w:val="auto"/>
              </w:rPr>
            </w:pPr>
            <w:r>
              <w:rPr>
                <w:rFonts w:ascii="Arial" w:cs="Arial" w:eastAsia="Arial" w:hAnsi="Arial"/>
                <w:sz w:val="17"/>
                <w:szCs w:val="17"/>
                <w:b w:val="1"/>
                <w:bCs w:val="1"/>
                <w:color w:val="auto"/>
              </w:rPr>
              <w:t>Benefits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95"/>
              <w:spacing w:after="0"/>
              <w:rPr>
                <w:sz w:val="20"/>
                <w:szCs w:val="20"/>
                <w:color w:val="auto"/>
              </w:rPr>
            </w:pPr>
            <w:r>
              <w:rPr>
                <w:rFonts w:ascii="Arial" w:cs="Arial" w:eastAsia="Arial" w:hAnsi="Arial"/>
                <w:sz w:val="17"/>
                <w:szCs w:val="17"/>
                <w:b w:val="1"/>
                <w:bCs w:val="1"/>
                <w:color w:val="auto"/>
              </w:rPr>
              <w:t>Benefits</w:t>
            </w:r>
          </w:p>
        </w:tc>
      </w:tr>
      <w:tr>
        <w:trPr>
          <w:trHeight w:val="183"/>
        </w:trPr>
        <w:tc>
          <w:tcPr>
            <w:tcW w:w="20" w:type="dxa"/>
            <w:vAlign w:val="bottom"/>
          </w:tcPr>
          <w:p>
            <w:pPr>
              <w:spacing w:after="0"/>
              <w:rPr>
                <w:sz w:val="15"/>
                <w:szCs w:val="15"/>
                <w:color w:val="auto"/>
              </w:rPr>
            </w:pPr>
          </w:p>
        </w:tc>
        <w:tc>
          <w:tcPr>
            <w:tcW w:w="45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actuarial loss (gain) at beginning of year</w:t>
            </w:r>
          </w:p>
        </w:tc>
        <w:tc>
          <w:tcPr>
            <w:tcW w:w="2280" w:type="dxa"/>
            <w:vAlign w:val="bottom"/>
            <w:tcBorders>
              <w:top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8"/>
              </w:rPr>
              <w:t>361</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w:t>
            </w:r>
          </w:p>
        </w:tc>
      </w:tr>
      <w:tr>
        <w:trPr>
          <w:trHeight w:val="189"/>
        </w:trPr>
        <w:tc>
          <w:tcPr>
            <w:tcW w:w="2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Amortization of net loss</w:t>
            </w:r>
          </w:p>
        </w:tc>
        <w:tc>
          <w:tcPr>
            <w:tcW w:w="2280" w:type="dxa"/>
            <w:vAlign w:val="bottom"/>
          </w:tcPr>
          <w:p>
            <w:pPr>
              <w:spacing w:after="0"/>
              <w:rPr>
                <w:sz w:val="16"/>
                <w:szCs w:val="16"/>
                <w:color w:val="auto"/>
              </w:rPr>
            </w:pPr>
          </w:p>
        </w:tc>
        <w:tc>
          <w:tcPr>
            <w:tcW w:w="4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(10)</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45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Gain arising during the year</w:t>
            </w:r>
          </w:p>
        </w:tc>
        <w:tc>
          <w:tcPr>
            <w:tcW w:w="2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(31)</w:t>
            </w: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3"/>
        </w:trPr>
        <w:tc>
          <w:tcPr>
            <w:tcW w:w="2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Net actuarial loss (gain) at end of year</w:t>
            </w:r>
          </w:p>
        </w:tc>
        <w:tc>
          <w:tcPr>
            <w:tcW w:w="2280" w:type="dxa"/>
            <w:vAlign w:val="bottom"/>
            <w:tcBorders>
              <w:bottom w:val="single" w:sz="8" w:color="auto"/>
            </w:tcBorders>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w w:val="98"/>
              </w:rPr>
              <w:t>320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(2)</w:t>
            </w:r>
          </w:p>
        </w:tc>
      </w:tr>
      <w:tr>
        <w:trPr>
          <w:trHeight w:val="20"/>
        </w:trPr>
        <w:tc>
          <w:tcPr>
            <w:tcW w:w="20" w:type="dxa"/>
            <w:vAlign w:val="bottom"/>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actuarial gains recognized during 2021 were primarily driven from an increase in discount rates applied against future expected benefit payments and resulted in a decrease in the benefit obligation for the pension benefit plans. This was partially offset by lower actual return as compared with the expected return on plan assets.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weighted-average assumptions were used to determine the benefit obligations under the plans: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455"/>
              <w:spacing w:after="0"/>
              <w:rPr>
                <w:sz w:val="20"/>
                <w:szCs w:val="20"/>
                <w:color w:val="auto"/>
              </w:rPr>
            </w:pPr>
            <w:r>
              <w:rPr>
                <w:rFonts w:ascii="Arial" w:cs="Arial" w:eastAsia="Arial" w:hAnsi="Arial"/>
                <w:sz w:val="17"/>
                <w:szCs w:val="17"/>
                <w:b w:val="1"/>
                <w:bCs w:val="1"/>
                <w:color w:val="auto"/>
              </w:rPr>
              <w:t>Pension Benefits</w:t>
            </w:r>
          </w:p>
        </w:tc>
        <w:tc>
          <w:tcPr>
            <w:tcW w:w="2380" w:type="dxa"/>
            <w:vAlign w:val="bottom"/>
            <w:tcBorders>
              <w:bottom w:val="single" w:sz="8" w:color="auto"/>
            </w:tcBorders>
            <w:gridSpan w:val="2"/>
          </w:tcPr>
          <w:p>
            <w:pPr>
              <w:jc w:val="right"/>
              <w:ind w:right="255"/>
              <w:spacing w:after="0"/>
              <w:rPr>
                <w:sz w:val="20"/>
                <w:szCs w:val="20"/>
                <w:color w:val="auto"/>
              </w:rPr>
            </w:pPr>
            <w:r>
              <w:rPr>
                <w:rFonts w:ascii="Arial" w:cs="Arial" w:eastAsia="Arial" w:hAnsi="Arial"/>
                <w:sz w:val="17"/>
                <w:szCs w:val="17"/>
                <w:b w:val="1"/>
                <w:bCs w:val="1"/>
                <w:color w:val="auto"/>
              </w:rPr>
              <w:t>Postretirement Benefits</w:t>
            </w:r>
          </w:p>
        </w:tc>
      </w:tr>
      <w:tr>
        <w:trPr>
          <w:trHeight w:val="183"/>
        </w:trPr>
        <w:tc>
          <w:tcPr>
            <w:tcW w:w="33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2021</w:t>
            </w:r>
          </w:p>
        </w:tc>
        <w:tc>
          <w:tcPr>
            <w:tcW w:w="114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color w:val="auto"/>
              </w:rPr>
              <w:t>2020</w:t>
            </w:r>
          </w:p>
        </w:tc>
        <w:tc>
          <w:tcPr>
            <w:tcW w:w="1300" w:type="dxa"/>
            <w:vAlign w:val="bottom"/>
            <w:tcBorders>
              <w:bottom w:val="single" w:sz="8" w:color="auto"/>
            </w:tcBorders>
          </w:tcPr>
          <w:p>
            <w:pPr>
              <w:jc w:val="right"/>
              <w:ind w:right="555"/>
              <w:spacing w:after="0" w:line="183" w:lineRule="exact"/>
              <w:rPr>
                <w:sz w:val="20"/>
                <w:szCs w:val="20"/>
                <w:color w:val="auto"/>
              </w:rPr>
            </w:pPr>
            <w:r>
              <w:rPr>
                <w:rFonts w:ascii="Arial" w:cs="Arial" w:eastAsia="Arial" w:hAnsi="Arial"/>
                <w:sz w:val="17"/>
                <w:szCs w:val="17"/>
                <w:b w:val="1"/>
                <w:bCs w:val="1"/>
                <w:color w:val="auto"/>
              </w:rPr>
              <w:t>2021</w:t>
            </w:r>
          </w:p>
        </w:tc>
        <w:tc>
          <w:tcPr>
            <w:tcW w:w="1080" w:type="dxa"/>
            <w:vAlign w:val="bottom"/>
            <w:tcBorders>
              <w:bottom w:val="single" w:sz="8" w:color="auto"/>
            </w:tcBorders>
          </w:tcPr>
          <w:p>
            <w:pPr>
              <w:jc w:val="right"/>
              <w:ind w:right="415"/>
              <w:spacing w:after="0" w:line="183" w:lineRule="exact"/>
              <w:rPr>
                <w:sz w:val="20"/>
                <w:szCs w:val="20"/>
                <w:color w:val="auto"/>
              </w:rPr>
            </w:pPr>
            <w:r>
              <w:rPr>
                <w:rFonts w:ascii="Arial" w:cs="Arial" w:eastAsia="Arial" w:hAnsi="Arial"/>
                <w:sz w:val="17"/>
                <w:szCs w:val="17"/>
                <w:color w:val="auto"/>
              </w:rPr>
              <w:t>2020</w:t>
            </w:r>
          </w:p>
        </w:tc>
      </w:tr>
      <w:tr>
        <w:trPr>
          <w:trHeight w:val="183"/>
        </w:trPr>
        <w:tc>
          <w:tcPr>
            <w:tcW w:w="3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202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3.2 %</w:t>
            </w:r>
          </w:p>
        </w:tc>
        <w:tc>
          <w:tcPr>
            <w:tcW w:w="114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2.5 %</w:t>
            </w:r>
          </w:p>
        </w:tc>
        <w:tc>
          <w:tcPr>
            <w:tcW w:w="13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3.2 %</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2.8 %</w:t>
            </w:r>
          </w:p>
        </w:tc>
      </w:tr>
      <w:tr>
        <w:trPr>
          <w:trHeight w:val="189"/>
        </w:trPr>
        <w:tc>
          <w:tcPr>
            <w:tcW w:w="33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202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b w:val="1"/>
                <w:bCs w:val="1"/>
                <w:color w:val="auto"/>
              </w:rPr>
              <w:t>3.6 %</w:t>
            </w:r>
          </w:p>
        </w:tc>
        <w:tc>
          <w:tcPr>
            <w:tcW w:w="114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3.6 %</w:t>
            </w:r>
          </w:p>
        </w:tc>
        <w:tc>
          <w:tcPr>
            <w:tcW w:w="1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$652 million and $661 million for 2021 and 2020, respectively.</w:t>
      </w:r>
    </w:p>
    <w:p>
      <w:pPr>
        <w:spacing w:after="0" w:line="164"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Assumptions used in the calculation of net benefit cost include the discount rate selected and disclosed at the end of the previous year, as well as other assumptions detailed in the table below:</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ind w:left="860"/>
              <w:spacing w:after="0"/>
              <w:rPr>
                <w:sz w:val="20"/>
                <w:szCs w:val="20"/>
                <w:color w:val="auto"/>
              </w:rPr>
            </w:pPr>
            <w:r>
              <w:rPr>
                <w:rFonts w:ascii="Arial" w:cs="Arial" w:eastAsia="Arial" w:hAnsi="Arial"/>
                <w:sz w:val="17"/>
                <w:szCs w:val="17"/>
                <w:b w:val="1"/>
                <w:bCs w:val="1"/>
                <w:color w:val="auto"/>
              </w:rPr>
              <w:t>Pension Benefits</w:t>
            </w:r>
          </w:p>
        </w:tc>
        <w:tc>
          <w:tcPr>
            <w:tcW w:w="7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3"/>
          </w:tcPr>
          <w:p>
            <w:pPr>
              <w:jc w:val="center"/>
              <w:ind w:right="135"/>
              <w:spacing w:after="0"/>
              <w:rPr>
                <w:sz w:val="20"/>
                <w:szCs w:val="20"/>
                <w:color w:val="auto"/>
              </w:rPr>
            </w:pPr>
            <w:r>
              <w:rPr>
                <w:rFonts w:ascii="Arial" w:cs="Arial" w:eastAsia="Arial" w:hAnsi="Arial"/>
                <w:sz w:val="17"/>
                <w:szCs w:val="17"/>
                <w:b w:val="1"/>
                <w:bCs w:val="1"/>
                <w:color w:val="auto"/>
              </w:rPr>
              <w:t>Postretirement Benefits</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100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7"/>
                <w:szCs w:val="17"/>
                <w:color w:val="auto"/>
              </w:rPr>
              <w:t>2020</w:t>
            </w:r>
          </w:p>
        </w:tc>
        <w:tc>
          <w:tcPr>
            <w:tcW w:w="980" w:type="dxa"/>
            <w:vAlign w:val="bottom"/>
            <w:tcBorders>
              <w:bottom w:val="single" w:sz="8" w:color="auto"/>
            </w:tcBorders>
            <w:gridSpan w:val="2"/>
          </w:tcPr>
          <w:p>
            <w:pPr>
              <w:jc w:val="right"/>
              <w:ind w:right="375"/>
              <w:spacing w:after="0" w:line="183" w:lineRule="exact"/>
              <w:rPr>
                <w:sz w:val="20"/>
                <w:szCs w:val="20"/>
                <w:color w:val="auto"/>
              </w:rPr>
            </w:pPr>
            <w:r>
              <w:rPr>
                <w:rFonts w:ascii="Arial" w:cs="Arial" w:eastAsia="Arial" w:hAnsi="Arial"/>
                <w:sz w:val="17"/>
                <w:szCs w:val="17"/>
                <w:color w:val="auto"/>
              </w:rPr>
              <w:t>2019</w:t>
            </w:r>
          </w:p>
        </w:tc>
        <w:tc>
          <w:tcPr>
            <w:tcW w:w="98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1000" w:type="dxa"/>
            <w:vAlign w:val="bottom"/>
            <w:tcBorders>
              <w:bottom w:val="single" w:sz="8" w:color="auto"/>
            </w:tcBorders>
          </w:tcPr>
          <w:p>
            <w:pPr>
              <w:jc w:val="right"/>
              <w:ind w:right="395"/>
              <w:spacing w:after="0" w:line="183" w:lineRule="exact"/>
              <w:rPr>
                <w:sz w:val="20"/>
                <w:szCs w:val="20"/>
                <w:color w:val="auto"/>
              </w:rPr>
            </w:pPr>
            <w:r>
              <w:rPr>
                <w:rFonts w:ascii="Arial" w:cs="Arial" w:eastAsia="Arial" w:hAnsi="Arial"/>
                <w:sz w:val="17"/>
                <w:szCs w:val="17"/>
                <w:color w:val="auto"/>
              </w:rPr>
              <w:t>2020</w:t>
            </w:r>
          </w:p>
        </w:tc>
        <w:tc>
          <w:tcPr>
            <w:tcW w:w="88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Discount rate</w:t>
            </w:r>
          </w:p>
        </w:tc>
        <w:tc>
          <w:tcPr>
            <w:tcW w:w="10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2.5 %</w:t>
            </w:r>
          </w:p>
        </w:tc>
        <w:tc>
          <w:tcPr>
            <w:tcW w:w="10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2.9 %</w:t>
            </w: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4.0 %</w:t>
            </w:r>
          </w:p>
        </w:tc>
        <w:tc>
          <w:tcPr>
            <w:tcW w:w="9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2.8 %</w:t>
            </w:r>
          </w:p>
        </w:tc>
        <w:tc>
          <w:tcPr>
            <w:tcW w:w="100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3.0 %</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4.1 %</w:t>
            </w:r>
          </w:p>
        </w:tc>
        <w:tc>
          <w:tcPr>
            <w:tcW w:w="0" w:type="dxa"/>
            <w:vAlign w:val="bottom"/>
          </w:tcPr>
          <w:p>
            <w:pPr>
              <w:spacing w:after="0"/>
              <w:rPr>
                <w:sz w:val="1"/>
                <w:szCs w:val="1"/>
                <w:color w:val="auto"/>
              </w:rPr>
            </w:pPr>
          </w:p>
        </w:tc>
      </w:tr>
      <w:tr>
        <w:trPr>
          <w:trHeight w:val="189"/>
        </w:trPr>
        <w:tc>
          <w:tcPr>
            <w:tcW w:w="2980" w:type="dxa"/>
            <w:vAlign w:val="bottom"/>
          </w:tcPr>
          <w:p>
            <w:pPr>
              <w:spacing w:after="0" w:line="189" w:lineRule="exact"/>
              <w:rPr>
                <w:sz w:val="20"/>
                <w:szCs w:val="20"/>
                <w:color w:val="auto"/>
              </w:rPr>
            </w:pPr>
            <w:r>
              <w:rPr>
                <w:rFonts w:ascii="Arial" w:cs="Arial" w:eastAsia="Arial" w:hAnsi="Arial"/>
                <w:sz w:val="17"/>
                <w:szCs w:val="17"/>
                <w:color w:val="auto"/>
              </w:rPr>
              <w:t>Rate of compensation increase</w:t>
            </w:r>
          </w:p>
        </w:tc>
        <w:tc>
          <w:tcPr>
            <w:tcW w:w="108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3.6 %</w:t>
            </w:r>
          </w:p>
        </w:tc>
        <w:tc>
          <w:tcPr>
            <w:tcW w:w="10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3.6 %</w:t>
            </w:r>
          </w:p>
        </w:tc>
        <w:tc>
          <w:tcPr>
            <w:tcW w:w="280" w:type="dxa"/>
            <w:vAlign w:val="bottom"/>
          </w:tcPr>
          <w:p>
            <w:pPr>
              <w:spacing w:after="0"/>
              <w:rPr>
                <w:sz w:val="16"/>
                <w:szCs w:val="16"/>
                <w:color w:val="auto"/>
              </w:rPr>
            </w:pPr>
          </w:p>
        </w:tc>
        <w:tc>
          <w:tcPr>
            <w:tcW w:w="7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3.6 %</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long-term rate of return on</w:t>
            </w:r>
          </w:p>
        </w:tc>
        <w:tc>
          <w:tcPr>
            <w:tcW w:w="108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5.3 %</w:t>
            </w: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5.5 %</w:t>
            </w:r>
          </w:p>
        </w:tc>
        <w:tc>
          <w:tcPr>
            <w:tcW w:w="2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5.8 %</w:t>
            </w:r>
          </w:p>
        </w:tc>
        <w:tc>
          <w:tcPr>
            <w:tcW w:w="9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our future contributions.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are the components of net periodic pension benefit cost and net periodic postretirement benefit income.</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Pension Benefits</w:t>
            </w: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360"/>
              <w:spacing w:after="0"/>
              <w:rPr>
                <w:sz w:val="20"/>
                <w:szCs w:val="20"/>
                <w:color w:val="auto"/>
              </w:rPr>
            </w:pPr>
            <w:r>
              <w:rPr>
                <w:rFonts w:ascii="Arial" w:cs="Arial" w:eastAsia="Arial" w:hAnsi="Arial"/>
                <w:sz w:val="17"/>
                <w:szCs w:val="17"/>
                <w:b w:val="1"/>
                <w:bCs w:val="1"/>
                <w:color w:val="auto"/>
              </w:rPr>
              <w:t>Postretirement Benefits</w:t>
            </w:r>
          </w:p>
        </w:tc>
      </w:tr>
      <w:tr>
        <w:trPr>
          <w:trHeight w:val="183"/>
        </w:trPr>
        <w:tc>
          <w:tcPr>
            <w:tcW w:w="20" w:type="dxa"/>
            <w:vAlign w:val="bottom"/>
          </w:tcPr>
          <w:p>
            <w:pPr>
              <w:spacing w:after="0"/>
              <w:rPr>
                <w:sz w:val="15"/>
                <w:szCs w:val="15"/>
                <w:color w:val="auto"/>
              </w:rPr>
            </w:pPr>
          </w:p>
        </w:tc>
        <w:tc>
          <w:tcPr>
            <w:tcW w:w="25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 in millions)</w:t>
            </w: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2021</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2020</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2019</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line="183" w:lineRule="exact"/>
              <w:rPr>
                <w:sz w:val="20"/>
                <w:szCs w:val="20"/>
                <w:color w:val="auto"/>
              </w:rPr>
            </w:pPr>
            <w:r>
              <w:rPr>
                <w:rFonts w:ascii="Arial" w:cs="Arial" w:eastAsia="Arial" w:hAnsi="Arial"/>
                <w:sz w:val="17"/>
                <w:szCs w:val="17"/>
                <w:color w:val="auto"/>
              </w:rPr>
              <w:t>2020</w:t>
            </w: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2019</w:t>
            </w:r>
          </w:p>
        </w:tc>
      </w:tr>
      <w:tr>
        <w:trPr>
          <w:trHeight w:val="183"/>
        </w:trPr>
        <w:tc>
          <w:tcPr>
            <w:tcW w:w="20" w:type="dxa"/>
            <w:vAlign w:val="bottom"/>
          </w:tcPr>
          <w:p>
            <w:pPr>
              <w:spacing w:after="0"/>
              <w:rPr>
                <w:sz w:val="15"/>
                <w:szCs w:val="15"/>
                <w:color w:val="auto"/>
              </w:rPr>
            </w:pPr>
          </w:p>
        </w:tc>
        <w:tc>
          <w:tcPr>
            <w:tcW w:w="2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Service cost</w:t>
            </w:r>
          </w:p>
        </w:tc>
        <w:tc>
          <w:tcPr>
            <w:tcW w:w="3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16</w:t>
            </w:r>
          </w:p>
        </w:tc>
        <w:tc>
          <w:tcPr>
            <w:tcW w:w="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14</w:t>
            </w:r>
          </w:p>
        </w:tc>
        <w:tc>
          <w:tcPr>
            <w:tcW w:w="3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ind w:left="460"/>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2560" w:type="dxa"/>
            <w:vAlign w:val="bottom"/>
          </w:tcPr>
          <w:p>
            <w:pPr>
              <w:spacing w:after="0" w:line="189" w:lineRule="exact"/>
              <w:rPr>
                <w:sz w:val="20"/>
                <w:szCs w:val="20"/>
                <w:color w:val="auto"/>
              </w:rPr>
            </w:pPr>
            <w:r>
              <w:rPr>
                <w:rFonts w:ascii="Arial" w:cs="Arial" w:eastAsia="Arial" w:hAnsi="Arial"/>
                <w:sz w:val="17"/>
                <w:szCs w:val="17"/>
                <w:color w:val="auto"/>
              </w:rPr>
              <w:t>Interest cost</w:t>
            </w:r>
          </w:p>
        </w:tc>
        <w:tc>
          <w:tcPr>
            <w:tcW w:w="3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18</w:t>
            </w:r>
          </w:p>
        </w:tc>
        <w:tc>
          <w:tcPr>
            <w:tcW w:w="340" w:type="dxa"/>
            <w:vAlign w:val="bottom"/>
          </w:tcPr>
          <w:p>
            <w:pPr>
              <w:spacing w:after="0"/>
              <w:rPr>
                <w:sz w:val="16"/>
                <w:szCs w:val="16"/>
                <w:color w:val="auto"/>
              </w:rPr>
            </w:pPr>
          </w:p>
        </w:tc>
        <w:tc>
          <w:tcPr>
            <w:tcW w:w="7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21</w:t>
            </w:r>
          </w:p>
        </w:tc>
        <w:tc>
          <w:tcPr>
            <w:tcW w:w="300" w:type="dxa"/>
            <w:vAlign w:val="bottom"/>
          </w:tcPr>
          <w:p>
            <w:pPr>
              <w:spacing w:after="0"/>
              <w:rPr>
                <w:sz w:val="16"/>
                <w:szCs w:val="16"/>
                <w:color w:val="auto"/>
              </w:rPr>
            </w:pPr>
          </w:p>
        </w:tc>
        <w:tc>
          <w:tcPr>
            <w:tcW w:w="7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27</w:t>
            </w:r>
          </w:p>
        </w:tc>
        <w:tc>
          <w:tcPr>
            <w:tcW w:w="260" w:type="dxa"/>
            <w:vAlign w:val="bottom"/>
          </w:tcPr>
          <w:p>
            <w:pPr>
              <w:spacing w:after="0"/>
              <w:rPr>
                <w:sz w:val="16"/>
                <w:szCs w:val="16"/>
                <w:color w:val="auto"/>
              </w:rPr>
            </w:pPr>
          </w:p>
        </w:tc>
        <w:tc>
          <w:tcPr>
            <w:tcW w:w="760" w:type="dxa"/>
            <w:vAlign w:val="bottom"/>
          </w:tcPr>
          <w:p>
            <w:pPr>
              <w:ind w:left="460"/>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6"/>
                <w:szCs w:val="16"/>
                <w:color w:val="auto"/>
              </w:rPr>
            </w:pPr>
          </w:p>
        </w:tc>
        <w:tc>
          <w:tcPr>
            <w:tcW w:w="780" w:type="dxa"/>
            <w:vAlign w:val="bottom"/>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return on plan assets</w:t>
            </w: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(35)</w:t>
            </w: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(37)</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(37)</w:t>
            </w: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ind w:left="460"/>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25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Amortization of net loss</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10</w:t>
            </w: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12</w:t>
            </w: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12</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60"/>
              <w:spacing w:after="0" w:line="189"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2"/>
        </w:trPr>
        <w:tc>
          <w:tcPr>
            <w:tcW w:w="20" w:type="dxa"/>
            <w:vAlign w:val="bottom"/>
          </w:tcPr>
          <w:p>
            <w:pPr>
              <w:spacing w:after="0"/>
              <w:rPr>
                <w:sz w:val="15"/>
                <w:szCs w:val="15"/>
                <w:color w:val="auto"/>
              </w:rPr>
            </w:pPr>
          </w:p>
        </w:tc>
        <w:tc>
          <w:tcPr>
            <w:tcW w:w="25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Net benefit expense</w:t>
            </w:r>
          </w:p>
        </w:tc>
        <w:tc>
          <w:tcPr>
            <w:tcW w:w="3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9</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10</w:t>
            </w:r>
          </w:p>
        </w:tc>
        <w:tc>
          <w:tcPr>
            <w:tcW w:w="30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22</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ind w:left="460"/>
              <w:spacing w:after="0" w:line="183" w:lineRule="exact"/>
              <w:rPr>
                <w:sz w:val="20"/>
                <w:szCs w:val="20"/>
                <w:color w:val="auto"/>
              </w:rPr>
            </w:pPr>
            <w:r>
              <w:rPr>
                <w:rFonts w:ascii="Arial" w:cs="Arial" w:eastAsia="Arial" w:hAnsi="Arial"/>
                <w:sz w:val="17"/>
                <w:szCs w:val="17"/>
                <w:b w:val="1"/>
                <w:bCs w:val="1"/>
                <w:color w:val="auto"/>
              </w:rPr>
              <w:t>—</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r>
      <w:tr>
        <w:trPr>
          <w:trHeight w:val="20"/>
        </w:trPr>
        <w:tc>
          <w:tcPr>
            <w:tcW w:w="2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Service cost is recognized as a component of SG&amp;A and the remaining pension and postretirement expense components are recognized as part of Other income, net.</w:t>
      </w:r>
    </w:p>
    <w:p>
      <w:pPr>
        <w:spacing w:after="0" w:line="14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Beginning in 2001, new retirees were charged the expected full cost of the medical plan, and then-existing retirees will incur 100% of the expected future increases in medical plan costs. Any changes in the health care cost trend rates assumed would not affect the accumulated benefit obligation or net benefit income, since retirees will incur 100% of such expected future increases.</w:t>
      </w:r>
    </w:p>
    <w:p>
      <w:pPr>
        <w:spacing w:after="0" w:line="14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maintain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January 29, 2022 was $11 million. The following initial and ultimate cost trend rate assumptions were used to determine the benefit obligations under the SERP Medical Plan:</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7"/>
                <w:szCs w:val="17"/>
                <w:b w:val="1"/>
                <w:bCs w:val="1"/>
                <w:color w:val="auto"/>
              </w:rPr>
              <w:t>Medical Trend Rate</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2020</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106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Initial cost trend rate</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6.3 %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6.3 %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5.0 %</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5.0 %</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9"/>
        </w:trPr>
        <w:tc>
          <w:tcPr>
            <w:tcW w:w="3140" w:type="dxa"/>
            <w:vAlign w:val="bottom"/>
          </w:tcPr>
          <w:p>
            <w:pPr>
              <w:spacing w:after="0" w:line="189" w:lineRule="exact"/>
              <w:rPr>
                <w:sz w:val="20"/>
                <w:szCs w:val="20"/>
                <w:color w:val="auto"/>
              </w:rPr>
            </w:pPr>
            <w:r>
              <w:rPr>
                <w:rFonts w:ascii="Arial" w:cs="Arial" w:eastAsia="Arial" w:hAnsi="Arial"/>
                <w:sz w:val="17"/>
                <w:szCs w:val="17"/>
                <w:color w:val="auto"/>
              </w:rPr>
              <w:t>Ultimate cost trend rate</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5.0 %</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Year that the ultimate cost trend rate is</w:t>
            </w:r>
          </w:p>
        </w:tc>
        <w:tc>
          <w:tcPr>
            <w:tcW w:w="10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2025</w:t>
            </w:r>
          </w:p>
        </w:tc>
        <w:tc>
          <w:tcPr>
            <w:tcW w:w="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reached</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2020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initial and ultimate cost trend rate assumptions were used to determine the net periodic cost under the</w:t>
      </w:r>
    </w:p>
    <w:p>
      <w:pPr>
        <w:ind w:left="60"/>
        <w:spacing w:after="0"/>
        <w:rPr>
          <w:sz w:val="20"/>
          <w:szCs w:val="20"/>
          <w:color w:val="auto"/>
        </w:rPr>
      </w:pPr>
      <w:r>
        <w:rPr>
          <w:rFonts w:ascii="Arial" w:cs="Arial" w:eastAsia="Arial" w:hAnsi="Arial"/>
          <w:sz w:val="17"/>
          <w:szCs w:val="17"/>
          <w:color w:val="auto"/>
        </w:rPr>
        <w:t>SERP Medical Plan:</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615"/>
              <w:spacing w:after="0"/>
              <w:rPr>
                <w:sz w:val="20"/>
                <w:szCs w:val="20"/>
                <w:color w:val="auto"/>
              </w:rPr>
            </w:pPr>
            <w:r>
              <w:rPr>
                <w:rFonts w:ascii="Arial" w:cs="Arial" w:eastAsia="Arial" w:hAnsi="Arial"/>
                <w:sz w:val="17"/>
                <w:szCs w:val="17"/>
                <w:b w:val="1"/>
                <w:bCs w:val="1"/>
                <w:color w:val="auto"/>
              </w:rPr>
              <w:t>Medical Trend Rate</w:t>
            </w:r>
          </w:p>
        </w:tc>
        <w:tc>
          <w:tcPr>
            <w:tcW w:w="2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2020</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color w:val="auto"/>
              </w:rPr>
              <w:t>2019</w:t>
            </w:r>
          </w:p>
        </w:tc>
        <w:tc>
          <w:tcPr>
            <w:tcW w:w="960" w:type="dxa"/>
            <w:vAlign w:val="bottom"/>
            <w:tcBorders>
              <w:bottom w:val="single" w:sz="8" w:color="auto"/>
            </w:tcBorders>
          </w:tcPr>
          <w:p>
            <w:pPr>
              <w:jc w:val="right"/>
              <w:ind w:right="375"/>
              <w:spacing w:after="0" w:line="183" w:lineRule="exact"/>
              <w:rPr>
                <w:sz w:val="20"/>
                <w:szCs w:val="20"/>
                <w:color w:val="auto"/>
              </w:rPr>
            </w:pPr>
            <w:r>
              <w:rPr>
                <w:rFonts w:ascii="Arial" w:cs="Arial" w:eastAsia="Arial" w:hAnsi="Arial"/>
                <w:sz w:val="17"/>
                <w:szCs w:val="17"/>
                <w:b w:val="1"/>
                <w:bCs w:val="1"/>
                <w:color w:val="auto"/>
              </w:rPr>
              <w:t>2021</w:t>
            </w:r>
          </w:p>
        </w:tc>
        <w:tc>
          <w:tcPr>
            <w:tcW w:w="1060" w:type="dxa"/>
            <w:vAlign w:val="bottom"/>
            <w:tcBorders>
              <w:bottom w:val="single" w:sz="8" w:color="auto"/>
            </w:tcBorders>
          </w:tcPr>
          <w:p>
            <w:pPr>
              <w:jc w:val="right"/>
              <w:ind w:right="475"/>
              <w:spacing w:after="0" w:line="183" w:lineRule="exact"/>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tcPr>
          <w:p>
            <w:pPr>
              <w:jc w:val="right"/>
              <w:ind w:right="275"/>
              <w:spacing w:after="0" w:line="183" w:lineRule="exact"/>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Initial cost trend rate</w:t>
            </w:r>
          </w:p>
        </w:tc>
        <w:tc>
          <w:tcPr>
            <w:tcW w:w="10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6.3 %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6.5 %</w:t>
            </w:r>
          </w:p>
        </w:tc>
        <w:tc>
          <w:tcPr>
            <w:tcW w:w="960" w:type="dxa"/>
            <w:vAlign w:val="bottom"/>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5.0 %</w:t>
            </w:r>
          </w:p>
        </w:tc>
        <w:tc>
          <w:tcPr>
            <w:tcW w:w="1060" w:type="dxa"/>
            <w:vAlign w:val="bottom"/>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5.0 %</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9"/>
        </w:trPr>
        <w:tc>
          <w:tcPr>
            <w:tcW w:w="3140" w:type="dxa"/>
            <w:vAlign w:val="bottom"/>
          </w:tcPr>
          <w:p>
            <w:pPr>
              <w:spacing w:after="0" w:line="189" w:lineRule="exact"/>
              <w:rPr>
                <w:sz w:val="20"/>
                <w:szCs w:val="20"/>
                <w:color w:val="auto"/>
              </w:rPr>
            </w:pPr>
            <w:r>
              <w:rPr>
                <w:rFonts w:ascii="Arial" w:cs="Arial" w:eastAsia="Arial" w:hAnsi="Arial"/>
                <w:sz w:val="17"/>
                <w:szCs w:val="17"/>
                <w:color w:val="auto"/>
              </w:rPr>
              <w:t>Ultimate cost trend rate</w:t>
            </w:r>
          </w:p>
        </w:tc>
        <w:tc>
          <w:tcPr>
            <w:tcW w:w="10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4.8 %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5.0 %</w:t>
            </w:r>
          </w:p>
        </w:tc>
        <w:tc>
          <w:tcPr>
            <w:tcW w:w="9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5.0 %</w:t>
            </w:r>
          </w:p>
        </w:tc>
        <w:tc>
          <w:tcPr>
            <w:tcW w:w="1060" w:type="dxa"/>
            <w:vAlign w:val="bottom"/>
          </w:tcPr>
          <w:p>
            <w:pPr>
              <w:jc w:val="right"/>
              <w:ind w:right="155"/>
              <w:spacing w:after="0" w:line="189" w:lineRule="exact"/>
              <w:rPr>
                <w:sz w:val="20"/>
                <w:szCs w:val="20"/>
                <w:color w:val="auto"/>
              </w:rPr>
            </w:pPr>
            <w:r>
              <w:rPr>
                <w:rFonts w:ascii="Arial" w:cs="Arial" w:eastAsia="Arial" w:hAnsi="Arial"/>
                <w:sz w:val="17"/>
                <w:szCs w:val="17"/>
                <w:color w:val="auto"/>
              </w:rPr>
              <w:t>5.0 %</w:t>
            </w: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Year that the ultimate cost trend rate is</w:t>
            </w:r>
          </w:p>
        </w:tc>
        <w:tc>
          <w:tcPr>
            <w:tcW w:w="10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2028</w:t>
            </w:r>
          </w:p>
        </w:tc>
        <w:tc>
          <w:tcPr>
            <w:tcW w:w="9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2020</w:t>
            </w:r>
          </w:p>
        </w:tc>
        <w:tc>
          <w:tcPr>
            <w:tcW w:w="10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1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reached</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2020</w:t>
            </w:r>
          </w:p>
        </w:tc>
        <w:tc>
          <w:tcPr>
            <w:tcW w:w="7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The mortality assumption used to value the 2021 U.S. pension obligations was the Pri-2012 mortality table with generational projection using MP-2021 for both males and females, while in the prior year the obligation was valued using the Pri-2012 mortality table with generational projection using MP-2020. For years ended January 29, 2022 and January 30, 2021, we used the 2014 CPM Private Sector mortality table projected generationally with Scale CPM-B for both males and females to value its Canadian pension obligations. For the SERP Medical Plan, the mortality assumption used to value the 2021 obligation was updated to the PriH-2012 table with generational projection using MP-2021, while in the prior year the obligation was valued using the PriH-2012 table with generational projection using MP-2020.</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Plan Assets</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target composition of our Canadian qualified pension plan assets is 95% fixed-income securities and 5% equities. We believe plan assets are invested in a conservative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The target composition of our U.S. qualified pension plan assets is 70% fixed-income securities, 28.5% equities, and 1.5% real estate. We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w:t>
      </w:r>
    </w:p>
    <w:p>
      <w:pPr>
        <w:spacing w:after="0" w:line="350"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believe plan assets are invested in a conservative manner with an objective of providing a total return that, over the long term, provides sufficient assets to fund benefit obligations, taking into account our expected contributions and the level of funding risk deemed appropriate. Our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Valuation of Investments</w:t>
      </w:r>
    </w:p>
    <w:p>
      <w:pPr>
        <w:spacing w:after="0" w:line="18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 The fair values of the Canadian pension plan assets at January 29, 2022 and January 30, 2021 were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90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700" w:type="dxa"/>
            <w:vAlign w:val="bottom"/>
          </w:tcPr>
          <w:p>
            <w:pPr>
              <w:spacing w:after="0"/>
              <w:rPr>
                <w:sz w:val="18"/>
                <w:szCs w:val="18"/>
                <w:color w:val="auto"/>
              </w:rPr>
            </w:pPr>
          </w:p>
        </w:tc>
        <w:tc>
          <w:tcPr>
            <w:tcW w:w="880" w:type="dxa"/>
            <w:vAlign w:val="bottom"/>
          </w:tcPr>
          <w:p>
            <w:pPr>
              <w:jc w:val="right"/>
              <w:ind w:right="175"/>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860" w:type="dxa"/>
            <w:vAlign w:val="bottom"/>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7"/>
                <w:szCs w:val="17"/>
                <w:b w:val="1"/>
                <w:bCs w:val="1"/>
                <w:color w:val="auto"/>
              </w:rPr>
              <w:t>Level 3</w:t>
            </w:r>
          </w:p>
        </w:tc>
        <w:tc>
          <w:tcPr>
            <w:tcW w:w="11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2021 Total</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2020 Total*</w:t>
            </w:r>
          </w:p>
        </w:tc>
      </w:tr>
      <w:tr>
        <w:trPr>
          <w:trHeight w:val="183"/>
        </w:trPr>
        <w:tc>
          <w:tcPr>
            <w:tcW w:w="20" w:type="dxa"/>
            <w:vAlign w:val="bottom"/>
          </w:tcPr>
          <w:p>
            <w:pPr>
              <w:spacing w:after="0"/>
              <w:rPr>
                <w:sz w:val="15"/>
                <w:szCs w:val="15"/>
                <w:color w:val="auto"/>
              </w:rPr>
            </w:pPr>
          </w:p>
        </w:tc>
        <w:tc>
          <w:tcPr>
            <w:tcW w:w="28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Cash equivalents</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6</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shd w:val="clear" w:color="auto" w:fill="CCEEFF"/>
          </w:tcPr>
          <w:p>
            <w:pPr>
              <w:ind w:left="58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6</w:t>
            </w:r>
          </w:p>
        </w:tc>
        <w:tc>
          <w:tcPr>
            <w:tcW w:w="500" w:type="dxa"/>
            <w:vAlign w:val="bottom"/>
            <w:tcBorders>
              <w:top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Equity securities: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Canadian and international </w:t>
            </w:r>
            <w:r>
              <w:rPr>
                <w:rFonts w:ascii="Arial" w:cs="Arial" w:eastAsia="Arial" w:hAnsi="Arial"/>
                <w:sz w:val="21"/>
                <w:szCs w:val="21"/>
                <w:color w:val="auto"/>
                <w:vertAlign w:val="superscript"/>
              </w:rPr>
              <w:t>(1)</w:t>
            </w:r>
          </w:p>
        </w:tc>
        <w:tc>
          <w:tcPr>
            <w:tcW w:w="7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w:t>
            </w: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w:t>
            </w:r>
          </w:p>
        </w:tc>
      </w:tr>
      <w:tr>
        <w:trPr>
          <w:trHeight w:val="189"/>
        </w:trPr>
        <w:tc>
          <w:tcPr>
            <w:tcW w:w="2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7"/>
                <w:szCs w:val="17"/>
                <w:color w:val="auto"/>
              </w:rPr>
              <w:t>Fixed-income securities:</w:t>
            </w: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88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Cash matched bonds </w:t>
            </w:r>
            <w:r>
              <w:rPr>
                <w:rFonts w:ascii="Arial" w:cs="Arial" w:eastAsia="Arial" w:hAnsi="Arial"/>
                <w:sz w:val="21"/>
                <w:szCs w:val="21"/>
                <w:color w:val="auto"/>
                <w:vertAlign w:val="superscript"/>
              </w:rPr>
              <w:t>(2)</w:t>
            </w:r>
          </w:p>
        </w:tc>
        <w:tc>
          <w:tcPr>
            <w:tcW w:w="7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36</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36</w:t>
            </w:r>
          </w:p>
        </w:tc>
        <w:tc>
          <w:tcPr>
            <w:tcW w:w="5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w:t>
            </w:r>
          </w:p>
        </w:tc>
      </w:tr>
      <w:tr>
        <w:trPr>
          <w:trHeight w:val="183"/>
        </w:trPr>
        <w:tc>
          <w:tcPr>
            <w:tcW w:w="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 at fair value</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42</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ind w:left="580"/>
              <w:spacing w:after="0" w:line="183" w:lineRule="exact"/>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ind w:right="215"/>
              <w:spacing w:after="0" w:line="183" w:lineRule="exact"/>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45</w:t>
            </w:r>
          </w:p>
        </w:tc>
        <w:tc>
          <w:tcPr>
            <w:tcW w:w="50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50</w:t>
            </w:r>
          </w:p>
        </w:tc>
      </w:tr>
      <w:tr>
        <w:trPr>
          <w:trHeight w:val="20"/>
        </w:trPr>
        <w:tc>
          <w:tcPr>
            <w:tcW w:w="20" w:type="dxa"/>
            <w:vAlign w:val="bottom"/>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7"/>
          <w:szCs w:val="17"/>
          <w:color w:val="auto"/>
        </w:rPr>
      </w:pPr>
      <w:r>
        <w:rPr>
          <w:rFonts w:ascii="Arial" w:cs="Arial" w:eastAsia="Arial" w:hAnsi="Arial"/>
          <w:sz w:val="13"/>
          <w:szCs w:val="13"/>
          <w:color w:val="auto"/>
        </w:rPr>
        <w:t>Each category of plan assets is classified within the same level of the fair value hierarchy for 2021 and 2020.</w:t>
      </w:r>
    </w:p>
    <w:p>
      <w:pPr>
        <w:spacing w:after="0" w:line="12"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category comprises one mutual fund that invests primarily in a diverse portfolio of Canadian securities.</w:t>
      </w:r>
    </w:p>
    <w:p>
      <w:pPr>
        <w:ind w:left="380" w:right="79" w:hanging="330"/>
        <w:spacing w:after="0" w:line="258" w:lineRule="auto"/>
        <w:tabs>
          <w:tab w:leader="none" w:pos="3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fair values of the U.S. pension plan assets at January 29, 2022 were as follows: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3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860" w:type="dxa"/>
            <w:vAlign w:val="bottom"/>
          </w:tcPr>
          <w:p>
            <w:pPr>
              <w:jc w:val="right"/>
              <w:ind w:right="155"/>
              <w:spacing w:after="0"/>
              <w:rPr>
                <w:sz w:val="20"/>
                <w:szCs w:val="20"/>
                <w:color w:val="auto"/>
              </w:rPr>
            </w:pPr>
            <w:r>
              <w:rPr>
                <w:rFonts w:ascii="Arial" w:cs="Arial" w:eastAsia="Arial" w:hAnsi="Arial"/>
                <w:sz w:val="17"/>
                <w:szCs w:val="17"/>
                <w:b w:val="1"/>
                <w:bCs w:val="1"/>
                <w:color w:val="auto"/>
              </w:rPr>
              <w:t>Level 1</w:t>
            </w:r>
          </w:p>
        </w:tc>
        <w:tc>
          <w:tcPr>
            <w:tcW w:w="26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7"/>
                <w:szCs w:val="17"/>
                <w:b w:val="1"/>
                <w:bCs w:val="1"/>
                <w:color w:val="auto"/>
              </w:rPr>
              <w:t>Level 3</w:t>
            </w:r>
          </w:p>
        </w:tc>
        <w:tc>
          <w:tcPr>
            <w:tcW w:w="110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2021 Total</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2020 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Cash equivalents</w:t>
            </w:r>
          </w:p>
        </w:tc>
        <w:tc>
          <w:tcPr>
            <w:tcW w:w="3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4</w:t>
            </w:r>
          </w:p>
        </w:tc>
        <w:tc>
          <w:tcPr>
            <w:tcW w:w="2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shd w:val="clear" w:color="auto" w:fill="CCEEFF"/>
          </w:tcPr>
          <w:p>
            <w:pPr>
              <w:ind w:left="56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top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b w:val="1"/>
                <w:bCs w:val="1"/>
                <w:color w:val="auto"/>
              </w:rPr>
              <w:t>4</w:t>
            </w:r>
          </w:p>
        </w:tc>
        <w:tc>
          <w:tcPr>
            <w:tcW w:w="460" w:type="dxa"/>
            <w:vAlign w:val="bottom"/>
            <w:tcBorders>
              <w:top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line="189" w:lineRule="exact"/>
              <w:rPr>
                <w:sz w:val="20"/>
                <w:szCs w:val="20"/>
                <w:color w:val="auto"/>
              </w:rPr>
            </w:pPr>
            <w:r>
              <w:rPr>
                <w:rFonts w:ascii="Arial" w:cs="Arial" w:eastAsia="Arial" w:hAnsi="Arial"/>
                <w:sz w:val="17"/>
                <w:szCs w:val="17"/>
                <w:color w:val="auto"/>
              </w:rPr>
              <w:t>Equity securities: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U.S. large-cap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93</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93</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80"/>
              <w:spacing w:after="0" w:line="189" w:lineRule="exact"/>
              <w:rPr>
                <w:sz w:val="20"/>
                <w:szCs w:val="20"/>
                <w:color w:val="auto"/>
              </w:rPr>
            </w:pPr>
            <w:r>
              <w:rPr>
                <w:rFonts w:ascii="Arial" w:cs="Arial" w:eastAsia="Arial" w:hAnsi="Arial"/>
                <w:sz w:val="15"/>
                <w:szCs w:val="15"/>
                <w:color w:val="auto"/>
              </w:rPr>
              <w:t xml:space="preserve">U.S. mid/small-cap </w:t>
            </w:r>
            <w:r>
              <w:rPr>
                <w:rFonts w:ascii="Arial" w:cs="Arial" w:eastAsia="Arial" w:hAnsi="Arial"/>
                <w:sz w:val="21"/>
                <w:szCs w:val="21"/>
                <w:color w:val="auto"/>
                <w:vertAlign w:val="superscript"/>
              </w:rPr>
              <w:t>(1)</w:t>
            </w:r>
          </w:p>
        </w:tc>
        <w:tc>
          <w:tcPr>
            <w:tcW w:w="300" w:type="dxa"/>
            <w:vAlign w:val="bottom"/>
          </w:tcPr>
          <w:p>
            <w:pPr>
              <w:spacing w:after="0"/>
              <w:rPr>
                <w:sz w:val="16"/>
                <w:szCs w:val="16"/>
                <w:color w:val="auto"/>
              </w:rPr>
            </w:pPr>
          </w:p>
        </w:tc>
        <w:tc>
          <w:tcPr>
            <w:tcW w:w="8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w:t>
            </w:r>
          </w:p>
        </w:tc>
        <w:tc>
          <w:tcPr>
            <w:tcW w:w="260" w:type="dxa"/>
            <w:vAlign w:val="bottom"/>
          </w:tcPr>
          <w:p>
            <w:pPr>
              <w:spacing w:after="0"/>
              <w:rPr>
                <w:sz w:val="16"/>
                <w:szCs w:val="16"/>
                <w:color w:val="auto"/>
              </w:rPr>
            </w:pPr>
          </w:p>
        </w:tc>
        <w:tc>
          <w:tcPr>
            <w:tcW w:w="860" w:type="dxa"/>
            <w:vAlign w:val="bottom"/>
          </w:tcPr>
          <w:p>
            <w:pPr>
              <w:ind w:left="56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6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24</w:t>
            </w:r>
          </w:p>
        </w:tc>
        <w:tc>
          <w:tcPr>
            <w:tcW w:w="4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International </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58</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58</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ind w:left="80"/>
              <w:spacing w:after="0" w:line="189" w:lineRule="exact"/>
              <w:rPr>
                <w:sz w:val="20"/>
                <w:szCs w:val="20"/>
                <w:color w:val="auto"/>
              </w:rPr>
            </w:pPr>
            <w:r>
              <w:rPr>
                <w:rFonts w:ascii="Arial" w:cs="Arial" w:eastAsia="Arial" w:hAnsi="Arial"/>
                <w:sz w:val="15"/>
                <w:szCs w:val="15"/>
                <w:color w:val="auto"/>
              </w:rPr>
              <w:t xml:space="preserve">Corporate stock </w:t>
            </w:r>
            <w:r>
              <w:rPr>
                <w:rFonts w:ascii="Arial" w:cs="Arial" w:eastAsia="Arial" w:hAnsi="Arial"/>
                <w:sz w:val="21"/>
                <w:szCs w:val="21"/>
                <w:color w:val="auto"/>
                <w:vertAlign w:val="superscript"/>
              </w:rPr>
              <w:t>(3)</w:t>
            </w:r>
          </w:p>
        </w:tc>
        <w:tc>
          <w:tcPr>
            <w:tcW w:w="300" w:type="dxa"/>
            <w:vAlign w:val="bottom"/>
          </w:tcPr>
          <w:p>
            <w:pPr>
              <w:spacing w:after="0"/>
              <w:rPr>
                <w:sz w:val="16"/>
                <w:szCs w:val="16"/>
                <w:color w:val="auto"/>
              </w:rPr>
            </w:pPr>
          </w:p>
        </w:tc>
        <w:tc>
          <w:tcPr>
            <w:tcW w:w="8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18</w:t>
            </w:r>
          </w:p>
        </w:tc>
        <w:tc>
          <w:tcPr>
            <w:tcW w:w="260" w:type="dxa"/>
            <w:vAlign w:val="bottom"/>
          </w:tcPr>
          <w:p>
            <w:pPr>
              <w:spacing w:after="0"/>
              <w:rPr>
                <w:sz w:val="16"/>
                <w:szCs w:val="16"/>
                <w:color w:val="auto"/>
              </w:rPr>
            </w:pPr>
          </w:p>
        </w:tc>
        <w:tc>
          <w:tcPr>
            <w:tcW w:w="84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60" w:type="dxa"/>
            <w:vAlign w:val="bottom"/>
          </w:tcPr>
          <w:p>
            <w:pPr>
              <w:ind w:left="560"/>
              <w:spacing w:after="0" w:line="189"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640" w:type="dxa"/>
            <w:vAlign w:val="bottom"/>
          </w:tcPr>
          <w:p>
            <w:pPr>
              <w:jc w:val="right"/>
              <w:ind w:right="35"/>
              <w:spacing w:after="0" w:line="189" w:lineRule="exact"/>
              <w:rPr>
                <w:sz w:val="20"/>
                <w:szCs w:val="20"/>
                <w:color w:val="auto"/>
              </w:rPr>
            </w:pPr>
            <w:r>
              <w:rPr>
                <w:rFonts w:ascii="Arial" w:cs="Arial" w:eastAsia="Arial" w:hAnsi="Arial"/>
                <w:sz w:val="17"/>
                <w:szCs w:val="17"/>
                <w:b w:val="1"/>
                <w:bCs w:val="1"/>
                <w:color w:val="auto"/>
              </w:rPr>
              <w:t>18</w:t>
            </w:r>
          </w:p>
        </w:tc>
        <w:tc>
          <w:tcPr>
            <w:tcW w:w="46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Fixed-income securities:</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60" w:type="dxa"/>
            <w:vAlign w:val="bottom"/>
          </w:tcPr>
          <w:p>
            <w:pPr>
              <w:ind w:left="80"/>
              <w:spacing w:after="0" w:line="181" w:lineRule="exact"/>
              <w:rPr>
                <w:sz w:val="20"/>
                <w:szCs w:val="20"/>
                <w:color w:val="auto"/>
              </w:rPr>
            </w:pPr>
            <w:r>
              <w:rPr>
                <w:rFonts w:ascii="Arial" w:cs="Arial" w:eastAsia="Arial" w:hAnsi="Arial"/>
                <w:sz w:val="17"/>
                <w:szCs w:val="17"/>
                <w:color w:val="auto"/>
              </w:rPr>
              <w:t>Long duration corporate and government</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282</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Pr>
          <w:p>
            <w:pPr>
              <w:ind w:left="220"/>
              <w:spacing w:after="0" w:line="197" w:lineRule="exact"/>
              <w:rPr>
                <w:sz w:val="20"/>
                <w:szCs w:val="20"/>
                <w:color w:val="auto"/>
              </w:rPr>
            </w:pPr>
            <w:r>
              <w:rPr>
                <w:rFonts w:ascii="Arial" w:cs="Arial" w:eastAsia="Arial" w:hAnsi="Arial"/>
                <w:sz w:val="15"/>
                <w:szCs w:val="15"/>
                <w:color w:val="auto"/>
              </w:rPr>
              <w:t xml:space="preserve">bonds </w:t>
            </w:r>
            <w:r>
              <w:rPr>
                <w:rFonts w:ascii="Arial" w:cs="Arial" w:eastAsia="Arial" w:hAnsi="Arial"/>
                <w:sz w:val="22"/>
                <w:szCs w:val="22"/>
                <w:color w:val="auto"/>
                <w:vertAlign w:val="superscript"/>
              </w:rPr>
              <w:t>(4)</w:t>
            </w:r>
          </w:p>
        </w:tc>
        <w:tc>
          <w:tcPr>
            <w:tcW w:w="300" w:type="dxa"/>
            <w:vAlign w:val="bottom"/>
          </w:tcPr>
          <w:p>
            <w:pPr>
              <w:spacing w:after="0"/>
              <w:rPr>
                <w:sz w:val="17"/>
                <w:szCs w:val="17"/>
                <w:color w:val="auto"/>
              </w:rPr>
            </w:pPr>
          </w:p>
        </w:tc>
        <w:tc>
          <w:tcPr>
            <w:tcW w:w="8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282</w:t>
            </w:r>
          </w:p>
        </w:tc>
        <w:tc>
          <w:tcPr>
            <w:tcW w:w="260" w:type="dxa"/>
            <w:vAlign w:val="bottom"/>
          </w:tcPr>
          <w:p>
            <w:pPr>
              <w:spacing w:after="0"/>
              <w:rPr>
                <w:sz w:val="17"/>
                <w:szCs w:val="17"/>
                <w:color w:val="auto"/>
              </w:rPr>
            </w:pPr>
          </w:p>
        </w:tc>
        <w:tc>
          <w:tcPr>
            <w:tcW w:w="860" w:type="dxa"/>
            <w:vAlign w:val="bottom"/>
          </w:tcPr>
          <w:p>
            <w:pPr>
              <w:ind w:left="5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60" w:type="dxa"/>
            <w:vAlign w:val="bottom"/>
            <w:shd w:val="clear" w:color="auto" w:fill="CCEEFF"/>
          </w:tcPr>
          <w:p>
            <w:pPr>
              <w:ind w:left="80"/>
              <w:spacing w:after="0" w:line="181" w:lineRule="exact"/>
              <w:rPr>
                <w:sz w:val="20"/>
                <w:szCs w:val="20"/>
                <w:color w:val="auto"/>
              </w:rPr>
            </w:pPr>
            <w:r>
              <w:rPr>
                <w:rFonts w:ascii="Arial" w:cs="Arial" w:eastAsia="Arial" w:hAnsi="Arial"/>
                <w:sz w:val="17"/>
                <w:szCs w:val="17"/>
                <w:color w:val="auto"/>
              </w:rPr>
              <w:t>Intermediate duration corporate and</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143</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shd w:val="clear" w:color="auto" w:fill="CCEEFF"/>
          </w:tcPr>
          <w:p>
            <w:pPr>
              <w:ind w:left="220"/>
              <w:spacing w:after="0" w:line="197" w:lineRule="exact"/>
              <w:rPr>
                <w:sz w:val="20"/>
                <w:szCs w:val="20"/>
                <w:color w:val="auto"/>
              </w:rPr>
            </w:pPr>
            <w:r>
              <w:rPr>
                <w:rFonts w:ascii="Arial" w:cs="Arial" w:eastAsia="Arial" w:hAnsi="Arial"/>
                <w:sz w:val="15"/>
                <w:szCs w:val="15"/>
                <w:color w:val="auto"/>
              </w:rPr>
              <w:t xml:space="preserve">government bonds </w:t>
            </w:r>
            <w:r>
              <w:rPr>
                <w:rFonts w:ascii="Arial" w:cs="Arial" w:eastAsia="Arial" w:hAnsi="Arial"/>
                <w:sz w:val="22"/>
                <w:szCs w:val="22"/>
                <w:color w:val="auto"/>
                <w:vertAlign w:val="superscript"/>
              </w:rPr>
              <w:t>(5)</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143</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Pr>
          <w:p>
            <w:pPr>
              <w:spacing w:after="0" w:line="189" w:lineRule="exact"/>
              <w:rPr>
                <w:sz w:val="20"/>
                <w:szCs w:val="20"/>
                <w:color w:val="auto"/>
              </w:rPr>
            </w:pPr>
            <w:r>
              <w:rPr>
                <w:rFonts w:ascii="Arial" w:cs="Arial" w:eastAsia="Arial" w:hAnsi="Arial"/>
                <w:sz w:val="17"/>
                <w:szCs w:val="17"/>
                <w:color w:val="auto"/>
              </w:rPr>
              <w:t>Other types of investments: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60" w:type="dxa"/>
            <w:vAlign w:val="bottom"/>
            <w:tcBorders>
              <w:bottom w:val="single" w:sz="8" w:color="auto"/>
            </w:tcBorders>
            <w:shd w:val="clear" w:color="auto" w:fill="CCEEFF"/>
          </w:tcPr>
          <w:p>
            <w:pPr>
              <w:ind w:left="80"/>
              <w:spacing w:after="0" w:line="189" w:lineRule="exact"/>
              <w:rPr>
                <w:sz w:val="20"/>
                <w:szCs w:val="20"/>
                <w:color w:val="auto"/>
              </w:rPr>
            </w:pPr>
            <w:r>
              <w:rPr>
                <w:rFonts w:ascii="Arial" w:cs="Arial" w:eastAsia="Arial" w:hAnsi="Arial"/>
                <w:sz w:val="15"/>
                <w:szCs w:val="15"/>
                <w:color w:val="auto"/>
              </w:rPr>
              <w:t xml:space="preserve">Real estate securities </w:t>
            </w:r>
            <w:r>
              <w:rPr>
                <w:rFonts w:ascii="Arial" w:cs="Arial" w:eastAsia="Arial" w:hAnsi="Arial"/>
                <w:sz w:val="21"/>
                <w:szCs w:val="21"/>
                <w:color w:val="auto"/>
                <w:vertAlign w:val="superscript"/>
              </w:rPr>
              <w:t>(6)</w:t>
            </w: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9</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560"/>
              <w:spacing w:after="0" w:line="189"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35"/>
              <w:spacing w:after="0" w:line="189" w:lineRule="exact"/>
              <w:rPr>
                <w:sz w:val="20"/>
                <w:szCs w:val="20"/>
                <w:color w:val="auto"/>
              </w:rPr>
            </w:pPr>
            <w:r>
              <w:rPr>
                <w:rFonts w:ascii="Arial" w:cs="Arial" w:eastAsia="Arial" w:hAnsi="Arial"/>
                <w:sz w:val="17"/>
                <w:szCs w:val="17"/>
                <w:b w:val="1"/>
                <w:bCs w:val="1"/>
                <w:color w:val="auto"/>
              </w:rPr>
              <w:t>9</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Total assets at fair value</w:t>
            </w: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18</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613</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ind w:left="560"/>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b w:val="1"/>
                <w:bCs w:val="1"/>
                <w:color w:val="auto"/>
              </w:rPr>
              <w:t>631</w:t>
            </w:r>
          </w:p>
        </w:tc>
        <w:tc>
          <w:tcPr>
            <w:tcW w:w="460" w:type="dxa"/>
            <w:vAlign w:val="bottom"/>
            <w:tcBorders>
              <w:bottom w:val="single" w:sz="8" w:color="auto"/>
            </w:tcBorders>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Each category of plan assets is classified within the same level of the fair value hierarchy for 2021 and 2020.</w:t>
      </w:r>
    </w:p>
    <w:p>
      <w:pPr>
        <w:ind w:left="380" w:right="79" w:hanging="330"/>
        <w:spacing w:after="0" w:line="23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These categories consist of various managed funds that invest primarily in common stocks, as well as other equity securities and a combination of other funds.</w:t>
      </w:r>
    </w:p>
    <w:p>
      <w:pPr>
        <w:ind w:left="380" w:right="79" w:hanging="330"/>
        <w:spacing w:after="0" w:line="23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category comprises two managed funds that invest primarily in international common stocks, as well as other equity securities and a combination of other funds.</w:t>
      </w:r>
    </w:p>
    <w:p>
      <w:pPr>
        <w:ind w:left="380" w:hanging="330"/>
        <w:spacing w:after="0"/>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category consists of the Company’s common stock.</w:t>
      </w:r>
    </w:p>
    <w:p>
      <w:pPr>
        <w:ind w:left="380" w:right="79" w:hanging="330"/>
        <w:spacing w:after="0" w:line="23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category consists of various fixed-income funds that invest primarily in long-term bonds, as well as a combination of other funds, that together are designed to exceed the performance of related long-term market indices.</w:t>
      </w:r>
    </w:p>
    <w:p>
      <w:pPr>
        <w:ind w:left="380" w:right="79" w:hanging="330"/>
        <w:spacing w:after="0" w:line="238" w:lineRule="auto"/>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category consists of two fixed-income funds that invest primarily in intermediate duration bonds, as well as a combination of other funds, that together are designed to exceed the performance of related indices.</w:t>
      </w:r>
    </w:p>
    <w:p>
      <w:pPr>
        <w:ind w:left="380" w:hanging="330"/>
        <w:spacing w:after="0"/>
        <w:tabs>
          <w:tab w:leader="none" w:pos="3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This category consists of one fund that invests in global real estate securities.</w:t>
      </w:r>
    </w:p>
    <w:p>
      <w:pPr>
        <w:spacing w:after="0" w:line="200" w:lineRule="exact"/>
        <w:rPr>
          <w:sz w:val="20"/>
          <w:szCs w:val="20"/>
          <w:color w:val="auto"/>
        </w:rPr>
      </w:pPr>
    </w:p>
    <w:p>
      <w:pPr>
        <w:spacing w:after="0" w:line="29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4" w:name="page75"/>
    <w:bookmarkEnd w:id="74"/>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Contributions and Expected Payments</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We were not required to make any contributions to the U.S. qualified pension plan in 2021 and 2020. We do not anticipate making any contributions to the U.S. qualified pension plan in 2022 due to the strong funded status of the plan, however we continually evaluate the amount and timing of any potential contributions based on market conditions and other factors. We paid $3 million and $1 million in pension benefits related to our non-qualified pension plans during 2021 and 2020, respectively.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7"/>
          <w:szCs w:val="17"/>
          <w:color w:val="auto"/>
        </w:rPr>
        <w:t>Estimated future benefit payments for each of the next five years and the five years thereafter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400" w:type="dxa"/>
            <w:vAlign w:val="bottom"/>
          </w:tcPr>
          <w:p>
            <w:pPr>
              <w:spacing w:after="0"/>
              <w:rPr>
                <w:sz w:val="16"/>
                <w:szCs w:val="16"/>
                <w:color w:val="auto"/>
              </w:rPr>
            </w:pPr>
          </w:p>
        </w:tc>
        <w:tc>
          <w:tcPr>
            <w:tcW w:w="3460" w:type="dxa"/>
            <w:vAlign w:val="bottom"/>
          </w:tcPr>
          <w:p>
            <w:pPr>
              <w:ind w:left="2780"/>
              <w:spacing w:after="0"/>
              <w:rPr>
                <w:sz w:val="20"/>
                <w:szCs w:val="20"/>
                <w:color w:val="auto"/>
              </w:rPr>
            </w:pPr>
            <w:r>
              <w:rPr>
                <w:rFonts w:ascii="Arial" w:cs="Arial" w:eastAsia="Arial" w:hAnsi="Arial"/>
                <w:sz w:val="17"/>
                <w:szCs w:val="17"/>
                <w:b w:val="1"/>
                <w:bCs w:val="1"/>
                <w:color w:val="auto"/>
                <w:w w:val="99"/>
              </w:rPr>
              <w:t>Pension</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Postretirement</w:t>
            </w:r>
          </w:p>
        </w:tc>
      </w:tr>
      <w:tr>
        <w:trPr>
          <w:trHeight w:val="215"/>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460" w:type="dxa"/>
            <w:vAlign w:val="bottom"/>
            <w:tcBorders>
              <w:bottom w:val="single" w:sz="8" w:color="auto"/>
            </w:tcBorders>
          </w:tcPr>
          <w:p>
            <w:pPr>
              <w:ind w:left="2780"/>
              <w:spacing w:after="0"/>
              <w:rPr>
                <w:sz w:val="20"/>
                <w:szCs w:val="20"/>
                <w:color w:val="auto"/>
              </w:rPr>
            </w:pPr>
            <w:r>
              <w:rPr>
                <w:rFonts w:ascii="Arial" w:cs="Arial" w:eastAsia="Arial" w:hAnsi="Arial"/>
                <w:sz w:val="17"/>
                <w:szCs w:val="17"/>
                <w:b w:val="1"/>
                <w:bCs w:val="1"/>
                <w:color w:val="auto"/>
                <w:w w:val="98"/>
              </w:rPr>
              <w:t>Benefits</w:t>
            </w:r>
          </w:p>
        </w:tc>
        <w:tc>
          <w:tcPr>
            <w:tcW w:w="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Benefits</w:t>
            </w:r>
          </w:p>
        </w:tc>
      </w:tr>
      <w:tr>
        <w:trPr>
          <w:trHeight w:val="183"/>
        </w:trPr>
        <w:tc>
          <w:tcPr>
            <w:tcW w:w="3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2022</w:t>
            </w:r>
          </w:p>
        </w:tc>
        <w:tc>
          <w:tcPr>
            <w:tcW w:w="3460" w:type="dxa"/>
            <w:vAlign w:val="bottom"/>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69</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w:t>
            </w: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3460" w:type="dxa"/>
            <w:vAlign w:val="bottom"/>
          </w:tcPr>
          <w:p>
            <w:pPr>
              <w:spacing w:after="0"/>
              <w:rPr>
                <w:sz w:val="16"/>
                <w:szCs w:val="16"/>
                <w:color w:val="auto"/>
              </w:rPr>
            </w:pPr>
          </w:p>
        </w:tc>
        <w:tc>
          <w:tcPr>
            <w:tcW w:w="4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52</w:t>
            </w: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2024</w:t>
            </w:r>
          </w:p>
        </w:tc>
        <w:tc>
          <w:tcPr>
            <w:tcW w:w="34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50</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r>
      <w:tr>
        <w:trPr>
          <w:trHeight w:val="189"/>
        </w:trPr>
        <w:tc>
          <w:tcPr>
            <w:tcW w:w="3400" w:type="dxa"/>
            <w:vAlign w:val="bottom"/>
          </w:tcPr>
          <w:p>
            <w:pPr>
              <w:spacing w:after="0" w:line="189" w:lineRule="exact"/>
              <w:rPr>
                <w:sz w:val="20"/>
                <w:szCs w:val="20"/>
                <w:color w:val="auto"/>
              </w:rPr>
            </w:pPr>
            <w:r>
              <w:rPr>
                <w:rFonts w:ascii="Arial" w:cs="Arial" w:eastAsia="Arial" w:hAnsi="Arial"/>
                <w:sz w:val="17"/>
                <w:szCs w:val="17"/>
                <w:color w:val="auto"/>
              </w:rPr>
              <w:t>2025</w:t>
            </w:r>
          </w:p>
        </w:tc>
        <w:tc>
          <w:tcPr>
            <w:tcW w:w="3460" w:type="dxa"/>
            <w:vAlign w:val="bottom"/>
          </w:tcPr>
          <w:p>
            <w:pPr>
              <w:spacing w:after="0"/>
              <w:rPr>
                <w:sz w:val="16"/>
                <w:szCs w:val="16"/>
                <w:color w:val="auto"/>
              </w:rPr>
            </w:pPr>
          </w:p>
        </w:tc>
        <w:tc>
          <w:tcPr>
            <w:tcW w:w="4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47</w:t>
            </w:r>
          </w:p>
        </w:tc>
        <w:tc>
          <w:tcPr>
            <w:tcW w:w="24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2026</w:t>
            </w:r>
          </w:p>
        </w:tc>
        <w:tc>
          <w:tcPr>
            <w:tcW w:w="346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46</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340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2027-2031</w:t>
            </w:r>
          </w:p>
        </w:tc>
        <w:tc>
          <w:tcPr>
            <w:tcW w:w="34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w w:val="98"/>
              </w:rPr>
              <w:t>203</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w:t>
            </w:r>
          </w:p>
        </w:tc>
      </w:tr>
    </w:tbl>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Savings Plans</w:t>
      </w:r>
    </w:p>
    <w:p>
      <w:pPr>
        <w:spacing w:after="0" w:line="187"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7"/>
          <w:szCs w:val="17"/>
          <w:color w:val="auto"/>
        </w:rPr>
        <w:t>We have two qualified savings plans, a 401(k) plan that is available to employees whose primary place of employment is the U.S., and another plan that is available to employees whose primary place of employment is in Puerto Rico. Eligible team members may contribute to the plans following 28 days of employment and are eligible for matching contributions upon completion of one year of service consisting of at least 1,000 hours. As of January 1, 2022, the savings plans allow eligible employees to contribute up to 40% of their compensation on a pre-tax basis, subject to a maximum of $20,500 for the U.S. plan and $15,000 for the Puerto Rico plan. Prior to January 1, 2020, we matched 25% of employees’ pre-tax contributions on up to the first 4% of the employees’ compensation (subject to certain limitations). Effective January 1, 2020, we match 100% of employees’ pre-tax contributions on up to the first 1% and 50% of the next 5% of the employees’ compensation (subject to certain limitations). Prior to January 1, 2020, such matching contributions were vested incrementally over the first five years of participation for both plans. Effective January 1, 2020, matching contributions are vested over two years. The charge to operations for matching contributions was $14 million, $13 million, and $4 million for 2021, 2020, and 2019, respectively.</w:t>
      </w:r>
    </w:p>
    <w:p>
      <w:pPr>
        <w:spacing w:after="0" w:line="16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With the acquisition of WSS in 2021, we became the sponsor of the 401(k) plan for WSS employees. Eligible team members may contribute to the plan following three months of employment and are eligible for matching contributions upon completion of one year of service consisting of at least 1,000 hours. The charge for matching contributions was an insignificant amount in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21. Share-Based Compensation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Stock Awards</w:t>
      </w:r>
    </w:p>
    <w:p>
      <w:pPr>
        <w:spacing w:after="0" w:line="187"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Under our 2007 Stock Incentive Plan (the “2007 Stock Plan”), stock options, restricted stock, restricted stock units, stock appreciation rights, or other share-based awards may be granted to nonemployee directors, officers and other employees, including our subsidiaries and operating divisions worldwide.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ten years from the date of grant. On May 21, 2014, the 2007 Stock Plan was amended to increase the number of shares of common stock reserved for all awards to 14 million shares. As of January 29, 2022, there were 5,714,498 shares available for issuance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5" w:name="page76"/>
    <w:bookmarkEnd w:id="75"/>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Employees Stock Purchase Plan</w:t>
      </w:r>
    </w:p>
    <w:p>
      <w:pPr>
        <w:spacing w:after="0" w:line="17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Under our 2013 Foot Locker Employees Stock Purchase Plan (“ESPP”), participating employees are able to contribute up to 10% of their annual compensation, not to exceed $25,000 in any plan year, through payroll deductions to acquire shares of our common stock at 85% of the lower market price on one of two specified dates in each plan year. Of the 3,000,000 shares of common stock authorized under this plan, there were 1,974,376 shares available for purchase as of January 29, 2022. During 2021 and 2020, participating employees purchased 300,788 shares and 104,054 shares, respectively.</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Share-Based Compensation Expense</w:t>
      </w:r>
    </w:p>
    <w:p>
      <w:pPr>
        <w:spacing w:after="0" w:line="22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Total compensation expense included in SG&amp;A and the associated tax benefits recognized related to our share-based compensation plans, were as follows: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3980" w:type="dxa"/>
            <w:vAlign w:val="bottom"/>
            <w:gridSpan w:val="2"/>
          </w:tcPr>
          <w:p>
            <w:pPr>
              <w:spacing w:after="0"/>
              <w:rPr>
                <w:sz w:val="20"/>
                <w:szCs w:val="20"/>
                <w:color w:val="auto"/>
              </w:rPr>
            </w:pPr>
            <w:r>
              <w:rPr>
                <w:rFonts w:ascii="Arial" w:cs="Arial" w:eastAsia="Arial" w:hAnsi="Arial"/>
                <w:sz w:val="17"/>
                <w:szCs w:val="17"/>
                <w:color w:val="auto"/>
              </w:rPr>
              <w:t>($ in millions)</w:t>
            </w:r>
          </w:p>
        </w:tc>
        <w:tc>
          <w:tcPr>
            <w:tcW w:w="1200" w:type="dxa"/>
            <w:vAlign w:val="bottom"/>
          </w:tcPr>
          <w:p>
            <w:pPr>
              <w:jc w:val="right"/>
              <w:ind w:right="55"/>
              <w:spacing w:after="0"/>
              <w:rPr>
                <w:sz w:val="20"/>
                <w:szCs w:val="20"/>
                <w:color w:val="auto"/>
              </w:rPr>
            </w:pPr>
            <w:r>
              <w:rPr>
                <w:rFonts w:ascii="Arial" w:cs="Arial" w:eastAsia="Arial" w:hAnsi="Arial"/>
                <w:sz w:val="17"/>
                <w:szCs w:val="17"/>
                <w:b w:val="1"/>
                <w:bCs w:val="1"/>
                <w:color w:val="auto"/>
              </w:rPr>
              <w:t>2021</w:t>
            </w:r>
          </w:p>
        </w:tc>
        <w:tc>
          <w:tcPr>
            <w:tcW w:w="480" w:type="dxa"/>
            <w:vAlign w:val="bottom"/>
          </w:tcPr>
          <w:p>
            <w:pPr>
              <w:spacing w:after="0"/>
              <w:rPr>
                <w:sz w:val="18"/>
                <w:szCs w:val="18"/>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2020</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4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Options and shares purchased under the stock</w:t>
            </w:r>
          </w:p>
        </w:tc>
        <w:tc>
          <w:tcPr>
            <w:tcW w:w="1200" w:type="dxa"/>
            <w:vAlign w:val="bottom"/>
            <w:tcBorders>
              <w:top w:val="single" w:sz="8" w:color="auto"/>
            </w:tcBorders>
            <w:vMerge w:val="restart"/>
            <w:shd w:val="clear" w:color="auto" w:fill="CCEEFF"/>
          </w:tcPr>
          <w:p>
            <w:pPr>
              <w:jc w:val="right"/>
              <w:ind w:right="855"/>
              <w:spacing w:after="0"/>
              <w:rPr>
                <w:sz w:val="20"/>
                <w:szCs w:val="20"/>
                <w:color w:val="auto"/>
              </w:rPr>
            </w:pPr>
            <w:r>
              <w:rPr>
                <w:rFonts w:ascii="Arial" w:cs="Arial" w:eastAsia="Arial" w:hAnsi="Arial"/>
                <w:sz w:val="17"/>
                <w:szCs w:val="17"/>
                <w:b w:val="1"/>
                <w:bCs w:val="1"/>
                <w:color w:val="auto"/>
              </w:rPr>
              <w:t>$</w:t>
            </w:r>
          </w:p>
        </w:tc>
        <w:tc>
          <w:tcPr>
            <w:tcW w:w="48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6</w:t>
            </w:r>
          </w:p>
        </w:tc>
        <w:tc>
          <w:tcPr>
            <w:tcW w:w="1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purchase plan</w:t>
            </w:r>
          </w:p>
        </w:tc>
        <w:tc>
          <w:tcPr>
            <w:tcW w:w="1200" w:type="dxa"/>
            <w:vAlign w:val="bottom"/>
            <w:vMerge w:val="continue"/>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180" w:type="dxa"/>
            <w:vAlign w:val="bottom"/>
            <w:shd w:val="clear" w:color="auto" w:fill="CCEEFF"/>
          </w:tcPr>
          <w:p>
            <w:pPr>
              <w:jc w:val="right"/>
              <w:ind w:right="85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4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Restricted stock units and performance stock units</w:t>
            </w:r>
          </w:p>
        </w:tc>
        <w:tc>
          <w:tcPr>
            <w:tcW w:w="12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b w:val="1"/>
                <w:bCs w:val="1"/>
                <w:color w:val="auto"/>
              </w:rPr>
              <w:t>23</w:t>
            </w:r>
          </w:p>
        </w:tc>
        <w:tc>
          <w:tcPr>
            <w:tcW w:w="1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9</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Total share-based compensation expense</w:t>
            </w:r>
          </w:p>
        </w:tc>
        <w:tc>
          <w:tcPr>
            <w:tcW w:w="120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b w:val="1"/>
                <w:bCs w:val="1"/>
                <w:color w:val="auto"/>
              </w:rPr>
              <w:t>29</w:t>
            </w:r>
          </w:p>
        </w:tc>
        <w:tc>
          <w:tcPr>
            <w:tcW w:w="1180" w:type="dxa"/>
            <w:vAlign w:val="bottom"/>
            <w:tcBorders>
              <w:bottom w:val="single" w:sz="8" w:color="auto"/>
            </w:tcBorders>
            <w:shd w:val="clear" w:color="auto" w:fill="CCEEFF"/>
          </w:tcPr>
          <w:p>
            <w:pPr>
              <w:jc w:val="right"/>
              <w:ind w:right="85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15</w:t>
            </w:r>
          </w:p>
        </w:tc>
        <w:tc>
          <w:tcPr>
            <w:tcW w:w="46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9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Tax benefit recognized</w:t>
            </w:r>
          </w:p>
        </w:tc>
        <w:tc>
          <w:tcPr>
            <w:tcW w:w="1200" w:type="dxa"/>
            <w:vAlign w:val="bottom"/>
            <w:tcBorders>
              <w:bottom w:val="single" w:sz="8" w:color="auto"/>
            </w:tcBorders>
            <w:shd w:val="clear" w:color="auto" w:fill="CCEEFF"/>
          </w:tcPr>
          <w:p>
            <w:pPr>
              <w:jc w:val="right"/>
              <w:ind w:right="855"/>
              <w:spacing w:after="0" w:line="189" w:lineRule="exact"/>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3</w:t>
            </w:r>
          </w:p>
        </w:tc>
        <w:tc>
          <w:tcPr>
            <w:tcW w:w="1180" w:type="dxa"/>
            <w:vAlign w:val="bottom"/>
            <w:tcBorders>
              <w:bottom w:val="single" w:sz="8" w:color="auto"/>
            </w:tcBorders>
            <w:shd w:val="clear" w:color="auto" w:fill="CCEEFF"/>
          </w:tcPr>
          <w:p>
            <w:pPr>
              <w:jc w:val="right"/>
              <w:ind w:right="855"/>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w:t>
            </w:r>
          </w:p>
        </w:tc>
        <w:tc>
          <w:tcPr>
            <w:tcW w:w="460" w:type="dxa"/>
            <w:vAlign w:val="bottom"/>
            <w:tcBorders>
              <w:bottom w:val="single" w:sz="8" w:color="auto"/>
            </w:tcBorders>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54"/>
        </w:trPr>
        <w:tc>
          <w:tcPr>
            <w:tcW w:w="3980" w:type="dxa"/>
            <w:vAlign w:val="bottom"/>
            <w:gridSpan w:val="2"/>
          </w:tcPr>
          <w:p>
            <w:pPr>
              <w:spacing w:after="0"/>
              <w:rPr>
                <w:sz w:val="20"/>
                <w:szCs w:val="20"/>
                <w:color w:val="auto"/>
              </w:rPr>
            </w:pPr>
            <w:r>
              <w:rPr>
                <w:rFonts w:ascii="Arial" w:cs="Arial" w:eastAsia="Arial" w:hAnsi="Arial"/>
                <w:sz w:val="17"/>
                <w:szCs w:val="17"/>
                <w:i w:val="1"/>
                <w:iCs w:val="1"/>
                <w:color w:val="auto"/>
              </w:rPr>
              <w:t>Valuation Model and Assumptions</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Black-Scholes option-pricing model is used to estimate the fair value of share-based awards. The Black-Scholes option-pricing model incorporates various and subjective assumptions, including expected term and expected volatility.</w:t>
      </w:r>
    </w:p>
    <w:p>
      <w:pPr>
        <w:spacing w:after="0" w:line="16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We estimate the expected term of share-based awards using our historical exercise and post-vesting employment termination patterns, which we believe are representative of future behavior. The expected term for the employee stock purchase plan valuation is based on the length of each purchase period as measured at the beginning of the offering period, which is one year.</w:t>
      </w:r>
    </w:p>
    <w:p>
      <w:pPr>
        <w:spacing w:after="0" w:line="14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We estimate the expected volatility of our common stock at the grant date using a weighted-average of our historical volatility and implied volatility from traded options on our common stock. We believe that this combination of historical volatility and implied volatility provides a better estimate of future stock price volatility.</w:t>
      </w:r>
    </w:p>
    <w:p>
      <w:pPr>
        <w:spacing w:after="0" w:line="16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risk-free interest rate assumption is determined using the Federal Reserve nominal rates for U.S. Treasury zero-coupon bonds with maturities similar to those of the expected term of the award being valued. The expected dividend yield is derived from our historical experience.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shows the assumptions used to compute the share-based compensation expense:</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7"/>
                <w:szCs w:val="17"/>
                <w:b w:val="1"/>
                <w:bCs w:val="1"/>
                <w:color w:val="auto"/>
              </w:rPr>
              <w:t>Stock Option Plans</w:t>
            </w:r>
          </w:p>
        </w:tc>
        <w:tc>
          <w:tcPr>
            <w:tcW w:w="2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Stock Purchase Plan</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2021</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2020</w:t>
            </w:r>
          </w:p>
        </w:tc>
        <w:tc>
          <w:tcPr>
            <w:tcW w:w="106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2019</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b w:val="1"/>
                <w:bCs w:val="1"/>
                <w:color w:val="auto"/>
              </w:rPr>
              <w:t>2021</w:t>
            </w:r>
          </w:p>
        </w:tc>
        <w:tc>
          <w:tcPr>
            <w:tcW w:w="1080" w:type="dxa"/>
            <w:vAlign w:val="bottom"/>
            <w:tcBorders>
              <w:bottom w:val="single" w:sz="8" w:color="auto"/>
            </w:tcBorders>
          </w:tcPr>
          <w:p>
            <w:pPr>
              <w:jc w:val="right"/>
              <w:ind w:right="335"/>
              <w:spacing w:after="0" w:line="183" w:lineRule="exact"/>
              <w:rPr>
                <w:sz w:val="20"/>
                <w:szCs w:val="20"/>
                <w:color w:val="auto"/>
              </w:rPr>
            </w:pPr>
            <w:r>
              <w:rPr>
                <w:rFonts w:ascii="Arial" w:cs="Arial" w:eastAsia="Arial" w:hAnsi="Arial"/>
                <w:sz w:val="17"/>
                <w:szCs w:val="17"/>
                <w:color w:val="auto"/>
              </w:rPr>
              <w:t>2020</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5"/>
              <w:spacing w:after="0" w:line="183" w:lineRule="exact"/>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176"/>
        </w:trPr>
        <w:tc>
          <w:tcPr>
            <w:tcW w:w="260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Weighted-average risk free rate of</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0.9 %</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0.1 %</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47 %</w:t>
            </w: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37 %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38 %</w:t>
            </w: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45 %</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48 %</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expected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5.5</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award life (in years)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4.9</w:t>
            </w:r>
          </w:p>
        </w:tc>
        <w:tc>
          <w:tcPr>
            <w:tcW w:w="10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5.5</w:t>
            </w: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2600" w:type="dxa"/>
            <w:vAlign w:val="bottom"/>
          </w:tcPr>
          <w:p>
            <w:pPr>
              <w:spacing w:after="0" w:line="189" w:lineRule="exact"/>
              <w:rPr>
                <w:sz w:val="20"/>
                <w:szCs w:val="20"/>
                <w:color w:val="auto"/>
              </w:rPr>
            </w:pPr>
            <w:r>
              <w:rPr>
                <w:rFonts w:ascii="Arial" w:cs="Arial" w:eastAsia="Arial" w:hAnsi="Arial"/>
                <w:sz w:val="17"/>
                <w:szCs w:val="17"/>
                <w:color w:val="auto"/>
              </w:rPr>
              <w:t>Dividend yield</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1.5 %</w:t>
            </w: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4.3 %</w:t>
            </w:r>
          </w:p>
        </w:tc>
        <w:tc>
          <w:tcPr>
            <w:tcW w:w="1060" w:type="dxa"/>
            <w:vAlign w:val="bottom"/>
          </w:tcPr>
          <w:p>
            <w:pPr>
              <w:jc w:val="right"/>
              <w:spacing w:after="0" w:line="189" w:lineRule="exact"/>
              <w:rPr>
                <w:sz w:val="20"/>
                <w:szCs w:val="20"/>
                <w:color w:val="auto"/>
              </w:rPr>
            </w:pPr>
            <w:r>
              <w:rPr>
                <w:rFonts w:ascii="Arial" w:cs="Arial" w:eastAsia="Arial" w:hAnsi="Arial"/>
                <w:sz w:val="17"/>
                <w:szCs w:val="17"/>
                <w:color w:val="auto"/>
              </w:rPr>
              <w:t>2.6 %</w:t>
            </w:r>
          </w:p>
        </w:tc>
        <w:tc>
          <w:tcPr>
            <w:tcW w:w="2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4.0 %</w:t>
            </w:r>
          </w:p>
        </w:tc>
        <w:tc>
          <w:tcPr>
            <w:tcW w:w="1080" w:type="dxa"/>
            <w:vAlign w:val="bottom"/>
          </w:tcPr>
          <w:p>
            <w:pPr>
              <w:jc w:val="right"/>
              <w:spacing w:after="0" w:line="189" w:lineRule="exact"/>
              <w:rPr>
                <w:sz w:val="20"/>
                <w:szCs w:val="20"/>
                <w:color w:val="auto"/>
              </w:rPr>
            </w:pPr>
            <w:r>
              <w:rPr>
                <w:rFonts w:ascii="Arial" w:cs="Arial" w:eastAsia="Arial" w:hAnsi="Arial"/>
                <w:sz w:val="17"/>
                <w:szCs w:val="17"/>
                <w:color w:val="auto"/>
              </w:rPr>
              <w:t>4.2 %</w:t>
            </w: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Weighted-average fair value</w:t>
            </w:r>
          </w:p>
        </w:tc>
        <w:tc>
          <w:tcPr>
            <w:tcW w:w="18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b w:val="1"/>
                <w:bCs w:val="1"/>
                <w:color w:val="auto"/>
              </w:rPr>
              <w:t>20.22</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5.03</w:t>
            </w:r>
          </w:p>
        </w:tc>
        <w:tc>
          <w:tcPr>
            <w:tcW w:w="106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   17.07</w:t>
            </w:r>
          </w:p>
        </w:tc>
        <w:tc>
          <w:tcPr>
            <w:tcW w:w="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b w:val="1"/>
                <w:bCs w:val="1"/>
                <w:color w:val="auto"/>
              </w:rPr>
              <w:t>9.61</w:t>
            </w:r>
          </w:p>
        </w:tc>
        <w:tc>
          <w:tcPr>
            <w:tcW w:w="1080" w:type="dxa"/>
            <w:vAlign w:val="bottom"/>
            <w:tcBorders>
              <w:bottom w:val="single" w:sz="8" w:color="auto"/>
            </w:tcBorders>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   13.97</w:t>
            </w:r>
          </w:p>
        </w:tc>
        <w:tc>
          <w:tcPr>
            <w:tcW w:w="24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205"/>
        </w:trPr>
        <w:tc>
          <w:tcPr>
            <w:tcW w:w="7460" w:type="dxa"/>
            <w:vAlign w:val="bottom"/>
            <w:gridSpan w:val="3"/>
          </w:tcPr>
          <w:p>
            <w:pPr>
              <w:spacing w:after="0"/>
              <w:rPr>
                <w:sz w:val="20"/>
                <w:szCs w:val="20"/>
                <w:color w:val="auto"/>
              </w:rPr>
            </w:pPr>
            <w:r>
              <w:rPr>
                <w:rFonts w:ascii="Arial" w:cs="Arial" w:eastAsia="Arial" w:hAnsi="Arial"/>
                <w:sz w:val="17"/>
                <w:szCs w:val="17"/>
                <w:color w:val="auto"/>
              </w:rPr>
              <w:t>The information set forth in the following table covers options granted under our stock option plans: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29"/>
        </w:trPr>
        <w:tc>
          <w:tcPr>
            <w:tcW w:w="4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jc w:val="center"/>
              <w:ind w:right="75"/>
              <w:spacing w:after="0"/>
              <w:rPr>
                <w:sz w:val="20"/>
                <w:szCs w:val="20"/>
                <w:color w:val="auto"/>
              </w:rPr>
            </w:pPr>
            <w:r>
              <w:rPr>
                <w:rFonts w:ascii="Arial" w:cs="Arial" w:eastAsia="Arial" w:hAnsi="Arial"/>
                <w:sz w:val="17"/>
                <w:szCs w:val="17"/>
                <w:b w:val="1"/>
                <w:bCs w:val="1"/>
                <w:color w:val="auto"/>
                <w:w w:val="99"/>
              </w:rPr>
              <w:t>Weighted-</w:t>
            </w:r>
          </w:p>
        </w:tc>
        <w:tc>
          <w:tcPr>
            <w:tcW w:w="200" w:type="dxa"/>
            <w:vAlign w:val="bottom"/>
          </w:tcPr>
          <w:p>
            <w:pPr>
              <w:spacing w:after="0"/>
              <w:rPr>
                <w:sz w:val="24"/>
                <w:szCs w:val="24"/>
                <w:color w:val="auto"/>
              </w:rPr>
            </w:pPr>
          </w:p>
        </w:tc>
        <w:tc>
          <w:tcPr>
            <w:tcW w:w="1240" w:type="dxa"/>
            <w:vAlign w:val="bottom"/>
          </w:tcPr>
          <w:p>
            <w:pPr>
              <w:jc w:val="center"/>
              <w:ind w:right="95"/>
              <w:spacing w:after="0"/>
              <w:rPr>
                <w:sz w:val="20"/>
                <w:szCs w:val="20"/>
                <w:color w:val="auto"/>
              </w:rPr>
            </w:pPr>
            <w:r>
              <w:rPr>
                <w:rFonts w:ascii="Arial" w:cs="Arial" w:eastAsia="Arial" w:hAnsi="Arial"/>
                <w:sz w:val="17"/>
                <w:szCs w:val="17"/>
                <w:b w:val="1"/>
                <w:bCs w:val="1"/>
                <w:color w:val="auto"/>
                <w:w w:val="99"/>
              </w:rPr>
              <w:t>Weighted-</w:t>
            </w:r>
          </w:p>
        </w:tc>
      </w:tr>
      <w:tr>
        <w:trPr>
          <w:trHeight w:val="189"/>
        </w:trPr>
        <w:tc>
          <w:tcPr>
            <w:tcW w:w="4140" w:type="dxa"/>
            <w:vAlign w:val="bottom"/>
          </w:tcPr>
          <w:p>
            <w:pPr>
              <w:spacing w:after="0"/>
              <w:rPr>
                <w:sz w:val="16"/>
                <w:szCs w:val="16"/>
                <w:color w:val="auto"/>
              </w:rPr>
            </w:pPr>
          </w:p>
        </w:tc>
        <w:tc>
          <w:tcPr>
            <w:tcW w:w="1700" w:type="dxa"/>
            <w:vAlign w:val="bottom"/>
          </w:tcPr>
          <w:p>
            <w:pPr>
              <w:jc w:val="center"/>
              <w:ind w:left="95"/>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8"/>
              </w:rPr>
              <w:t>Average</w:t>
            </w:r>
          </w:p>
        </w:tc>
        <w:tc>
          <w:tcPr>
            <w:tcW w:w="200" w:type="dxa"/>
            <w:vAlign w:val="bottom"/>
          </w:tcPr>
          <w:p>
            <w:pPr>
              <w:spacing w:after="0"/>
              <w:rPr>
                <w:sz w:val="16"/>
                <w:szCs w:val="16"/>
                <w:color w:val="auto"/>
              </w:rPr>
            </w:pPr>
          </w:p>
        </w:tc>
        <w:tc>
          <w:tcPr>
            <w:tcW w:w="1240" w:type="dxa"/>
            <w:vAlign w:val="bottom"/>
          </w:tcPr>
          <w:p>
            <w:pPr>
              <w:jc w:val="center"/>
              <w:ind w:right="11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4140" w:type="dxa"/>
            <w:vAlign w:val="bottom"/>
          </w:tcPr>
          <w:p>
            <w:pPr>
              <w:spacing w:after="0"/>
              <w:rPr>
                <w:sz w:val="16"/>
                <w:szCs w:val="16"/>
                <w:color w:val="auto"/>
              </w:rPr>
            </w:pPr>
          </w:p>
        </w:tc>
        <w:tc>
          <w:tcPr>
            <w:tcW w:w="1700" w:type="dxa"/>
            <w:vAlign w:val="bottom"/>
          </w:tcPr>
          <w:p>
            <w:pPr>
              <w:jc w:val="center"/>
              <w:ind w:left="95"/>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right="75"/>
              <w:spacing w:after="0" w:line="189" w:lineRule="exact"/>
              <w:rPr>
                <w:sz w:val="20"/>
                <w:szCs w:val="20"/>
                <w:color w:val="auto"/>
              </w:rPr>
            </w:pPr>
            <w:r>
              <w:rPr>
                <w:rFonts w:ascii="Arial" w:cs="Arial" w:eastAsia="Arial" w:hAnsi="Arial"/>
                <w:sz w:val="17"/>
                <w:szCs w:val="17"/>
                <w:b w:val="1"/>
                <w:bCs w:val="1"/>
                <w:color w:val="auto"/>
                <w:w w:val="98"/>
              </w:rPr>
              <w:t>Remaining</w:t>
            </w:r>
          </w:p>
        </w:tc>
        <w:tc>
          <w:tcPr>
            <w:tcW w:w="200" w:type="dxa"/>
            <w:vAlign w:val="bottom"/>
          </w:tcPr>
          <w:p>
            <w:pPr>
              <w:spacing w:after="0"/>
              <w:rPr>
                <w:sz w:val="16"/>
                <w:szCs w:val="16"/>
                <w:color w:val="auto"/>
              </w:rPr>
            </w:pPr>
          </w:p>
        </w:tc>
        <w:tc>
          <w:tcPr>
            <w:tcW w:w="1240" w:type="dxa"/>
            <w:vAlign w:val="bottom"/>
          </w:tcPr>
          <w:p>
            <w:pPr>
              <w:jc w:val="center"/>
              <w:ind w:right="9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4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left="115"/>
              <w:spacing w:after="0"/>
              <w:rPr>
                <w:sz w:val="20"/>
                <w:szCs w:val="20"/>
                <w:color w:val="auto"/>
              </w:rPr>
            </w:pPr>
            <w:r>
              <w:rPr>
                <w:rFonts w:ascii="Arial" w:cs="Arial" w:eastAsia="Arial" w:hAnsi="Arial"/>
                <w:sz w:val="17"/>
                <w:szCs w:val="17"/>
                <w:b w:val="1"/>
                <w:bCs w:val="1"/>
                <w:color w:val="auto"/>
              </w:rPr>
              <w:t>Shares</w:t>
            </w:r>
          </w:p>
        </w:tc>
        <w:tc>
          <w:tcPr>
            <w:tcW w:w="16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rPr>
              <w:t>Contractual Life</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r>
      <w:tr>
        <w:trPr>
          <w:trHeight w:val="183"/>
        </w:trPr>
        <w:tc>
          <w:tcPr>
            <w:tcW w:w="4140" w:type="dxa"/>
            <w:vAlign w:val="bottom"/>
          </w:tcPr>
          <w:p>
            <w:pPr>
              <w:spacing w:after="0"/>
              <w:rPr>
                <w:sz w:val="15"/>
                <w:szCs w:val="15"/>
                <w:color w:val="auto"/>
              </w:rPr>
            </w:pPr>
          </w:p>
        </w:tc>
        <w:tc>
          <w:tcPr>
            <w:tcW w:w="1700" w:type="dxa"/>
            <w:vAlign w:val="bottom"/>
          </w:tcPr>
          <w:p>
            <w:pPr>
              <w:jc w:val="right"/>
              <w:ind w:right="15"/>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right="75"/>
              <w:spacing w:after="0" w:line="183" w:lineRule="exact"/>
              <w:rPr>
                <w:sz w:val="20"/>
                <w:szCs w:val="20"/>
                <w:color w:val="auto"/>
              </w:rPr>
            </w:pPr>
            <w:r>
              <w:rPr>
                <w:rFonts w:ascii="Arial" w:cs="Arial" w:eastAsia="Arial" w:hAnsi="Arial"/>
                <w:sz w:val="17"/>
                <w:szCs w:val="17"/>
                <w:color w:val="auto"/>
                <w:w w:val="98"/>
              </w:rPr>
              <w:t>(in years)</w:t>
            </w:r>
          </w:p>
        </w:tc>
        <w:tc>
          <w:tcPr>
            <w:tcW w:w="200" w:type="dxa"/>
            <w:vAlign w:val="bottom"/>
          </w:tcPr>
          <w:p>
            <w:pPr>
              <w:spacing w:after="0"/>
              <w:rPr>
                <w:sz w:val="15"/>
                <w:szCs w:val="15"/>
                <w:color w:val="auto"/>
              </w:rPr>
            </w:pPr>
          </w:p>
        </w:tc>
        <w:tc>
          <w:tcPr>
            <w:tcW w:w="1240" w:type="dxa"/>
            <w:vAlign w:val="bottom"/>
          </w:tcPr>
          <w:p>
            <w:pPr>
              <w:jc w:val="center"/>
              <w:ind w:right="115"/>
              <w:spacing w:after="0" w:line="183" w:lineRule="exact"/>
              <w:rPr>
                <w:sz w:val="20"/>
                <w:szCs w:val="20"/>
                <w:color w:val="auto"/>
              </w:rPr>
            </w:pPr>
            <w:r>
              <w:rPr>
                <w:rFonts w:ascii="Arial" w:cs="Arial" w:eastAsia="Arial" w:hAnsi="Arial"/>
                <w:sz w:val="17"/>
                <w:szCs w:val="17"/>
                <w:color w:val="auto"/>
              </w:rPr>
              <w:t>(per share)</w:t>
            </w: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outstanding at the beginning of the year</w:t>
            </w:r>
          </w:p>
        </w:tc>
        <w:tc>
          <w:tcPr>
            <w:tcW w:w="170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3,540</w:t>
            </w:r>
          </w:p>
        </w:tc>
        <w:tc>
          <w:tcPr>
            <w:tcW w:w="16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47.17</w:t>
            </w:r>
          </w:p>
        </w:tc>
      </w:tr>
      <w:tr>
        <w:trPr>
          <w:trHeight w:val="189"/>
        </w:trPr>
        <w:tc>
          <w:tcPr>
            <w:tcW w:w="414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70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183</w:t>
            </w: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53.82</w:t>
            </w: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700" w:type="dxa"/>
            <w:vAlign w:val="bottom"/>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(311)</w:t>
            </w:r>
          </w:p>
        </w:tc>
        <w:tc>
          <w:tcPr>
            <w:tcW w:w="1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33.28</w:t>
            </w:r>
          </w:p>
        </w:tc>
      </w:tr>
      <w:tr>
        <w:trPr>
          <w:trHeight w:val="189"/>
        </w:trPr>
        <w:tc>
          <w:tcPr>
            <w:tcW w:w="4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Expired or cancelled</w:t>
            </w:r>
          </w:p>
        </w:tc>
        <w:tc>
          <w:tcPr>
            <w:tcW w:w="1700" w:type="dxa"/>
            <w:vAlign w:val="bottom"/>
            <w:tcBorders>
              <w:bottom w:val="single" w:sz="8" w:color="auto"/>
            </w:tcBorders>
          </w:tcPr>
          <w:p>
            <w:pPr>
              <w:jc w:val="right"/>
              <w:ind w:right="95"/>
              <w:spacing w:after="0" w:line="189" w:lineRule="exact"/>
              <w:rPr>
                <w:sz w:val="20"/>
                <w:szCs w:val="20"/>
                <w:color w:val="auto"/>
              </w:rPr>
            </w:pPr>
            <w:r>
              <w:rPr>
                <w:rFonts w:ascii="Arial" w:cs="Arial" w:eastAsia="Arial" w:hAnsi="Arial"/>
                <w:sz w:val="17"/>
                <w:szCs w:val="17"/>
                <w:color w:val="auto"/>
              </w:rPr>
              <w:t>(201)</w:t>
            </w:r>
          </w:p>
        </w:tc>
        <w:tc>
          <w:tcPr>
            <w:tcW w:w="1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47.93</w:t>
            </w:r>
          </w:p>
        </w:tc>
      </w:tr>
      <w:tr>
        <w:trPr>
          <w:trHeight w:val="183"/>
        </w:trPr>
        <w:tc>
          <w:tcPr>
            <w:tcW w:w="4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Options outstanding at January 29, 2022</w:t>
            </w:r>
          </w:p>
        </w:tc>
        <w:tc>
          <w:tcPr>
            <w:tcW w:w="1700" w:type="dxa"/>
            <w:vAlign w:val="bottom"/>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3,211</w:t>
            </w:r>
          </w:p>
        </w:tc>
        <w:tc>
          <w:tcPr>
            <w:tcW w:w="1620" w:type="dxa"/>
            <w:vAlign w:val="bottom"/>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4.8</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48.84</w:t>
            </w:r>
          </w:p>
        </w:tc>
      </w:tr>
      <w:tr>
        <w:trPr>
          <w:trHeight w:val="189"/>
        </w:trPr>
        <w:tc>
          <w:tcPr>
            <w:tcW w:w="414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Options exercisable at January 29, 2022</w:t>
            </w:r>
          </w:p>
        </w:tc>
        <w:tc>
          <w:tcPr>
            <w:tcW w:w="170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2,472</w:t>
            </w:r>
          </w:p>
        </w:tc>
        <w:tc>
          <w:tcPr>
            <w:tcW w:w="1620" w:type="dxa"/>
            <w:vAlign w:val="bottom"/>
            <w:tcBorders>
              <w:bottom w:val="single" w:sz="8" w:color="auto"/>
            </w:tcBorders>
          </w:tcPr>
          <w:p>
            <w:pPr>
              <w:jc w:val="right"/>
              <w:ind w:right="195"/>
              <w:spacing w:after="0" w:line="189" w:lineRule="exact"/>
              <w:rPr>
                <w:sz w:val="20"/>
                <w:szCs w:val="20"/>
                <w:color w:val="auto"/>
              </w:rPr>
            </w:pPr>
            <w:r>
              <w:rPr>
                <w:rFonts w:ascii="Arial" w:cs="Arial" w:eastAsia="Arial" w:hAnsi="Arial"/>
                <w:sz w:val="17"/>
                <w:szCs w:val="17"/>
                <w:color w:val="auto"/>
              </w:rPr>
              <w:t>3.7</w:t>
            </w:r>
          </w:p>
        </w:tc>
        <w:tc>
          <w:tcPr>
            <w:tcW w:w="200" w:type="dxa"/>
            <w:vAlign w:val="bottom"/>
            <w:tcBorders>
              <w:bottom w:val="single" w:sz="8" w:color="auto"/>
            </w:tcBorders>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53.70</w:t>
            </w:r>
          </w:p>
        </w:tc>
      </w:tr>
    </w:tbl>
    <w:p>
      <w:pPr>
        <w:spacing w:after="0" w:line="16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The total fair value of options vested was $4 million and $6 million during 2021 and 2020. During the year ended January 29, 2022, we received $10 million in cash from option exercises and recognized a related tax benefit of $2 million.</w:t>
      </w:r>
    </w:p>
    <w:p>
      <w:pPr>
        <w:spacing w:after="0" w:line="161"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The total intrinsic value of options exercised (the difference between the market price of the Company’s common stock on the exercise date and the price paid by the optionee to exercise the option) is presented below:</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in millions)</w:t>
            </w:r>
          </w:p>
        </w:tc>
        <w:tc>
          <w:tcPr>
            <w:tcW w:w="2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2020</w:t>
            </w:r>
          </w:p>
        </w:tc>
        <w:tc>
          <w:tcPr>
            <w:tcW w:w="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183"/>
        </w:trPr>
        <w:tc>
          <w:tcPr>
            <w:tcW w:w="2660" w:type="dxa"/>
            <w:vAlign w:val="bottom"/>
            <w:tcBorders>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7"/>
                <w:szCs w:val="17"/>
                <w:color w:val="auto"/>
              </w:rPr>
              <w:t>Exercised</w:t>
            </w:r>
          </w:p>
        </w:tc>
        <w:tc>
          <w:tcPr>
            <w:tcW w:w="2620" w:type="dxa"/>
            <w:vAlign w:val="bottom"/>
            <w:tcBorders>
              <w:bottom w:val="single" w:sz="8" w:color="auto"/>
            </w:tcBorders>
            <w:shd w:val="clear" w:color="auto" w:fill="CCEEFF"/>
          </w:tcPr>
          <w:p>
            <w:pPr>
              <w:jc w:val="right"/>
              <w:ind w:right="795"/>
              <w:spacing w:after="0" w:line="183" w:lineRule="exact"/>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b w:val="1"/>
                <w:bCs w:val="1"/>
                <w:color w:val="auto"/>
              </w:rPr>
              <w:t>8</w:t>
            </w:r>
          </w:p>
        </w:tc>
        <w:tc>
          <w:tcPr>
            <w:tcW w:w="1220" w:type="dxa"/>
            <w:vAlign w:val="bottom"/>
            <w:tcBorders>
              <w:bottom w:val="single" w:sz="8" w:color="auto"/>
            </w:tcBorders>
            <w:shd w:val="clear" w:color="auto" w:fill="CCEEFF"/>
          </w:tcPr>
          <w:p>
            <w:pPr>
              <w:jc w:val="right"/>
              <w:ind w:right="875"/>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3</w:t>
            </w:r>
          </w:p>
        </w:tc>
        <w:tc>
          <w:tcPr>
            <w:tcW w:w="4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w:t>
            </w:r>
          </w:p>
        </w:tc>
      </w:tr>
    </w:tbl>
    <w:p>
      <w:pPr>
        <w:spacing w:after="0" w:line="16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7"/>
          <w:szCs w:val="17"/>
          <w:color w:val="auto"/>
        </w:rPr>
        <w:t>The aggregate intrinsic value for stock options outstanding, and those outstanding and exercisable (the difference between the closing stock price on the last trading day of the period and the exercise price of the options, multiplied by the number of in-the-money stock options) is presented below:</w:t>
      </w:r>
    </w:p>
    <w:p>
      <w:pPr>
        <w:spacing w:after="0" w:line="14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48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3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2021</w:t>
            </w:r>
          </w:p>
        </w:tc>
      </w:tr>
      <w:tr>
        <w:trPr>
          <w:trHeight w:val="183"/>
        </w:trPr>
        <w:tc>
          <w:tcPr>
            <w:tcW w:w="4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Outstanding</w:t>
            </w:r>
          </w:p>
        </w:tc>
        <w:tc>
          <w:tcPr>
            <w:tcW w:w="3000" w:type="dxa"/>
            <w:vAlign w:val="bottom"/>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r>
      <w:tr>
        <w:trPr>
          <w:trHeight w:val="189"/>
        </w:trPr>
        <w:tc>
          <w:tcPr>
            <w:tcW w:w="4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Outstanding and exercisable</w:t>
            </w:r>
          </w:p>
        </w:tc>
        <w:tc>
          <w:tcPr>
            <w:tcW w:w="3000" w:type="dxa"/>
            <w:vAlign w:val="bottom"/>
            <w:tcBorders>
              <w:bottom w:val="single" w:sz="8" w:color="auto"/>
            </w:tcBorders>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w:t>
            </w:r>
          </w:p>
        </w:tc>
      </w:tr>
    </w:tbl>
    <w:p>
      <w:pPr>
        <w:spacing w:after="0" w:line="16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As of January 29, 2022, there was $2 million of total unrecognized compensation cost related to nonvested stock options, which is expected to be recognized over a remaining weighted-average period of 1.4 years.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summarizes information about stock options outstanding and exercisable at January 29, 2022:</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18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995"/>
              <w:spacing w:after="0"/>
              <w:rPr>
                <w:sz w:val="20"/>
                <w:szCs w:val="20"/>
                <w:color w:val="auto"/>
              </w:rPr>
            </w:pPr>
            <w:r>
              <w:rPr>
                <w:rFonts w:ascii="Arial" w:cs="Arial" w:eastAsia="Arial" w:hAnsi="Arial"/>
                <w:sz w:val="17"/>
                <w:szCs w:val="17"/>
                <w:b w:val="1"/>
                <w:bCs w:val="1"/>
                <w:color w:val="auto"/>
              </w:rPr>
              <w:t>Options Outstanding</w:t>
            </w:r>
          </w:p>
        </w:tc>
        <w:tc>
          <w:tcPr>
            <w:tcW w:w="272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7"/>
                <w:szCs w:val="17"/>
                <w:b w:val="1"/>
                <w:bCs w:val="1"/>
                <w:color w:val="auto"/>
              </w:rPr>
              <w:t>Options Exercisable</w:t>
            </w:r>
          </w:p>
        </w:tc>
      </w:tr>
      <w:tr>
        <w:trPr>
          <w:trHeight w:val="156"/>
        </w:trPr>
        <w:tc>
          <w:tcPr>
            <w:tcW w:w="1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tcPr>
          <w:p>
            <w:pPr>
              <w:jc w:val="center"/>
              <w:ind w:left="55"/>
              <w:spacing w:after="0" w:line="156" w:lineRule="exact"/>
              <w:rPr>
                <w:sz w:val="20"/>
                <w:szCs w:val="20"/>
                <w:color w:val="auto"/>
              </w:rPr>
            </w:pPr>
            <w:r>
              <w:rPr>
                <w:rFonts w:ascii="Arial" w:cs="Arial" w:eastAsia="Arial" w:hAnsi="Arial"/>
                <w:sz w:val="17"/>
                <w:szCs w:val="17"/>
                <w:b w:val="1"/>
                <w:bCs w:val="1"/>
                <w:color w:val="auto"/>
                <w:w w:val="99"/>
              </w:rPr>
              <w:t>Weighted-</w:t>
            </w: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jc w:val="center"/>
              <w:ind w:left="55"/>
              <w:spacing w:after="0" w:line="189" w:lineRule="exact"/>
              <w:rPr>
                <w:sz w:val="20"/>
                <w:szCs w:val="20"/>
                <w:color w:val="auto"/>
              </w:rPr>
            </w:pPr>
            <w:r>
              <w:rPr>
                <w:rFonts w:ascii="Arial" w:cs="Arial" w:eastAsia="Arial" w:hAnsi="Arial"/>
                <w:sz w:val="17"/>
                <w:szCs w:val="17"/>
                <w:b w:val="1"/>
                <w:bCs w:val="1"/>
                <w:color w:val="auto"/>
                <w:w w:val="98"/>
              </w:rPr>
              <w:t>Average</w:t>
            </w:r>
          </w:p>
        </w:tc>
        <w:tc>
          <w:tcPr>
            <w:tcW w:w="300" w:type="dxa"/>
            <w:vAlign w:val="bottom"/>
          </w:tcPr>
          <w:p>
            <w:pPr>
              <w:spacing w:after="0"/>
              <w:rPr>
                <w:sz w:val="16"/>
                <w:szCs w:val="16"/>
                <w:color w:val="auto"/>
              </w:rPr>
            </w:pPr>
          </w:p>
        </w:tc>
        <w:tc>
          <w:tcPr>
            <w:tcW w:w="124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w w:val="99"/>
              </w:rPr>
              <w:t>Weighted-</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Weighted-</w:t>
            </w:r>
          </w:p>
        </w:tc>
      </w:tr>
      <w:tr>
        <w:trPr>
          <w:trHeight w:val="189"/>
        </w:trPr>
        <w:tc>
          <w:tcPr>
            <w:tcW w:w="1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jc w:val="center"/>
              <w:ind w:left="35"/>
              <w:spacing w:after="0" w:line="189" w:lineRule="exact"/>
              <w:rPr>
                <w:sz w:val="20"/>
                <w:szCs w:val="20"/>
                <w:color w:val="auto"/>
              </w:rPr>
            </w:pPr>
            <w:r>
              <w:rPr>
                <w:rFonts w:ascii="Arial" w:cs="Arial" w:eastAsia="Arial" w:hAnsi="Arial"/>
                <w:sz w:val="17"/>
                <w:szCs w:val="17"/>
                <w:b w:val="1"/>
                <w:bCs w:val="1"/>
                <w:color w:val="auto"/>
              </w:rPr>
              <w:t>Remaining</w:t>
            </w:r>
          </w:p>
        </w:tc>
        <w:tc>
          <w:tcPr>
            <w:tcW w:w="300" w:type="dxa"/>
            <w:vAlign w:val="bottom"/>
          </w:tcPr>
          <w:p>
            <w:pPr>
              <w:spacing w:after="0"/>
              <w:rPr>
                <w:sz w:val="16"/>
                <w:szCs w:val="16"/>
                <w:color w:val="auto"/>
              </w:rPr>
            </w:pPr>
          </w:p>
        </w:tc>
        <w:tc>
          <w:tcPr>
            <w:tcW w:w="1240" w:type="dxa"/>
            <w:vAlign w:val="bottom"/>
          </w:tcPr>
          <w:p>
            <w:pPr>
              <w:jc w:val="center"/>
              <w:ind w:right="195"/>
              <w:spacing w:after="0" w:line="189" w:lineRule="exact"/>
              <w:rPr>
                <w:sz w:val="20"/>
                <w:szCs w:val="20"/>
                <w:color w:val="auto"/>
              </w:rPr>
            </w:pPr>
            <w:r>
              <w:rPr>
                <w:rFonts w:ascii="Arial" w:cs="Arial" w:eastAsia="Arial" w:hAnsi="Arial"/>
                <w:sz w:val="17"/>
                <w:szCs w:val="17"/>
                <w:b w:val="1"/>
                <w:bCs w:val="1"/>
                <w:color w:val="auto"/>
              </w:rPr>
              <w:t>Average</w:t>
            </w: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rPr>
              <w:t>Average</w:t>
            </w:r>
          </w:p>
        </w:tc>
      </w:tr>
      <w:tr>
        <w:trPr>
          <w:trHeight w:val="189"/>
        </w:trPr>
        <w:tc>
          <w:tcPr>
            <w:tcW w:w="1860" w:type="dxa"/>
            <w:vAlign w:val="bottom"/>
          </w:tcPr>
          <w:p>
            <w:pPr>
              <w:spacing w:after="0" w:line="189" w:lineRule="exact"/>
              <w:rPr>
                <w:sz w:val="20"/>
                <w:szCs w:val="20"/>
                <w:color w:val="auto"/>
              </w:rPr>
            </w:pPr>
            <w:r>
              <w:rPr>
                <w:rFonts w:ascii="Arial" w:cs="Arial" w:eastAsia="Arial" w:hAnsi="Arial"/>
                <w:sz w:val="17"/>
                <w:szCs w:val="17"/>
                <w:b w:val="1"/>
                <w:bCs w:val="1"/>
                <w:color w:val="auto"/>
              </w:rPr>
              <w:t>Range of Exercise</w:t>
            </w:r>
          </w:p>
        </w:tc>
        <w:tc>
          <w:tcPr>
            <w:tcW w:w="14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Number</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Contractual</w:t>
            </w:r>
          </w:p>
        </w:tc>
        <w:tc>
          <w:tcPr>
            <w:tcW w:w="300" w:type="dxa"/>
            <w:vAlign w:val="bottom"/>
          </w:tcPr>
          <w:p>
            <w:pPr>
              <w:spacing w:after="0"/>
              <w:rPr>
                <w:sz w:val="16"/>
                <w:szCs w:val="16"/>
                <w:color w:val="auto"/>
              </w:rPr>
            </w:pPr>
          </w:p>
        </w:tc>
        <w:tc>
          <w:tcPr>
            <w:tcW w:w="124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rPr>
              <w:t>Exercise</w:t>
            </w:r>
          </w:p>
        </w:tc>
        <w:tc>
          <w:tcPr>
            <w:tcW w:w="126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Number</w:t>
            </w:r>
          </w:p>
        </w:tc>
        <w:tc>
          <w:tcPr>
            <w:tcW w:w="360" w:type="dxa"/>
            <w:vAlign w:val="bottom"/>
          </w:tcPr>
          <w:p>
            <w:pPr>
              <w:spacing w:after="0"/>
              <w:rPr>
                <w:sz w:val="16"/>
                <w:szCs w:val="16"/>
                <w:color w:val="auto"/>
              </w:rPr>
            </w:pPr>
          </w:p>
        </w:tc>
        <w:tc>
          <w:tcPr>
            <w:tcW w:w="110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rPr>
              <w:t>Exercise</w:t>
            </w:r>
          </w:p>
        </w:tc>
      </w:tr>
      <w:tr>
        <w:trPr>
          <w:trHeight w:val="215"/>
        </w:trPr>
        <w:tc>
          <w:tcPr>
            <w:tcW w:w="1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Prices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Outstanding</w:t>
            </w:r>
          </w:p>
        </w:tc>
        <w:tc>
          <w:tcPr>
            <w:tcW w:w="1360" w:type="dxa"/>
            <w:vAlign w:val="bottom"/>
            <w:tcBorders>
              <w:bottom w:val="single" w:sz="8" w:color="auto"/>
            </w:tcBorders>
          </w:tcPr>
          <w:p>
            <w:pPr>
              <w:jc w:val="center"/>
              <w:ind w:left="55"/>
              <w:spacing w:after="0"/>
              <w:rPr>
                <w:sz w:val="20"/>
                <w:szCs w:val="20"/>
                <w:color w:val="auto"/>
              </w:rPr>
            </w:pPr>
            <w:r>
              <w:rPr>
                <w:rFonts w:ascii="Arial" w:cs="Arial" w:eastAsia="Arial" w:hAnsi="Arial"/>
                <w:sz w:val="17"/>
                <w:szCs w:val="17"/>
                <w:b w:val="1"/>
                <w:bCs w:val="1"/>
                <w:color w:val="auto"/>
                <w:w w:val="99"/>
              </w:rPr>
              <w:t>Life</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Price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Exercisable</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rPr>
              <w:t>Price</w:t>
            </w:r>
          </w:p>
        </w:tc>
      </w:tr>
      <w:tr>
        <w:trPr>
          <w:trHeight w:val="183"/>
        </w:trPr>
        <w:tc>
          <w:tcPr>
            <w:tcW w:w="18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520" w:type="dxa"/>
            <w:vAlign w:val="bottom"/>
            <w:gridSpan w:val="5"/>
          </w:tcPr>
          <w:p>
            <w:pPr>
              <w:jc w:val="right"/>
              <w:spacing w:after="0" w:line="183" w:lineRule="exact"/>
              <w:rPr>
                <w:sz w:val="20"/>
                <w:szCs w:val="20"/>
                <w:color w:val="auto"/>
              </w:rPr>
            </w:pPr>
            <w:r>
              <w:rPr>
                <w:rFonts w:ascii="Arial" w:cs="Arial" w:eastAsia="Arial" w:hAnsi="Arial"/>
                <w:sz w:val="17"/>
                <w:szCs w:val="17"/>
                <w:color w:val="auto"/>
              </w:rPr>
              <w:t>(in thousands, except prices per share and contractual life)</w:t>
            </w:r>
          </w:p>
        </w:tc>
        <w:tc>
          <w:tcPr>
            <w:tcW w:w="1100" w:type="dxa"/>
            <w:vAlign w:val="bottom"/>
          </w:tcPr>
          <w:p>
            <w:pPr>
              <w:spacing w:after="0"/>
              <w:rPr>
                <w:sz w:val="15"/>
                <w:szCs w:val="15"/>
                <w:color w:val="auto"/>
              </w:rPr>
            </w:pPr>
          </w:p>
        </w:tc>
      </w:tr>
      <w:tr>
        <w:trPr>
          <w:trHeight w:val="189"/>
        </w:trPr>
        <w:tc>
          <w:tcPr>
            <w:tcW w:w="1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$21.60 - $36.51</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965</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6.2</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23.91</w:t>
            </w: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467</w:t>
            </w:r>
          </w:p>
        </w:tc>
        <w:tc>
          <w:tcPr>
            <w:tcW w:w="3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26.32</w:t>
            </w:r>
          </w:p>
        </w:tc>
      </w:tr>
      <w:tr>
        <w:trPr>
          <w:trHeight w:val="189"/>
        </w:trPr>
        <w:tc>
          <w:tcPr>
            <w:tcW w:w="1860" w:type="dxa"/>
            <w:vAlign w:val="bottom"/>
          </w:tcPr>
          <w:p>
            <w:pPr>
              <w:spacing w:after="0" w:line="189" w:lineRule="exact"/>
              <w:rPr>
                <w:sz w:val="20"/>
                <w:szCs w:val="20"/>
                <w:color w:val="auto"/>
              </w:rPr>
            </w:pPr>
            <w:r>
              <w:rPr>
                <w:rFonts w:ascii="Arial" w:cs="Arial" w:eastAsia="Arial" w:hAnsi="Arial"/>
                <w:sz w:val="17"/>
                <w:szCs w:val="17"/>
                <w:color w:val="auto"/>
              </w:rPr>
              <w:t>$44.78 - $48.98</w:t>
            </w: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471</w:t>
            </w:r>
          </w:p>
        </w:tc>
        <w:tc>
          <w:tcPr>
            <w:tcW w:w="13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3.7</w:t>
            </w:r>
          </w:p>
        </w:tc>
        <w:tc>
          <w:tcPr>
            <w:tcW w:w="300" w:type="dxa"/>
            <w:vAlign w:val="bottom"/>
          </w:tcPr>
          <w:p>
            <w:pPr>
              <w:spacing w:after="0"/>
              <w:rPr>
                <w:sz w:val="16"/>
                <w:szCs w:val="16"/>
                <w:color w:val="auto"/>
              </w:rPr>
            </w:pPr>
          </w:p>
        </w:tc>
        <w:tc>
          <w:tcPr>
            <w:tcW w:w="124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45.01</w:t>
            </w:r>
          </w:p>
        </w:tc>
        <w:tc>
          <w:tcPr>
            <w:tcW w:w="1260" w:type="dxa"/>
            <w:vAlign w:val="bottom"/>
          </w:tcPr>
          <w:p>
            <w:pPr>
              <w:jc w:val="right"/>
              <w:ind w:right="35"/>
              <w:spacing w:after="0" w:line="189" w:lineRule="exact"/>
              <w:rPr>
                <w:sz w:val="20"/>
                <w:szCs w:val="20"/>
                <w:color w:val="auto"/>
              </w:rPr>
            </w:pPr>
            <w:r>
              <w:rPr>
                <w:rFonts w:ascii="Arial" w:cs="Arial" w:eastAsia="Arial" w:hAnsi="Arial"/>
                <w:sz w:val="17"/>
                <w:szCs w:val="17"/>
                <w:color w:val="auto"/>
              </w:rPr>
              <w:t>471</w:t>
            </w:r>
          </w:p>
        </w:tc>
        <w:tc>
          <w:tcPr>
            <w:tcW w:w="3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45.01</w:t>
            </w:r>
          </w:p>
        </w:tc>
      </w:tr>
      <w:tr>
        <w:trPr>
          <w:trHeight w:val="189"/>
        </w:trPr>
        <w:tc>
          <w:tcPr>
            <w:tcW w:w="1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$53.61 - $58.94</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523</w:t>
            </w:r>
          </w:p>
        </w:tc>
        <w:tc>
          <w:tcPr>
            <w:tcW w:w="136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6.5</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56.71</w:t>
            </w:r>
          </w:p>
        </w:tc>
        <w:tc>
          <w:tcPr>
            <w:tcW w:w="126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282</w:t>
            </w: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57.94</w:t>
            </w:r>
          </w:p>
        </w:tc>
      </w:tr>
      <w:tr>
        <w:trPr>
          <w:trHeight w:val="189"/>
        </w:trPr>
        <w:tc>
          <w:tcPr>
            <w:tcW w:w="18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$62.02 - $72.83</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1,252</w:t>
            </w:r>
          </w:p>
        </w:tc>
        <w:tc>
          <w:tcPr>
            <w:tcW w:w="13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3.4</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66.23</w:t>
            </w:r>
          </w:p>
        </w:tc>
        <w:tc>
          <w:tcPr>
            <w:tcW w:w="126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1,252</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66.23</w:t>
            </w:r>
          </w:p>
        </w:tc>
      </w:tr>
      <w:tr>
        <w:trPr>
          <w:trHeight w:val="183"/>
        </w:trPr>
        <w:tc>
          <w:tcPr>
            <w:tcW w:w="18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3,211</w:t>
            </w:r>
          </w:p>
        </w:tc>
        <w:tc>
          <w:tcPr>
            <w:tcW w:w="1360" w:type="dxa"/>
            <w:vAlign w:val="bottom"/>
            <w:tcBorders>
              <w:bottom w:val="single" w:sz="8" w:color="auto"/>
            </w:tcBorders>
            <w:shd w:val="clear" w:color="auto" w:fill="CCEEFF"/>
          </w:tcPr>
          <w:p>
            <w:pPr>
              <w:jc w:val="right"/>
              <w:ind w:right="55"/>
              <w:spacing w:after="0" w:line="183" w:lineRule="exact"/>
              <w:rPr>
                <w:sz w:val="20"/>
                <w:szCs w:val="20"/>
                <w:color w:val="auto"/>
              </w:rPr>
            </w:pPr>
            <w:r>
              <w:rPr>
                <w:rFonts w:ascii="Arial" w:cs="Arial" w:eastAsia="Arial" w:hAnsi="Arial"/>
                <w:sz w:val="17"/>
                <w:szCs w:val="17"/>
                <w:color w:val="auto"/>
              </w:rPr>
              <w:t>4.8</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rPr>
              <w:t>48.84</w:t>
            </w:r>
          </w:p>
        </w:tc>
        <w:tc>
          <w:tcPr>
            <w:tcW w:w="12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2,472</w:t>
            </w:r>
          </w:p>
        </w:tc>
        <w:tc>
          <w:tcPr>
            <w:tcW w:w="360" w:type="dxa"/>
            <w:vAlign w:val="bottom"/>
            <w:tcBorders>
              <w:bottom w:val="single" w:sz="8" w:color="auto"/>
            </w:tcBorders>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53.70</w:t>
            </w:r>
          </w:p>
        </w:tc>
      </w:tr>
      <w:tr>
        <w:trPr>
          <w:trHeight w:val="20"/>
        </w:trPr>
        <w:tc>
          <w:tcPr>
            <w:tcW w:w="1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7" w:name="page78"/>
    <w:bookmarkEnd w:id="77"/>
    <w:p>
      <w:pPr>
        <w:ind w:left="2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Restricted Stock Units and Performance Stock Units</w:t>
      </w:r>
    </w:p>
    <w:p>
      <w:pPr>
        <w:spacing w:after="0" w:line="17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7"/>
          <w:szCs w:val="17"/>
          <w:color w:val="auto"/>
        </w:rPr>
        <w:t>Restricted stock units (“RSU”) may be awarded to certain officers, key employees of the Company, and nonemployee directors. Additionally, performance stock units (“PSU”) are awarded to officers and certain key employees in connection with our long-term incentive program. Each RSU and PSU represents the right to receive one share of our common stock provided that the applicable performance and vesting conditions are satisfied.</w:t>
      </w:r>
    </w:p>
    <w:p>
      <w:pPr>
        <w:spacing w:after="0" w:line="16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Generally, RSU awards fully vest after the passage of time, typically three years for employees and one year for nonemployee directors, provided there is continued service with the Company until the vesting date, subject to the terms of the award. PSU awards are earned only after the attainment of performance goals in connection with the relevant performance period and vest after an additional one-year period. No dividends are paid or accumulated on any RSU or PSU awards.</w:t>
      </w:r>
    </w:p>
    <w:p>
      <w:pPr>
        <w:spacing w:after="0" w:line="163"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7"/>
          <w:szCs w:val="17"/>
          <w:color w:val="auto"/>
        </w:rPr>
        <w:t>Compensation expense is recognized using the market value at the date of grant and is amortized over the vesting period, provided the recipient continues to be employed. RSU and PSU activity is summarized as follows:</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20" w:type="dxa"/>
            <w:vAlign w:val="bottom"/>
          </w:tcPr>
          <w:p>
            <w:pPr>
              <w:jc w:val="center"/>
              <w:ind w:left="15"/>
              <w:spacing w:after="0"/>
              <w:rPr>
                <w:sz w:val="20"/>
                <w:szCs w:val="20"/>
                <w:color w:val="auto"/>
              </w:rPr>
            </w:pPr>
            <w:r>
              <w:rPr>
                <w:rFonts w:ascii="Arial" w:cs="Arial" w:eastAsia="Arial" w:hAnsi="Arial"/>
                <w:sz w:val="17"/>
                <w:szCs w:val="17"/>
                <w:b w:val="1"/>
                <w:bCs w:val="1"/>
                <w:color w:val="auto"/>
                <w:w w:val="99"/>
              </w:rPr>
              <w:t>Weighted-Average</w:t>
            </w: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Remaining</w:t>
            </w:r>
          </w:p>
        </w:tc>
        <w:tc>
          <w:tcPr>
            <w:tcW w:w="1540" w:type="dxa"/>
            <w:vAlign w:val="bottom"/>
            <w:gridSpan w:val="2"/>
          </w:tcPr>
          <w:p>
            <w:pPr>
              <w:ind w:left="20"/>
              <w:spacing w:after="0" w:line="189" w:lineRule="exact"/>
              <w:rPr>
                <w:sz w:val="20"/>
                <w:szCs w:val="20"/>
                <w:color w:val="auto"/>
              </w:rPr>
            </w:pPr>
            <w:r>
              <w:rPr>
                <w:rFonts w:ascii="Arial" w:cs="Arial" w:eastAsia="Arial" w:hAnsi="Arial"/>
                <w:sz w:val="17"/>
                <w:szCs w:val="17"/>
                <w:b w:val="1"/>
                <w:bCs w:val="1"/>
                <w:color w:val="auto"/>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of</w:t>
            </w:r>
          </w:p>
        </w:tc>
        <w:tc>
          <w:tcPr>
            <w:tcW w:w="1620" w:type="dxa"/>
            <w:vAlign w:val="bottom"/>
          </w:tcPr>
          <w:p>
            <w:pPr>
              <w:jc w:val="center"/>
              <w:ind w:left="15"/>
              <w:spacing w:after="0" w:line="189" w:lineRule="exact"/>
              <w:rPr>
                <w:sz w:val="20"/>
                <w:szCs w:val="20"/>
                <w:color w:val="auto"/>
              </w:rPr>
            </w:pPr>
            <w:r>
              <w:rPr>
                <w:rFonts w:ascii="Arial" w:cs="Arial" w:eastAsia="Arial" w:hAnsi="Arial"/>
                <w:sz w:val="17"/>
                <w:szCs w:val="17"/>
                <w:b w:val="1"/>
                <w:bCs w:val="1"/>
                <w:color w:val="auto"/>
              </w:rPr>
              <w:t>Contractual</w:t>
            </w:r>
          </w:p>
        </w:tc>
        <w:tc>
          <w:tcPr>
            <w:tcW w:w="220" w:type="dxa"/>
            <w:vAlign w:val="bottom"/>
          </w:tcPr>
          <w:p>
            <w:pPr>
              <w:spacing w:after="0"/>
              <w:rPr>
                <w:sz w:val="16"/>
                <w:szCs w:val="16"/>
                <w:color w:val="auto"/>
              </w:rPr>
            </w:pPr>
          </w:p>
        </w:tc>
        <w:tc>
          <w:tcPr>
            <w:tcW w:w="13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Grant Date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Shares</w:t>
            </w:r>
          </w:p>
        </w:tc>
        <w:tc>
          <w:tcPr>
            <w:tcW w:w="1620" w:type="dxa"/>
            <w:vAlign w:val="bottom"/>
            <w:tcBorders>
              <w:bottom w:val="single" w:sz="8" w:color="auto"/>
            </w:tcBorders>
          </w:tcPr>
          <w:p>
            <w:pPr>
              <w:jc w:val="center"/>
              <w:ind w:left="35"/>
              <w:spacing w:after="0"/>
              <w:rPr>
                <w:sz w:val="20"/>
                <w:szCs w:val="20"/>
                <w:color w:val="auto"/>
              </w:rPr>
            </w:pPr>
            <w:r>
              <w:rPr>
                <w:rFonts w:ascii="Arial" w:cs="Arial" w:eastAsia="Arial" w:hAnsi="Arial"/>
                <w:sz w:val="17"/>
                <w:szCs w:val="17"/>
                <w:b w:val="1"/>
                <w:bCs w:val="1"/>
                <w:color w:val="auto"/>
                <w:w w:val="99"/>
              </w:rPr>
              <w:t>Life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Fair Value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jc w:val="center"/>
              <w:spacing w:after="0" w:line="183" w:lineRule="exact"/>
              <w:rPr>
                <w:sz w:val="20"/>
                <w:szCs w:val="20"/>
                <w:color w:val="auto"/>
              </w:rPr>
            </w:pPr>
            <w:r>
              <w:rPr>
                <w:rFonts w:ascii="Arial" w:cs="Arial" w:eastAsia="Arial" w:hAnsi="Arial"/>
                <w:sz w:val="17"/>
                <w:szCs w:val="17"/>
                <w:color w:val="auto"/>
              </w:rPr>
              <w:t>(in thousands)</w:t>
            </w:r>
          </w:p>
        </w:tc>
        <w:tc>
          <w:tcPr>
            <w:tcW w:w="1620" w:type="dxa"/>
            <w:vAlign w:val="bottom"/>
          </w:tcPr>
          <w:p>
            <w:pPr>
              <w:jc w:val="center"/>
              <w:ind w:left="15"/>
              <w:spacing w:after="0" w:line="183" w:lineRule="exact"/>
              <w:rPr>
                <w:sz w:val="20"/>
                <w:szCs w:val="20"/>
                <w:color w:val="auto"/>
              </w:rPr>
            </w:pPr>
            <w:r>
              <w:rPr>
                <w:rFonts w:ascii="Arial" w:cs="Arial" w:eastAsia="Arial" w:hAnsi="Arial"/>
                <w:sz w:val="17"/>
                <w:szCs w:val="17"/>
                <w:color w:val="auto"/>
              </w:rPr>
              <w:t>(in years)</w:t>
            </w:r>
          </w:p>
        </w:tc>
        <w:tc>
          <w:tcPr>
            <w:tcW w:w="220" w:type="dxa"/>
            <w:vAlign w:val="bottom"/>
          </w:tcPr>
          <w:p>
            <w:pPr>
              <w:spacing w:after="0"/>
              <w:rPr>
                <w:sz w:val="15"/>
                <w:szCs w:val="15"/>
                <w:color w:val="auto"/>
              </w:rPr>
            </w:pPr>
          </w:p>
        </w:tc>
        <w:tc>
          <w:tcPr>
            <w:tcW w:w="1320" w:type="dxa"/>
            <w:vAlign w:val="bottom"/>
          </w:tcPr>
          <w:p>
            <w:pPr>
              <w:jc w:val="right"/>
              <w:ind w:right="135"/>
              <w:spacing w:after="0" w:line="183" w:lineRule="exact"/>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Nonvested at beginning of year</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1,348</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38.48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54.28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(523)</w:t>
            </w: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5"/>
                <w:szCs w:val="15"/>
                <w:color w:val="auto"/>
              </w:rPr>
              <w:t xml:space="preserve">Performance adjustment </w:t>
            </w:r>
            <w:r>
              <w:rPr>
                <w:rFonts w:ascii="Arial" w:cs="Arial" w:eastAsia="Arial" w:hAnsi="Arial"/>
                <w:sz w:val="21"/>
                <w:szCs w:val="21"/>
                <w:color w:val="auto"/>
                <w:vertAlign w:val="superscript"/>
              </w:rPr>
              <w:t>(1)</w:t>
            </w:r>
          </w:p>
        </w:tc>
        <w:tc>
          <w:tcPr>
            <w:tcW w:w="1140" w:type="dxa"/>
            <w:vAlign w:val="bottom"/>
          </w:tcPr>
          <w:p>
            <w:pPr>
              <w:spacing w:after="0"/>
              <w:rPr>
                <w:sz w:val="16"/>
                <w:szCs w:val="16"/>
                <w:color w:val="auto"/>
              </w:rPr>
            </w:pPr>
          </w:p>
        </w:tc>
        <w:tc>
          <w:tcPr>
            <w:tcW w:w="12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240</w:t>
            </w: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Forfeited</w:t>
            </w:r>
          </w:p>
        </w:tc>
        <w:tc>
          <w:tcPr>
            <w:tcW w:w="114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(124)</w:t>
            </w:r>
          </w:p>
        </w:tc>
        <w:tc>
          <w:tcPr>
            <w:tcW w:w="16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Nonvested at January 29, 2022</w:t>
            </w: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color w:val="auto"/>
              </w:rPr>
              <w:t>1,391</w:t>
            </w:r>
          </w:p>
        </w:tc>
        <w:tc>
          <w:tcPr>
            <w:tcW w:w="1620" w:type="dxa"/>
            <w:vAlign w:val="bottom"/>
            <w:tcBorders>
              <w:bottom w:val="single" w:sz="8" w:color="auto"/>
            </w:tcBorders>
          </w:tcPr>
          <w:p>
            <w:pPr>
              <w:jc w:val="right"/>
              <w:ind w:right="175"/>
              <w:spacing w:after="0" w:line="183" w:lineRule="exact"/>
              <w:rPr>
                <w:sz w:val="20"/>
                <w:szCs w:val="20"/>
                <w:color w:val="auto"/>
              </w:rPr>
            </w:pPr>
            <w:r>
              <w:rPr>
                <w:rFonts w:ascii="Arial" w:cs="Arial" w:eastAsia="Arial" w:hAnsi="Arial"/>
                <w:sz w:val="17"/>
                <w:szCs w:val="17"/>
                <w:color w:val="auto"/>
              </w:rPr>
              <w:t>1.5</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vMerge w:val="continue"/>
          </w:tcPr>
          <w:p>
            <w:pPr>
              <w:spacing w:after="0"/>
              <w:rPr>
                <w:sz w:val="16"/>
                <w:szCs w:val="16"/>
                <w:color w:val="auto"/>
              </w:rPr>
            </w:pPr>
          </w:p>
        </w:tc>
        <w:tc>
          <w:tcPr>
            <w:tcW w:w="33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Aggregate value ($ in millions)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61</w:t>
            </w:r>
          </w:p>
        </w:tc>
        <w:tc>
          <w:tcPr>
            <w:tcW w:w="16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right="79" w:hanging="330"/>
        <w:spacing w:after="0" w:line="258" w:lineRule="auto"/>
        <w:tabs>
          <w:tab w:leader="none" w:pos="3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This represents adjustments made to PSU awards reflecting changes in estimates based upon our current performance against predefined financial targets.</w:t>
      </w:r>
    </w:p>
    <w:p>
      <w:pPr>
        <w:spacing w:after="0" w:line="146"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7"/>
          <w:szCs w:val="17"/>
          <w:color w:val="auto"/>
        </w:rPr>
        <w:t>The total fair value of awards vested was $23 million, $6 million, and $5 million, for 2021, 2020, and 2019, respectively. At January 29, 2022, there was $33 million of total unrecognized compensation cost related to nonvested awards.</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22. Shareholder Rights Plan</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7"/>
          <w:szCs w:val="17"/>
          <w:color w:val="auto"/>
        </w:rPr>
        <w:t>In 2020, our Board of Directors adopted a shareholder rights plan and declared a dividend distribution of one right for each outstanding share of common stock to shareholders of record at the close of business on December 18, 2020. The rights expired in accordance with their terms on December 7, 2021 and the rights plan is no longer effective.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23. Legal Proceedings</w:t>
      </w:r>
    </w:p>
    <w:p>
      <w:pPr>
        <w:spacing w:after="0" w:line="189"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7"/>
          <w:szCs w:val="17"/>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200" w:lineRule="exact"/>
        <w:rPr>
          <w:sz w:val="20"/>
          <w:szCs w:val="20"/>
          <w:color w:val="auto"/>
        </w:rPr>
      </w:pPr>
    </w:p>
    <w:p>
      <w:pPr>
        <w:spacing w:after="0" w:line="218"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8" w:name="page79"/>
    <w:bookmarkEnd w:id="78"/>
    <w:p>
      <w:pPr>
        <w:ind w:left="60" w:right="2179" w:firstLine="2126"/>
        <w:spacing w:after="0" w:line="45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2745740</wp:posOffset>
            </wp:positionH>
            <wp:positionV relativeFrom="page">
              <wp:posOffset>466090</wp:posOffset>
            </wp:positionV>
            <wp:extent cx="205740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22885"/>
                    </a:xfrm>
                    <a:prstGeom prst="rect">
                      <a:avLst/>
                    </a:prstGeom>
                    <a:noFill/>
                  </pic:spPr>
                </pic:pic>
              </a:graphicData>
            </a:graphic>
          </wp:anchor>
        </w:drawing>
        <w:t>NOTES TO CONSOLIDATED FINANCIAL STATEMENTS 24. Quarterly Results (Unaudited)</w:t>
      </w:r>
    </w:p>
    <w:tbl>
      <w:tblPr>
        <w:tblLayout w:type="fixed"/>
        <w:tblInd w:w="60" w:type="dxa"/>
        <w:tblCellMar>
          <w:top w:w="0" w:type="dxa"/>
          <w:left w:w="0" w:type="dxa"/>
          <w:bottom w:w="0" w:type="dxa"/>
          <w:right w:w="0" w:type="dxa"/>
        </w:tblCellMar>
      </w:tblPr>
      <w:tr>
        <w:trPr>
          <w:trHeight w:val="215"/>
        </w:trPr>
        <w:tc>
          <w:tcPr>
            <w:tcW w:w="28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5"/>
              <w:spacing w:after="0" w:line="216" w:lineRule="exact"/>
              <w:rPr>
                <w:sz w:val="20"/>
                <w:szCs w:val="20"/>
                <w:color w:val="auto"/>
              </w:rPr>
            </w:pPr>
            <w:r>
              <w:rPr>
                <w:rFonts w:ascii="Arial" w:cs="Arial" w:eastAsia="Arial" w:hAnsi="Arial"/>
                <w:sz w:val="16"/>
                <w:szCs w:val="16"/>
                <w:b w:val="1"/>
                <w:bCs w:val="1"/>
                <w:color w:val="auto"/>
              </w:rPr>
              <w:t>1</w:t>
            </w:r>
            <w:r>
              <w:rPr>
                <w:rFonts w:ascii="Arial" w:cs="Arial" w:eastAsia="Arial" w:hAnsi="Arial"/>
                <w:sz w:val="24"/>
                <w:szCs w:val="24"/>
                <w:b w:val="1"/>
                <w:bCs w:val="1"/>
                <w:color w:val="auto"/>
                <w:vertAlign w:val="superscript"/>
              </w:rPr>
              <w:t>st</w:t>
            </w:r>
            <w:r>
              <w:rPr>
                <w:rFonts w:ascii="Arial" w:cs="Arial" w:eastAsia="Arial" w:hAnsi="Arial"/>
                <w:sz w:val="16"/>
                <w:szCs w:val="16"/>
                <w:b w:val="1"/>
                <w:bCs w:val="1"/>
                <w:color w:val="auto"/>
              </w:rPr>
              <w:t xml:space="preserve"> Quarter</w:t>
            </w:r>
          </w:p>
        </w:tc>
        <w:tc>
          <w:tcPr>
            <w:tcW w:w="1120" w:type="dxa"/>
            <w:vAlign w:val="bottom"/>
            <w:tcBorders>
              <w:bottom w:val="single" w:sz="8" w:color="auto"/>
            </w:tcBorders>
          </w:tcPr>
          <w:p>
            <w:pPr>
              <w:jc w:val="right"/>
              <w:ind w:right="35"/>
              <w:spacing w:after="0" w:line="216"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24"/>
                <w:szCs w:val="24"/>
                <w:b w:val="1"/>
                <w:bCs w:val="1"/>
                <w:color w:val="auto"/>
                <w:vertAlign w:val="superscript"/>
              </w:rPr>
              <w:t>nd</w:t>
            </w:r>
            <w:r>
              <w:rPr>
                <w:rFonts w:ascii="Arial" w:cs="Arial" w:eastAsia="Arial" w:hAnsi="Arial"/>
                <w:sz w:val="16"/>
                <w:szCs w:val="16"/>
                <w:b w:val="1"/>
                <w:bCs w:val="1"/>
                <w:color w:val="auto"/>
              </w:rPr>
              <w:t xml:space="preserve"> Quarter</w:t>
            </w:r>
          </w:p>
        </w:tc>
        <w:tc>
          <w:tcPr>
            <w:tcW w:w="1120" w:type="dxa"/>
            <w:vAlign w:val="bottom"/>
            <w:tcBorders>
              <w:bottom w:val="single" w:sz="8" w:color="auto"/>
            </w:tcBorders>
          </w:tcPr>
          <w:p>
            <w:pPr>
              <w:jc w:val="right"/>
              <w:ind w:right="35"/>
              <w:spacing w:after="0" w:line="216"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24"/>
                <w:szCs w:val="24"/>
                <w:b w:val="1"/>
                <w:bCs w:val="1"/>
                <w:color w:val="auto"/>
                <w:vertAlign w:val="superscript"/>
              </w:rPr>
              <w:t>rd</w:t>
            </w:r>
            <w:r>
              <w:rPr>
                <w:rFonts w:ascii="Arial" w:cs="Arial" w:eastAsia="Arial" w:hAnsi="Arial"/>
                <w:sz w:val="16"/>
                <w:szCs w:val="16"/>
                <w:b w:val="1"/>
                <w:bCs w:val="1"/>
                <w:color w:val="auto"/>
              </w:rPr>
              <w:t xml:space="preserve"> Quarter</w:t>
            </w:r>
          </w:p>
        </w:tc>
        <w:tc>
          <w:tcPr>
            <w:tcW w:w="1100" w:type="dxa"/>
            <w:vAlign w:val="bottom"/>
            <w:tcBorders>
              <w:bottom w:val="single" w:sz="8" w:color="auto"/>
            </w:tcBorders>
          </w:tcPr>
          <w:p>
            <w:pPr>
              <w:jc w:val="right"/>
              <w:ind w:right="15"/>
              <w:spacing w:after="0" w:line="216"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24"/>
                <w:szCs w:val="24"/>
                <w:b w:val="1"/>
                <w:bCs w:val="1"/>
                <w:color w:val="auto"/>
                <w:vertAlign w:val="superscript"/>
              </w:rPr>
              <w:t>th</w:t>
            </w:r>
            <w:r>
              <w:rPr>
                <w:rFonts w:ascii="Arial" w:cs="Arial" w:eastAsia="Arial" w:hAnsi="Arial"/>
                <w:sz w:val="16"/>
                <w:szCs w:val="16"/>
                <w:b w:val="1"/>
                <w:bCs w:val="1"/>
                <w:color w:val="auto"/>
              </w:rPr>
              <w:t xml:space="preserve"> Quarter</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Fiscal Year</w:t>
            </w:r>
          </w:p>
        </w:tc>
      </w:tr>
      <w:tr>
        <w:trPr>
          <w:trHeight w:val="183"/>
        </w:trPr>
        <w:tc>
          <w:tcPr>
            <w:tcW w:w="2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Sales</w:t>
            </w:r>
          </w:p>
        </w:tc>
        <w:tc>
          <w:tcPr>
            <w:tcW w:w="16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9"/>
        </w:trPr>
        <w:tc>
          <w:tcPr>
            <w:tcW w:w="2820" w:type="dxa"/>
            <w:vAlign w:val="bottom"/>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2,153</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2,275</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2,189</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2,341</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8,958</w:t>
            </w: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1,176</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2,077</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2,106</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2,189</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7,548</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5"/>
                <w:szCs w:val="15"/>
                <w:color w:val="auto"/>
              </w:rPr>
              <w:t xml:space="preserve">Gross margin </w:t>
            </w:r>
            <w:r>
              <w:rPr>
                <w:rFonts w:ascii="Arial" w:cs="Arial" w:eastAsia="Arial" w:hAnsi="Arial"/>
                <w:sz w:val="21"/>
                <w:szCs w:val="21"/>
                <w:color w:val="auto"/>
                <w:vertAlign w:val="superscript"/>
              </w:rPr>
              <w:t>(1)</w:t>
            </w: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749</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798</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760</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773</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3,080</w:t>
            </w:r>
          </w:p>
        </w:tc>
      </w:tr>
      <w:tr>
        <w:trPr>
          <w:trHeight w:val="189"/>
        </w:trPr>
        <w:tc>
          <w:tcPr>
            <w:tcW w:w="2820" w:type="dxa"/>
            <w:vAlign w:val="bottom"/>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271</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538</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650</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724</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2,183</w:t>
            </w:r>
          </w:p>
        </w:tc>
      </w:tr>
      <w:tr>
        <w:trPr>
          <w:trHeight w:val="189"/>
        </w:trPr>
        <w:tc>
          <w:tcPr>
            <w:tcW w:w="28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Income from operations </w:t>
            </w:r>
            <w:r>
              <w:rPr>
                <w:rFonts w:ascii="Arial" w:cs="Arial" w:eastAsia="Arial" w:hAnsi="Arial"/>
                <w:sz w:val="21"/>
                <w:szCs w:val="21"/>
                <w:color w:val="auto"/>
                <w:vertAlign w:val="superscript"/>
              </w:rPr>
              <w:t>(2)</w:t>
            </w:r>
          </w:p>
        </w:tc>
        <w:tc>
          <w:tcPr>
            <w:tcW w:w="16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2820" w:type="dxa"/>
            <w:vAlign w:val="bottom"/>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282</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264</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196</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118</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860</w:t>
            </w: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(105)</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69</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178</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161</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303</w:t>
            </w:r>
          </w:p>
        </w:tc>
      </w:tr>
      <w:tr>
        <w:trPr>
          <w:trHeight w:val="195"/>
        </w:trPr>
        <w:tc>
          <w:tcPr>
            <w:tcW w:w="2820" w:type="dxa"/>
            <w:vAlign w:val="bottom"/>
          </w:tcPr>
          <w:p>
            <w:pPr>
              <w:spacing w:after="0"/>
              <w:rPr>
                <w:sz w:val="20"/>
                <w:szCs w:val="20"/>
                <w:color w:val="auto"/>
              </w:rPr>
            </w:pPr>
            <w:r>
              <w:rPr>
                <w:rFonts w:ascii="Arial" w:cs="Arial" w:eastAsia="Arial" w:hAnsi="Arial"/>
                <w:sz w:val="17"/>
                <w:szCs w:val="17"/>
                <w:color w:val="auto"/>
              </w:rPr>
              <w:t>Net income attributable to</w:t>
            </w: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3"/>
        </w:trPr>
        <w:tc>
          <w:tcPr>
            <w:tcW w:w="2820" w:type="dxa"/>
            <w:vAlign w:val="bottom"/>
          </w:tcPr>
          <w:p>
            <w:pPr>
              <w:spacing w:after="0" w:line="184" w:lineRule="exact"/>
              <w:rPr>
                <w:sz w:val="20"/>
                <w:szCs w:val="20"/>
                <w:color w:val="auto"/>
              </w:rPr>
            </w:pPr>
            <w:r>
              <w:rPr>
                <w:rFonts w:ascii="Arial" w:cs="Arial" w:eastAsia="Arial" w:hAnsi="Arial"/>
                <w:sz w:val="15"/>
                <w:szCs w:val="15"/>
                <w:color w:val="auto"/>
              </w:rPr>
              <w:t xml:space="preserve">Foot Locker, Inc. </w:t>
            </w:r>
            <w:r>
              <w:rPr>
                <w:rFonts w:ascii="Arial" w:cs="Arial" w:eastAsia="Arial" w:hAnsi="Arial"/>
                <w:sz w:val="21"/>
                <w:szCs w:val="21"/>
                <w:color w:val="auto"/>
                <w:vertAlign w:val="superscript"/>
              </w:rPr>
              <w:t>(3), (4), (5)</w:t>
            </w:r>
          </w:p>
        </w:tc>
        <w:tc>
          <w:tcPr>
            <w:tcW w:w="1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202</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430</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158</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103</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893</w:t>
            </w:r>
          </w:p>
        </w:tc>
      </w:tr>
      <w:tr>
        <w:trPr>
          <w:trHeight w:val="189"/>
        </w:trPr>
        <w:tc>
          <w:tcPr>
            <w:tcW w:w="2820" w:type="dxa"/>
            <w:vAlign w:val="bottom"/>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(110)</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45</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265</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color w:val="auto"/>
              </w:rPr>
              <w:t>123</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323</w:t>
            </w:r>
          </w:p>
        </w:tc>
      </w:tr>
      <w:tr>
        <w:trPr>
          <w:trHeight w:val="189"/>
        </w:trPr>
        <w:tc>
          <w:tcPr>
            <w:tcW w:w="28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Basic earnings per share </w:t>
            </w:r>
            <w:r>
              <w:rPr>
                <w:rFonts w:ascii="Arial" w:cs="Arial" w:eastAsia="Arial" w:hAnsi="Arial"/>
                <w:sz w:val="21"/>
                <w:szCs w:val="21"/>
                <w:color w:val="auto"/>
                <w:vertAlign w:val="superscript"/>
              </w:rPr>
              <w:t>(6)</w:t>
            </w:r>
          </w:p>
        </w:tc>
        <w:tc>
          <w:tcPr>
            <w:tcW w:w="16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9"/>
        </w:trPr>
        <w:tc>
          <w:tcPr>
            <w:tcW w:w="2820" w:type="dxa"/>
            <w:vAlign w:val="bottom"/>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1.95</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4.14</w:t>
            </w:r>
          </w:p>
        </w:tc>
        <w:tc>
          <w:tcPr>
            <w:tcW w:w="1120" w:type="dxa"/>
            <w:vAlign w:val="bottom"/>
          </w:tcPr>
          <w:p>
            <w:pPr>
              <w:jc w:val="right"/>
              <w:ind w:right="75"/>
              <w:spacing w:after="0" w:line="189" w:lineRule="exact"/>
              <w:rPr>
                <w:sz w:val="20"/>
                <w:szCs w:val="20"/>
                <w:color w:val="auto"/>
              </w:rPr>
            </w:pPr>
            <w:r>
              <w:rPr>
                <w:rFonts w:ascii="Arial" w:cs="Arial" w:eastAsia="Arial" w:hAnsi="Arial"/>
                <w:sz w:val="17"/>
                <w:szCs w:val="17"/>
                <w:b w:val="1"/>
                <w:bCs w:val="1"/>
                <w:color w:val="auto"/>
              </w:rPr>
              <w:t>1.53</w:t>
            </w:r>
          </w:p>
        </w:tc>
        <w:tc>
          <w:tcPr>
            <w:tcW w:w="1100" w:type="dxa"/>
            <w:vAlign w:val="bottom"/>
          </w:tcPr>
          <w:p>
            <w:pPr>
              <w:jc w:val="right"/>
              <w:ind w:right="55"/>
              <w:spacing w:after="0" w:line="189" w:lineRule="exact"/>
              <w:rPr>
                <w:sz w:val="20"/>
                <w:szCs w:val="20"/>
                <w:color w:val="auto"/>
              </w:rPr>
            </w:pPr>
            <w:r>
              <w:rPr>
                <w:rFonts w:ascii="Arial" w:cs="Arial" w:eastAsia="Arial" w:hAnsi="Arial"/>
                <w:sz w:val="17"/>
                <w:szCs w:val="17"/>
                <w:b w:val="1"/>
                <w:bCs w:val="1"/>
                <w:color w:val="auto"/>
              </w:rPr>
              <w:t>1.04</w:t>
            </w:r>
          </w:p>
        </w:tc>
        <w:tc>
          <w:tcPr>
            <w:tcW w:w="420" w:type="dxa"/>
            <w:vAlign w:val="bottom"/>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7"/>
                <w:szCs w:val="17"/>
                <w:b w:val="1"/>
                <w:bCs w:val="1"/>
                <w:color w:val="auto"/>
              </w:rPr>
              <w:t>8.72</w:t>
            </w: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rPr>
              <w:t>(1.06)</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0.43</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2.54</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1.18</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3.10</w:t>
            </w:r>
          </w:p>
        </w:tc>
      </w:tr>
      <w:tr>
        <w:trPr>
          <w:trHeight w:val="189"/>
        </w:trPr>
        <w:tc>
          <w:tcPr>
            <w:tcW w:w="2820" w:type="dxa"/>
            <w:vAlign w:val="bottom"/>
          </w:tcPr>
          <w:p>
            <w:pPr>
              <w:spacing w:after="0" w:line="189" w:lineRule="exact"/>
              <w:rPr>
                <w:sz w:val="20"/>
                <w:szCs w:val="20"/>
                <w:color w:val="auto"/>
              </w:rPr>
            </w:pPr>
            <w:r>
              <w:rPr>
                <w:rFonts w:ascii="Arial" w:cs="Arial" w:eastAsia="Arial" w:hAnsi="Arial"/>
                <w:sz w:val="15"/>
                <w:szCs w:val="15"/>
                <w:color w:val="auto"/>
              </w:rPr>
              <w:t xml:space="preserve">Diluted earnings per share </w:t>
            </w:r>
            <w:r>
              <w:rPr>
                <w:rFonts w:ascii="Arial" w:cs="Arial" w:eastAsia="Arial" w:hAnsi="Arial"/>
                <w:sz w:val="21"/>
                <w:szCs w:val="21"/>
                <w:color w:val="auto"/>
                <w:vertAlign w:val="superscript"/>
              </w:rPr>
              <w:t>(6)</w:t>
            </w: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2820" w:type="dxa"/>
            <w:vAlign w:val="bottom"/>
            <w:shd w:val="clear" w:color="auto" w:fill="CCEEFF"/>
          </w:tcPr>
          <w:p>
            <w:pPr>
              <w:jc w:val="right"/>
              <w:ind w:right="2258"/>
              <w:spacing w:after="0" w:line="189" w:lineRule="exact"/>
              <w:rPr>
                <w:sz w:val="20"/>
                <w:szCs w:val="20"/>
                <w:color w:val="auto"/>
              </w:rPr>
            </w:pPr>
            <w:r>
              <w:rPr>
                <w:rFonts w:ascii="Arial" w:cs="Arial" w:eastAsia="Arial" w:hAnsi="Arial"/>
                <w:sz w:val="17"/>
                <w:szCs w:val="17"/>
                <w:b w:val="1"/>
                <w:bCs w:val="1"/>
                <w:color w:val="auto"/>
              </w:rPr>
              <w:t>2021</w:t>
            </w:r>
          </w:p>
        </w:tc>
        <w:tc>
          <w:tcPr>
            <w:tcW w:w="16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1.93</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4.09</w:t>
            </w:r>
          </w:p>
        </w:tc>
        <w:tc>
          <w:tcPr>
            <w:tcW w:w="1120" w:type="dxa"/>
            <w:vAlign w:val="bottom"/>
            <w:shd w:val="clear" w:color="auto" w:fill="CCEEFF"/>
          </w:tcPr>
          <w:p>
            <w:pPr>
              <w:jc w:val="right"/>
              <w:ind w:right="75"/>
              <w:spacing w:after="0" w:line="189" w:lineRule="exact"/>
              <w:rPr>
                <w:sz w:val="20"/>
                <w:szCs w:val="20"/>
                <w:color w:val="auto"/>
              </w:rPr>
            </w:pPr>
            <w:r>
              <w:rPr>
                <w:rFonts w:ascii="Arial" w:cs="Arial" w:eastAsia="Arial" w:hAnsi="Arial"/>
                <w:sz w:val="17"/>
                <w:szCs w:val="17"/>
                <w:b w:val="1"/>
                <w:bCs w:val="1"/>
                <w:color w:val="auto"/>
              </w:rPr>
              <w:t>1.52</w:t>
            </w:r>
          </w:p>
        </w:tc>
        <w:tc>
          <w:tcPr>
            <w:tcW w:w="110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b w:val="1"/>
                <w:bCs w:val="1"/>
                <w:color w:val="auto"/>
              </w:rPr>
              <w:t>1.02</w:t>
            </w:r>
          </w:p>
        </w:tc>
        <w:tc>
          <w:tcPr>
            <w:tcW w:w="420" w:type="dxa"/>
            <w:vAlign w:val="bottom"/>
            <w:shd w:val="clear" w:color="auto" w:fill="CCEEFF"/>
          </w:tcPr>
          <w:p>
            <w:pPr>
              <w:jc w:val="right"/>
              <w:ind w:right="135"/>
              <w:spacing w:after="0" w:line="189" w:lineRule="exact"/>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8.61</w:t>
            </w:r>
          </w:p>
        </w:tc>
      </w:tr>
      <w:tr>
        <w:trPr>
          <w:trHeight w:val="189"/>
        </w:trPr>
        <w:tc>
          <w:tcPr>
            <w:tcW w:w="2820" w:type="dxa"/>
            <w:vAlign w:val="bottom"/>
            <w:tcBorders>
              <w:bottom w:val="single" w:sz="8" w:color="auto"/>
            </w:tcBorders>
          </w:tcPr>
          <w:p>
            <w:pPr>
              <w:jc w:val="right"/>
              <w:ind w:right="2258"/>
              <w:spacing w:after="0" w:line="189" w:lineRule="exact"/>
              <w:rPr>
                <w:sz w:val="20"/>
                <w:szCs w:val="20"/>
                <w:color w:val="auto"/>
              </w:rPr>
            </w:pPr>
            <w:r>
              <w:rPr>
                <w:rFonts w:ascii="Arial" w:cs="Arial" w:eastAsia="Arial" w:hAnsi="Arial"/>
                <w:sz w:val="17"/>
                <w:szCs w:val="17"/>
                <w:color w:val="auto"/>
              </w:rPr>
              <w:t>2020</w:t>
            </w:r>
          </w:p>
        </w:tc>
        <w:tc>
          <w:tcPr>
            <w:tcW w:w="162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7"/>
                <w:szCs w:val="17"/>
                <w:color w:val="auto"/>
              </w:rPr>
              <w:t>(1.06)</w:t>
            </w: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0.43</w:t>
            </w:r>
          </w:p>
        </w:tc>
        <w:tc>
          <w:tcPr>
            <w:tcW w:w="1120" w:type="dxa"/>
            <w:vAlign w:val="bottom"/>
            <w:tcBorders>
              <w:bottom w:val="single" w:sz="8" w:color="auto"/>
            </w:tcBorders>
          </w:tcPr>
          <w:p>
            <w:pPr>
              <w:jc w:val="right"/>
              <w:ind w:right="75"/>
              <w:spacing w:after="0" w:line="189" w:lineRule="exact"/>
              <w:rPr>
                <w:sz w:val="20"/>
                <w:szCs w:val="20"/>
                <w:color w:val="auto"/>
              </w:rPr>
            </w:pPr>
            <w:r>
              <w:rPr>
                <w:rFonts w:ascii="Arial" w:cs="Arial" w:eastAsia="Arial" w:hAnsi="Arial"/>
                <w:sz w:val="17"/>
                <w:szCs w:val="17"/>
                <w:color w:val="auto"/>
              </w:rPr>
              <w:t>2.52</w:t>
            </w:r>
          </w:p>
        </w:tc>
        <w:tc>
          <w:tcPr>
            <w:tcW w:w="110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7"/>
                <w:szCs w:val="17"/>
                <w:color w:val="auto"/>
              </w:rPr>
              <w:t>1.17</w:t>
            </w:r>
          </w:p>
        </w:tc>
        <w:tc>
          <w:tcPr>
            <w:tcW w:w="420" w:type="dxa"/>
            <w:vAlign w:val="bottom"/>
            <w:tcBorders>
              <w:bottom w:val="single" w:sz="8" w:color="auto"/>
            </w:tcBorders>
          </w:tcPr>
          <w:p>
            <w:pPr>
              <w:jc w:val="right"/>
              <w:ind w:right="135"/>
              <w:spacing w:after="0" w:line="189" w:lineRule="exact"/>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3.08</w:t>
            </w:r>
          </w:p>
        </w:tc>
      </w:tr>
    </w:tbl>
    <w:p>
      <w:pPr>
        <w:spacing w:after="0" w:line="107" w:lineRule="exact"/>
        <w:rPr>
          <w:sz w:val="20"/>
          <w:szCs w:val="20"/>
          <w:color w:val="auto"/>
        </w:rPr>
      </w:pPr>
    </w:p>
    <w:p>
      <w:pPr>
        <w:jc w:val="both"/>
        <w:ind w:left="380" w:right="79" w:hanging="330"/>
        <w:spacing w:after="0" w:line="238" w:lineRule="auto"/>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Gross margin represents sales less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ind w:left="380" w:hanging="330"/>
        <w:spacing w:after="0"/>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income before income taxes, net interest income and non-operating income.</w:t>
      </w:r>
    </w:p>
    <w:p>
      <w:pPr>
        <w:jc w:val="both"/>
        <w:ind w:left="380" w:right="79" w:hanging="330"/>
        <w:spacing w:after="0" w:line="238" w:lineRule="auto"/>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During the first, second, third, and fourth quarters of 2021, we recorded impairment and other charges totaling $4 million, $36 million, $57 million, and $75 million, respectively. During the first, second, third, and fourth quarters of 2020, we recorded impairment and other charges totaling $16 million, $38 million, $4 million, and $59 million, respectively. See Note 4,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additional information.</w:t>
      </w:r>
    </w:p>
    <w:p>
      <w:pPr>
        <w:jc w:val="both"/>
        <w:ind w:left="380" w:right="79" w:hanging="330"/>
        <w:spacing w:after="0"/>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During the second quarter of 2021, we recorded a benefit of $290 million related to GOAT. During the third quarter of 2020, we recorded a benefit of $190 million. Additionally, during the second quarter of 2021 we invested $68 million to take a common stock minority stake in Retailors, Ltd. at a discount to the initial public offering price, which represented a non-cash gain for the year. See Note 5, </w:t>
      </w:r>
      <w:r>
        <w:rPr>
          <w:rFonts w:ascii="Arial" w:cs="Arial" w:eastAsia="Arial" w:hAnsi="Arial"/>
          <w:sz w:val="13"/>
          <w:szCs w:val="13"/>
          <w:i w:val="1"/>
          <w:iCs w:val="1"/>
          <w:color w:val="auto"/>
        </w:rPr>
        <w:t>Other Income</w:t>
      </w:r>
      <w:r>
        <w:rPr>
          <w:rFonts w:ascii="Arial" w:cs="Arial" w:eastAsia="Arial" w:hAnsi="Arial"/>
          <w:sz w:val="13"/>
          <w:szCs w:val="13"/>
          <w:color w:val="auto"/>
        </w:rPr>
        <w:t xml:space="preserve"> for further information.</w:t>
      </w:r>
    </w:p>
    <w:p>
      <w:pPr>
        <w:spacing w:after="0" w:line="145" w:lineRule="exact"/>
        <w:rPr>
          <w:rFonts w:ascii="Arial" w:cs="Arial" w:eastAsia="Arial" w:hAnsi="Arial"/>
          <w:sz w:val="13"/>
          <w:szCs w:val="13"/>
          <w:color w:val="auto"/>
        </w:rPr>
      </w:pPr>
    </w:p>
    <w:p>
      <w:pPr>
        <w:ind w:left="380" w:right="79" w:hanging="330"/>
        <w:spacing w:after="0" w:line="249" w:lineRule="auto"/>
        <w:tabs>
          <w:tab w:leader="none" w:pos="3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Quarterly income per share amounts may not total to the annual amount due to changes in weighted-average shares outstanding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020"/>
        <w:spacing w:after="0"/>
        <w:rPr>
          <w:sz w:val="20"/>
          <w:szCs w:val="20"/>
          <w:color w:val="auto"/>
        </w:rPr>
      </w:pPr>
      <w:r>
        <w:rPr>
          <w:rFonts w:ascii="Arial" w:cs="Arial" w:eastAsia="Arial" w:hAnsi="Arial"/>
          <w:sz w:val="17"/>
          <w:szCs w:val="17"/>
          <w:color w:val="auto"/>
        </w:rPr>
        <w:t>2021 Form 10-K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64"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7"/>
          <w:szCs w:val="17"/>
          <w:b w:val="1"/>
          <w:bCs w:val="1"/>
          <w:i w:val="1"/>
          <w:iCs w:val="1"/>
          <w:color w:val="auto"/>
        </w:rPr>
        <w:t>Item 9. Changes in and Disagreements with Accountants on Accounting and Financial Disclosure</w:t>
      </w:r>
    </w:p>
    <w:p>
      <w:pPr>
        <w:spacing w:after="0" w:line="176"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There were no disagreements between the Company and its independent registered public accounting firm on matters of accounting principles or practices.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9A. Controls and Procedures</w:t>
      </w:r>
    </w:p>
    <w:p>
      <w:pPr>
        <w:spacing w:after="0" w:line="187"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7"/>
          <w:szCs w:val="17"/>
          <w:color w:val="auto"/>
        </w:rPr>
        <w:t>Evaluation of Disclosure Controls and Procedures.</w:t>
      </w:r>
    </w:p>
    <w:p>
      <w:pPr>
        <w:spacing w:after="0" w:line="160" w:lineRule="exact"/>
        <w:rPr>
          <w:sz w:val="20"/>
          <w:szCs w:val="20"/>
          <w:color w:val="auto"/>
        </w:rPr>
      </w:pPr>
    </w:p>
    <w:p>
      <w:pPr>
        <w:jc w:val="both"/>
        <w:ind w:left="700" w:right="59"/>
        <w:spacing w:after="0" w:line="233" w:lineRule="auto"/>
        <w:rPr>
          <w:sz w:val="20"/>
          <w:szCs w:val="20"/>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January 29, 2022.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65"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7"/>
          <w:szCs w:val="17"/>
          <w:color w:val="auto"/>
        </w:rPr>
        <w:t>Management’s Annual Report on Internal Control over Financial Reporting.</w:t>
      </w:r>
    </w:p>
    <w:p>
      <w:pPr>
        <w:spacing w:after="0" w:line="173" w:lineRule="exact"/>
        <w:rPr>
          <w:sz w:val="20"/>
          <w:szCs w:val="20"/>
          <w:color w:val="auto"/>
        </w:rPr>
      </w:pPr>
    </w:p>
    <w:p>
      <w:pPr>
        <w:jc w:val="both"/>
        <w:ind w:left="700" w:right="59"/>
        <w:spacing w:after="0" w:line="233"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January 29, 2022.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52"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7"/>
          <w:szCs w:val="17"/>
          <w:color w:val="auto"/>
        </w:rPr>
        <w:t>Changes in Internal Control over Financial Reporting.</w:t>
      </w:r>
    </w:p>
    <w:p>
      <w:pPr>
        <w:spacing w:after="0" w:line="173" w:lineRule="exact"/>
        <w:rPr>
          <w:sz w:val="20"/>
          <w:szCs w:val="20"/>
          <w:color w:val="auto"/>
        </w:rPr>
      </w:pPr>
    </w:p>
    <w:p>
      <w:pPr>
        <w:jc w:val="both"/>
        <w:ind w:left="700" w:right="59"/>
        <w:spacing w:after="0" w:line="236" w:lineRule="auto"/>
        <w:rPr>
          <w:sz w:val="20"/>
          <w:szCs w:val="20"/>
          <w:color w:val="auto"/>
        </w:rPr>
      </w:pPr>
      <w:r>
        <w:rPr>
          <w:rFonts w:ascii="Arial" w:cs="Arial" w:eastAsia="Arial" w:hAnsi="Arial"/>
          <w:sz w:val="17"/>
          <w:szCs w:val="17"/>
          <w:color w:val="auto"/>
        </w:rPr>
        <w:t>During 2021, we closed on the acquisitions of WSS and atmos and we excluded both of these businesses from the scope of management’s report on internal control over financial reporting and will include them in scope, if necessary, for the year ending January 28, 2023. This process may result in additions or changes to our internal control over financial reporting.</w:t>
      </w:r>
    </w:p>
    <w:p>
      <w:pPr>
        <w:spacing w:after="0" w:line="163" w:lineRule="exact"/>
        <w:rPr>
          <w:sz w:val="20"/>
          <w:szCs w:val="20"/>
          <w:color w:val="auto"/>
        </w:rPr>
      </w:pPr>
    </w:p>
    <w:p>
      <w:pPr>
        <w:jc w:val="both"/>
        <w:ind w:left="700" w:right="79"/>
        <w:spacing w:after="0" w:line="238" w:lineRule="auto"/>
        <w:rPr>
          <w:sz w:val="20"/>
          <w:szCs w:val="20"/>
          <w:color w:val="auto"/>
        </w:rPr>
      </w:pPr>
      <w:r>
        <w:rPr>
          <w:rFonts w:ascii="Arial" w:cs="Arial" w:eastAsia="Arial" w:hAnsi="Arial"/>
          <w:sz w:val="17"/>
          <w:szCs w:val="17"/>
          <w:color w:val="auto"/>
        </w:rPr>
        <w:t>There were no other changes in the Company’s internal control over financial reporting during the fourth fiscal quarter of 2021 that materially affected, or are reasonably likely to materially affect, the Company’s internal control over financial reporting.</w:t>
      </w:r>
    </w:p>
    <w:p>
      <w:pPr>
        <w:spacing w:after="0" w:line="147" w:lineRule="exact"/>
        <w:rPr>
          <w:sz w:val="20"/>
          <w:szCs w:val="20"/>
          <w:color w:val="auto"/>
        </w:rPr>
      </w:pPr>
    </w:p>
    <w:p>
      <w:pPr>
        <w:ind w:left="720" w:right="79" w:hanging="319"/>
        <w:spacing w:after="0" w:line="234"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7"/>
          <w:szCs w:val="17"/>
          <w:color w:val="auto"/>
        </w:rPr>
        <w:t>Report of Independent Registered Public Accounting Firm on Internal Control Over Financial Reporting- the report appears on the following page.</w:t>
      </w:r>
    </w:p>
    <w:p>
      <w:pPr>
        <w:spacing w:after="0" w:line="350"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2021 Form 10-K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0" w:name="page81"/>
    <w:bookmarkEnd w:id="80"/>
    <w:p>
      <w:pPr>
        <w:ind w:left="176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Shareholders and Board of Directors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Foot Locker, Inc.:</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Opinion on Internal Control Over Financial Reporting</w:t>
      </w:r>
    </w:p>
    <w:p>
      <w:pPr>
        <w:spacing w:after="0" w:line="221"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6"/>
          <w:szCs w:val="16"/>
          <w:color w:val="auto"/>
        </w:rPr>
        <w:t>We have audited Foot Locker, Inc. and subsidiaries' (the Company) internal control over financial reporting as of January 29,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January 29, 2022, based on criteria established in Internal Control – Integrated Framework (2013) issued by the Committee of Sponsoring Organizations of the Treadway Commission.</w:t>
      </w:r>
    </w:p>
    <w:p>
      <w:pPr>
        <w:spacing w:after="0" w:line="81"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January 29, 2022 and January 30, 2021, the related consolidated statements of operations, comprehensive income, changes in shareholders’ equity, and cash flows for each of the years in the three-year period ended January 29, 2022, and the related notes (collectively, the consolidated financial statements), and our report dated March 24, 2022 expressed an unqualified opinion on those consolidated financial statements.</w:t>
      </w:r>
    </w:p>
    <w:p>
      <w:pPr>
        <w:spacing w:after="0" w:line="8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6"/>
          <w:szCs w:val="16"/>
          <w:color w:val="auto"/>
        </w:rPr>
        <w:t>The Company acquired WSS and atmos during 2021, and management excluded from its assessment of the effectiveness of the Company’s internal control over financial reporting as of January 29, 2022, WSS and atmos’ internal control over financial reporting associated with approximately 6.4% of total consolidated assets, excluding goodwill and intangibles assets, which are included within the scope of the assessment, and approximately 2.7% of total consolidated revenues included in the consolidated financial statements of the Company as of and for the year ended January 29, 2022. Our audit of internal control over financial reporting of the Company also excluded an evaluation of the internal control over financial reporting of WSS and atmos.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Basis for Opinion</w:t>
      </w:r>
    </w:p>
    <w:p>
      <w:pPr>
        <w:spacing w:after="0" w:line="116"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Definition and Limitations of Internal Control Over Financial Reporting</w:t>
      </w:r>
    </w:p>
    <w:p>
      <w:pPr>
        <w:spacing w:after="0" w:line="116"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KPMG LLP</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New York, New York</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24, 2022</w:t>
      </w:r>
    </w:p>
    <w:p>
      <w:pPr>
        <w:spacing w:after="0" w:line="132"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2021 Form 10-K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7"/>
          <w:szCs w:val="17"/>
          <w:b w:val="1"/>
          <w:bCs w:val="1"/>
          <w:i w:val="1"/>
          <w:iCs w:val="1"/>
          <w:color w:val="auto"/>
        </w:rPr>
        <w:t>Item 9B. Other Information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 III</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10. Directors, Executive Officers and Corporate Governance</w:t>
      </w:r>
    </w:p>
    <w:p>
      <w:pPr>
        <w:spacing w:after="0" w:line="171" w:lineRule="exact"/>
        <w:rPr>
          <w:sz w:val="20"/>
          <w:szCs w:val="20"/>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6"/>
          <w:szCs w:val="16"/>
          <w:color w:val="auto"/>
        </w:rPr>
        <w:t>Directors of the Company</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Information relative to directors of the Company will be set forth under the section captioned “Proposal 1:</w:t>
      </w:r>
    </w:p>
    <w:p>
      <w:pPr>
        <w:spacing w:after="0" w:line="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Election of Directors” in the Proxy Statement and is incorporated herein by reference.</w:t>
      </w:r>
    </w:p>
    <w:p>
      <w:pPr>
        <w:ind w:left="720" w:hanging="319"/>
        <w:spacing w:after="0" w:line="231"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6"/>
          <w:szCs w:val="16"/>
          <w:color w:val="auto"/>
        </w:rPr>
        <w:t>Executive Officers of the Company</w:t>
      </w:r>
    </w:p>
    <w:p>
      <w:pPr>
        <w:spacing w:after="0" w:line="197" w:lineRule="exact"/>
        <w:rPr>
          <w:sz w:val="20"/>
          <w:szCs w:val="20"/>
          <w:color w:val="auto"/>
        </w:rPr>
      </w:pPr>
    </w:p>
    <w:p>
      <w:pPr>
        <w:ind w:left="720" w:right="79" w:hanging="319"/>
        <w:spacing w:after="0" w:line="232"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6"/>
          <w:szCs w:val="16"/>
          <w:color w:val="auto"/>
        </w:rPr>
        <w:t>Information on our audit committee and the audit committee financial expert will be contained in the Proxy Statement under the section captioned “Committees of the Board” and is incorporated herein by reference.</w:t>
      </w:r>
    </w:p>
    <w:p>
      <w:pPr>
        <w:jc w:val="both"/>
        <w:ind w:left="720" w:right="79" w:hanging="319"/>
        <w:spacing w:after="0" w:line="241"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6"/>
          <w:szCs w:val="16"/>
          <w:color w:val="auto"/>
        </w:rPr>
        <w:t>Information about the Code of Business Conduct applicable to our employees, including our Chief Executive Officer, Chief Financial Officer, Chief Accounting Officer, and the Board of Directors, will be set forth under the heading “Code of Business Conduct” under the Governance section of the Proxy Statement and is incorporated herein by reference.</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11. Executive Compensation</w:t>
      </w:r>
    </w:p>
    <w:p>
      <w:pPr>
        <w:spacing w:after="0" w:line="189"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in the Proxy Statement beginning with the section captioned “Director Compensation” through and including the section captioned “Excess Savings Plan” is incorporated herein by reference.</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12. Security Ownership of Certain Beneficial Owners and Management and Related Shareholder Matters</w:t>
      </w:r>
    </w:p>
    <w:p>
      <w:pPr>
        <w:spacing w:after="0" w:line="189" w:lineRule="exact"/>
        <w:rPr>
          <w:sz w:val="20"/>
          <w:szCs w:val="20"/>
          <w:color w:val="auto"/>
        </w:rPr>
      </w:pPr>
    </w:p>
    <w:p>
      <w:pPr>
        <w:jc w:val="both"/>
        <w:ind w:left="60" w:right="79"/>
        <w:spacing w:after="0" w:line="236" w:lineRule="auto"/>
        <w:rPr>
          <w:sz w:val="20"/>
          <w:szCs w:val="20"/>
          <w:color w:val="auto"/>
        </w:rPr>
      </w:pPr>
      <w:r>
        <w:rPr>
          <w:rFonts w:ascii="Arial" w:cs="Arial" w:eastAsia="Arial" w:hAnsi="Arial"/>
          <w:sz w:val="17"/>
          <w:szCs w:val="17"/>
          <w:color w:val="auto"/>
        </w:rPr>
        <w:t xml:space="preserve">Information set forth in the Proxy Statement under the section captioned “Share Ownership” is incorporated herein by reference. Equity compensation plan information is contained under the “Stock Awards” and “Employees Stock Purchase Plan” sections of the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note in “Item 8. Consolidated Financial Statements and Supplementary Data.”</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13. Certain Relationships and Related Transactions, and Director Independence</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7"/>
          <w:szCs w:val="17"/>
          <w:color w:val="auto"/>
        </w:rPr>
        <w:t>Information set forth in the Proxy Statement under the section captioned “Directors’ Independence” is incorporated herein by reference.</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14. Principal Accounting Fees and Services</w:t>
      </w:r>
    </w:p>
    <w:p>
      <w:pPr>
        <w:spacing w:after="0" w:line="1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7"/>
          <w:szCs w:val="17"/>
          <w:color w:val="auto"/>
        </w:rPr>
        <w:t>Our independent registered public accounting firm is KPMG LLP, New York, NY, Auditor Firm ID: 185. Information about the principal accounting fees and services is set forth under the section captioned “Audit and Non-Audit Fees” in the Proxy Statement and is incorporated herein by reference. Information about the Audit Committee’s preapproval policies and procedures is set forth in the section captioned “Audit Committee Preapproval Policies and Procedures” in the Proxy Statement and is incorporated herein by reference.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PART IV</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(a)(1) and (2) Financial Statements</w:t>
      </w:r>
    </w:p>
    <w:p>
      <w:pPr>
        <w:jc w:val="both"/>
        <w:ind w:left="700" w:right="59"/>
        <w:spacing w:after="0" w:line="236" w:lineRule="auto"/>
        <w:rPr>
          <w:sz w:val="20"/>
          <w:szCs w:val="20"/>
          <w:color w:val="auto"/>
        </w:rPr>
      </w:pPr>
      <w:r>
        <w:rPr>
          <w:rFonts w:ascii="Arial" w:cs="Arial" w:eastAsia="Arial" w:hAnsi="Arial"/>
          <w:sz w:val="17"/>
          <w:szCs w:val="17"/>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(a)(3) and (c) Exhibits</w:t>
      </w:r>
    </w:p>
    <w:p>
      <w:pPr>
        <w:ind w:left="700"/>
        <w:spacing w:after="0"/>
        <w:rPr>
          <w:sz w:val="20"/>
          <w:szCs w:val="20"/>
          <w:color w:val="auto"/>
        </w:rPr>
      </w:pPr>
      <w:r>
        <w:rPr>
          <w:rFonts w:ascii="Arial" w:cs="Arial" w:eastAsia="Arial" w:hAnsi="Arial"/>
          <w:sz w:val="17"/>
          <w:szCs w:val="17"/>
          <w:color w:val="auto"/>
        </w:rPr>
        <w:t>An index of the exhibits are on pages 80 through 82.</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Item 16. Form 10-K Summary</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64" w:lineRule="exact"/>
        <w:rPr>
          <w:sz w:val="20"/>
          <w:szCs w:val="20"/>
          <w:color w:val="auto"/>
        </w:rPr>
      </w:pPr>
    </w:p>
    <w:p>
      <w:pPr>
        <w:jc w:val="right"/>
        <w:ind w:right="59"/>
        <w:spacing w:after="0"/>
        <w:rPr>
          <w:sz w:val="20"/>
          <w:szCs w:val="20"/>
          <w:color w:val="auto"/>
        </w:rPr>
      </w:pPr>
      <w:r>
        <w:rPr>
          <w:rFonts w:ascii="Arial" w:cs="Arial" w:eastAsia="Arial" w:hAnsi="Arial"/>
          <w:sz w:val="17"/>
          <w:szCs w:val="17"/>
          <w:color w:val="auto"/>
        </w:rPr>
        <w:t>2021 Form 10-K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82" w:name="page83"/>
    <w:bookmarkEnd w:id="82"/>
    <w:tbl>
      <w:tblPr>
        <w:tblLayout w:type="fixed"/>
        <w:tblInd w:w="60" w:type="dxa"/>
        <w:tblCellMar>
          <w:top w:w="0" w:type="dxa"/>
          <w:left w:w="0" w:type="dxa"/>
          <w:bottom w:w="0" w:type="dxa"/>
          <w:right w:w="0" w:type="dxa"/>
        </w:tblCellMar>
      </w:tblPr>
      <w:tr>
        <w:trPr>
          <w:trHeight w:val="215"/>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gridSpan w:val="14"/>
          </w:tcPr>
          <w:p>
            <w:pPr>
              <w:ind w:left="60"/>
              <w:spacing w:after="0"/>
              <w:rPr>
                <w:sz w:val="20"/>
                <w:szCs w:val="20"/>
                <w:color w:val="auto"/>
              </w:rPr>
            </w:pPr>
            <w:r>
              <w:rPr>
                <w:rFonts w:ascii="Arial" w:cs="Arial" w:eastAsia="Arial" w:hAnsi="Arial"/>
                <w:sz w:val="16"/>
                <w:szCs w:val="16"/>
                <w:b w:val="1"/>
                <w:bCs w:val="1"/>
                <w:color w:val="auto"/>
              </w:rPr>
              <w:t>FOOT LOCKER, INC.</w:t>
            </w:r>
          </w:p>
        </w:tc>
      </w:tr>
      <w:tr>
        <w:trPr>
          <w:trHeight w:val="405"/>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gridSpan w:val="14"/>
          </w:tcPr>
          <w:p>
            <w:pPr>
              <w:ind w:left="80"/>
              <w:spacing w:after="0"/>
              <w:rPr>
                <w:sz w:val="20"/>
                <w:szCs w:val="20"/>
                <w:color w:val="auto"/>
              </w:rPr>
            </w:pPr>
            <w:r>
              <w:rPr>
                <w:rFonts w:ascii="Arial" w:cs="Arial" w:eastAsia="Arial" w:hAnsi="Arial"/>
                <w:sz w:val="16"/>
                <w:szCs w:val="16"/>
                <w:b w:val="1"/>
                <w:bCs w:val="1"/>
                <w:color w:val="auto"/>
              </w:rPr>
              <w:t>INDEX OF EXHIBITS</w:t>
            </w:r>
          </w:p>
        </w:tc>
      </w:tr>
      <w:tr>
        <w:trPr>
          <w:trHeight w:val="398"/>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gridSpan w:val="10"/>
          </w:tcPr>
          <w:p>
            <w:pPr>
              <w:ind w:left="24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w w:val="98"/>
              </w:rPr>
              <w:t>2.1</w:t>
            </w:r>
          </w:p>
        </w:tc>
        <w:tc>
          <w:tcPr>
            <w:tcW w:w="200" w:type="dxa"/>
            <w:vAlign w:val="bottom"/>
          </w:tcPr>
          <w:p>
            <w:pPr>
              <w:spacing w:after="0"/>
              <w:rPr>
                <w:sz w:val="13"/>
                <w:szCs w:val="13"/>
                <w:color w:val="auto"/>
              </w:rPr>
            </w:pPr>
          </w:p>
        </w:tc>
        <w:tc>
          <w:tcPr>
            <w:tcW w:w="7620" w:type="dxa"/>
            <w:vAlign w:val="bottom"/>
            <w:tcBorders>
              <w:bottom w:val="single" w:sz="8" w:color="0000EE"/>
            </w:tcBorders>
            <w:gridSpan w:val="19"/>
          </w:tcPr>
          <w:p>
            <w:pPr>
              <w:spacing w:after="0" w:line="155" w:lineRule="exact"/>
              <w:rPr>
                <w:rFonts w:ascii="Arial" w:cs="Arial" w:eastAsia="Arial" w:hAnsi="Arial"/>
                <w:sz w:val="16"/>
                <w:szCs w:val="16"/>
                <w:color w:val="0000EE"/>
              </w:rPr>
            </w:pPr>
            <w:hyperlink r:id="rId133">
              <w:r>
                <w:rPr>
                  <w:rFonts w:ascii="Arial" w:cs="Arial" w:eastAsia="Arial" w:hAnsi="Arial"/>
                  <w:sz w:val="16"/>
                  <w:szCs w:val="16"/>
                  <w:color w:val="0000EE"/>
                </w:rPr>
                <w:t>Stock Purchase Agreement, dated August 1, 2021, among Foot Locker Retail, Inc., the Sellers, Eurostar,</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Inc., and the Seller Representatives (incorporated by reference to Exhibit 2.1 to the Form 8-K filed by Foot</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Locker, Inc. on August 2, 2021).</w:t>
              </w:r>
            </w:hyperlink>
          </w:p>
        </w:tc>
        <w:tc>
          <w:tcPr>
            <w:tcW w:w="5300" w:type="dxa"/>
            <w:vAlign w:val="bottom"/>
            <w:tcBorders>
              <w:top w:val="single" w:sz="8" w:color="0000EE"/>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387"/>
        </w:trPr>
        <w:tc>
          <w:tcPr>
            <w:tcW w:w="10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200" w:type="dxa"/>
            <w:vAlign w:val="bottom"/>
          </w:tcPr>
          <w:p>
            <w:pPr>
              <w:spacing w:after="0"/>
              <w:rPr>
                <w:sz w:val="24"/>
                <w:szCs w:val="24"/>
                <w:color w:val="auto"/>
              </w:rPr>
            </w:pPr>
          </w:p>
        </w:tc>
        <w:tc>
          <w:tcPr>
            <w:tcW w:w="7620" w:type="dxa"/>
            <w:vAlign w:val="bottom"/>
            <w:gridSpan w:val="19"/>
          </w:tcPr>
          <w:p>
            <w:pPr>
              <w:spacing w:after="0"/>
              <w:rPr>
                <w:sz w:val="20"/>
                <w:szCs w:val="20"/>
                <w:color w:val="auto"/>
              </w:rPr>
            </w:pPr>
            <w:r>
              <w:rPr>
                <w:rFonts w:ascii="Arial" w:cs="Arial" w:eastAsia="Arial" w:hAnsi="Arial"/>
                <w:sz w:val="16"/>
                <w:szCs w:val="16"/>
                <w:color w:val="auto"/>
              </w:rPr>
              <w:t>Certificate of Incorporation of the Registrant, as filed by the Department of State of the State of New York</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gridSpan w:val="19"/>
          </w:tcPr>
          <w:p>
            <w:pPr>
              <w:spacing w:after="0"/>
              <w:rPr>
                <w:sz w:val="20"/>
                <w:szCs w:val="20"/>
                <w:color w:val="auto"/>
              </w:rPr>
            </w:pPr>
            <w:r>
              <w:rPr>
                <w:rFonts w:ascii="Arial" w:cs="Arial" w:eastAsia="Arial" w:hAnsi="Arial"/>
                <w:sz w:val="16"/>
                <w:szCs w:val="16"/>
                <w:color w:val="auto"/>
              </w:rPr>
              <w:t>on April 7, 1989 (incorporated herein by reference to Exhibit 3(i)(a) to the Quarterly Report on Form 10-Q</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gridSpan w:val="19"/>
          </w:tcPr>
          <w:p>
            <w:pPr>
              <w:spacing w:after="0"/>
              <w:rPr>
                <w:sz w:val="20"/>
                <w:szCs w:val="20"/>
                <w:color w:val="auto"/>
              </w:rPr>
            </w:pPr>
            <w:r>
              <w:rPr>
                <w:rFonts w:ascii="Arial" w:cs="Arial" w:eastAsia="Arial" w:hAnsi="Arial"/>
                <w:sz w:val="16"/>
                <w:szCs w:val="16"/>
                <w:color w:val="auto"/>
              </w:rPr>
              <w:t>for the quarterly period ended July 26, 1997 filed on September 4, 1997 (the “July 26, 1997 Form 10-Q”)),</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gridSpan w:val="19"/>
          </w:tcPr>
          <w:p>
            <w:pPr>
              <w:spacing w:after="0"/>
              <w:rPr>
                <w:sz w:val="20"/>
                <w:szCs w:val="20"/>
                <w:color w:val="auto"/>
              </w:rPr>
            </w:pPr>
            <w:r>
              <w:rPr>
                <w:rFonts w:ascii="Arial" w:cs="Arial" w:eastAsia="Arial" w:hAnsi="Arial"/>
                <w:sz w:val="16"/>
                <w:szCs w:val="16"/>
                <w:color w:val="auto"/>
              </w:rPr>
              <w:t>as amended by Certificates of Amendment of the Certificate of Incorporation of the Registrant, as filed by</w:t>
            </w:r>
          </w:p>
        </w:tc>
      </w:tr>
      <w:tr>
        <w:trPr>
          <w:trHeight w:val="189"/>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20" w:type="dxa"/>
            <w:vAlign w:val="bottom"/>
            <w:gridSpan w:val="19"/>
          </w:tcPr>
          <w:p>
            <w:pPr>
              <w:spacing w:after="0"/>
              <w:rPr>
                <w:sz w:val="20"/>
                <w:szCs w:val="20"/>
                <w:color w:val="auto"/>
              </w:rPr>
            </w:pPr>
            <w:r>
              <w:rPr>
                <w:rFonts w:ascii="Arial" w:cs="Arial" w:eastAsia="Arial" w:hAnsi="Arial"/>
                <w:sz w:val="16"/>
                <w:szCs w:val="16"/>
                <w:color w:val="auto"/>
              </w:rPr>
              <w:t>the Department of State of the State of New York on (a) July 20, 1989, (b) July 24, 1990, (c) July 9, 1997</w:t>
            </w:r>
          </w:p>
        </w:tc>
      </w:tr>
      <w:tr>
        <w:trPr>
          <w:trHeight w:val="160"/>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20" w:type="dxa"/>
            <w:vAlign w:val="bottom"/>
            <w:gridSpan w:val="19"/>
          </w:tcPr>
          <w:p>
            <w:pPr>
              <w:spacing w:after="0" w:line="160" w:lineRule="exact"/>
              <w:rPr>
                <w:rFonts w:ascii="Arial" w:cs="Arial" w:eastAsia="Arial" w:hAnsi="Arial"/>
                <w:sz w:val="16"/>
                <w:szCs w:val="16"/>
                <w:color w:val="0000EE"/>
              </w:rPr>
            </w:pPr>
            <w:hyperlink r:id="rId134">
              <w:r>
                <w:rPr>
                  <w:rFonts w:ascii="Arial" w:cs="Arial" w:eastAsia="Arial" w:hAnsi="Arial"/>
                  <w:sz w:val="16"/>
                  <w:szCs w:val="16"/>
                  <w:color w:val="0000EE"/>
                </w:rPr>
                <w:t>(incorporated herein by reference to Exhibit 3(i)(b) to the July 26, 1997 Form 10-Q)</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(d) June 11, 1998</w:t>
            </w:r>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(incorporated herein by reference to Exhibit 4.2(a) to the Registration Statement on Form S-8 (Registration</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No. 333-62425) (the “1998 Form S-8”))</w:t>
              </w:r>
              <w:r>
                <w:rPr>
                  <w:rFonts w:ascii="Arial" w:cs="Arial" w:eastAsia="Arial" w:hAnsi="Arial"/>
                  <w:sz w:val="16"/>
                  <w:szCs w:val="16"/>
                  <w:color w:val="000000"/>
                </w:rPr>
                <w:t>,</w:t>
              </w:r>
              <w:r>
                <w:rPr>
                  <w:rFonts w:ascii="Arial" w:cs="Arial" w:eastAsia="Arial" w:hAnsi="Arial"/>
                  <w:sz w:val="16"/>
                  <w:szCs w:val="16"/>
                  <w:color w:val="0000EE"/>
                </w:rPr>
                <w:t xml:space="preserve"> (e) November 1, 2001 (incorporated herein by reference to</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Exhibit 4.2 to the Registration Statement on Form S-8 (Registration No. 333-74688) (the “2001 Form S-</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8”))</w:t>
              </w:r>
              <w:r>
                <w:rPr>
                  <w:rFonts w:ascii="Arial" w:cs="Arial" w:eastAsia="Arial" w:hAnsi="Arial"/>
                  <w:sz w:val="16"/>
                  <w:szCs w:val="16"/>
                  <w:color w:val="000000"/>
                </w:rPr>
                <w:t>, (f) May 28, 2014</w:t>
              </w:r>
              <w:r>
                <w:rPr>
                  <w:rFonts w:ascii="Arial" w:cs="Arial" w:eastAsia="Arial" w:hAnsi="Arial"/>
                  <w:sz w:val="16"/>
                  <w:szCs w:val="16"/>
                  <w:color w:val="0000EE"/>
                </w:rPr>
                <w:t xml:space="preserve"> (incorporated herein by reference to Exhibit 3.1 to the Current Report on Form 8-K</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dated May 21, 2014 filed on May 28, 2014)</w:t>
              </w:r>
              <w:r>
                <w:rPr>
                  <w:rFonts w:ascii="Arial" w:cs="Arial" w:eastAsia="Arial" w:hAnsi="Arial"/>
                  <w:sz w:val="16"/>
                  <w:szCs w:val="16"/>
                  <w:color w:val="000000"/>
                </w:rPr>
                <w:t>, and (g)</w:t>
              </w:r>
              <w:r>
                <w:rPr>
                  <w:rFonts w:ascii="Arial" w:cs="Arial" w:eastAsia="Arial" w:hAnsi="Arial"/>
                  <w:sz w:val="16"/>
                  <w:szCs w:val="16"/>
                  <w:color w:val="0000EE"/>
                </w:rPr>
                <w:t xml:space="preserve"> December 8, 2020 (incorporated herein by reference</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to Exhibit 3.1 to the Current Report on Form 8-K dated December 7, 2020 filed on December 8, 2020).</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20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6"/>
                <w:szCs w:val="16"/>
                <w:color w:val="0000EE"/>
              </w:rPr>
            </w:pPr>
            <w:hyperlink r:id="rId139">
              <w:r>
                <w:rPr>
                  <w:rFonts w:ascii="Arial" w:cs="Arial" w:eastAsia="Arial" w:hAnsi="Arial"/>
                  <w:sz w:val="16"/>
                  <w:szCs w:val="16"/>
                  <w:color w:val="0000EE"/>
                </w:rPr>
                <w:t>By-Laws of the Registrant (incorporated herein by reference to Exhibit 3.1 to the Current Report on</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2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Form 8-K dated February 20, 2018 filed on February 22, 2018).</w:t>
              </w:r>
            </w:hyperlink>
          </w:p>
        </w:tc>
        <w:tc>
          <w:tcPr>
            <w:tcW w:w="308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00" w:type="dxa"/>
            <w:vAlign w:val="bottom"/>
          </w:tcPr>
          <w:p>
            <w:pPr>
              <w:spacing w:after="0"/>
              <w:rPr>
                <w:sz w:val="24"/>
                <w:szCs w:val="24"/>
                <w:color w:val="auto"/>
              </w:rPr>
            </w:pPr>
          </w:p>
        </w:tc>
        <w:tc>
          <w:tcPr>
            <w:tcW w:w="2680" w:type="dxa"/>
            <w:vAlign w:val="bottom"/>
            <w:tcBorders>
              <w:bottom w:val="single" w:sz="8" w:color="0000EE"/>
            </w:tcBorders>
            <w:gridSpan w:val="6"/>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Description of Registrant’s Securities.</w:t>
              </w:r>
            </w:hyperlink>
          </w:p>
        </w:tc>
        <w:tc>
          <w:tcPr>
            <w:tcW w:w="4940" w:type="dxa"/>
            <w:vAlign w:val="bottom"/>
            <w:gridSpan w:val="13"/>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200" w:type="dxa"/>
            <w:vAlign w:val="bottom"/>
          </w:tcPr>
          <w:p>
            <w:pPr>
              <w:spacing w:after="0"/>
              <w:rPr>
                <w:sz w:val="24"/>
                <w:szCs w:val="24"/>
                <w:color w:val="auto"/>
              </w:rPr>
            </w:pPr>
          </w:p>
        </w:tc>
        <w:tc>
          <w:tcPr>
            <w:tcW w:w="7620" w:type="dxa"/>
            <w:vAlign w:val="bottom"/>
            <w:tcBorders>
              <w:bottom w:val="single" w:sz="8" w:color="0000EE"/>
            </w:tcBorders>
            <w:gridSpan w:val="19"/>
          </w:tcPr>
          <w:p>
            <w:pPr>
              <w:spacing w:after="0"/>
              <w:rPr>
                <w:rFonts w:ascii="Arial" w:cs="Arial" w:eastAsia="Arial" w:hAnsi="Arial"/>
                <w:sz w:val="16"/>
                <w:szCs w:val="16"/>
                <w:color w:val="0000EE"/>
              </w:rPr>
            </w:pPr>
            <w:hyperlink r:id="rId140">
              <w:r>
                <w:rPr>
                  <w:rFonts w:ascii="Arial" w:cs="Arial" w:eastAsia="Arial" w:hAnsi="Arial"/>
                  <w:sz w:val="16"/>
                  <w:szCs w:val="16"/>
                  <w:color w:val="0000EE"/>
                </w:rPr>
                <w:t>Indenture, dated as of October 5, 2021, by and among the Registrant, certain guarantors from time to time</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party thereto, and U.S. Bank National Association, as Trustee (incorporated herein by reference to Exhibit</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4.</w:t>
              </w:r>
              <w:r>
                <w:rPr>
                  <w:rFonts w:ascii="Arial" w:cs="Arial" w:eastAsia="Arial" w:hAnsi="Arial"/>
                  <w:sz w:val="16"/>
                  <w:szCs w:val="16"/>
                  <w:u w:val="single" w:color="auto"/>
                  <w:color w:val="0000EE"/>
                </w:rPr>
                <w:t>1</w:t>
              </w:r>
              <w:r>
                <w:rPr>
                  <w:rFonts w:ascii="Arial" w:cs="Arial" w:eastAsia="Arial" w:hAnsi="Arial"/>
                  <w:sz w:val="16"/>
                  <w:szCs w:val="16"/>
                  <w:color w:val="0000EE"/>
                </w:rPr>
                <w:t xml:space="preserve"> to the Current Report on Form 8-K dated September 29, 2021 filed on October 5, 2021.</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200" w:type="dxa"/>
            <w:vAlign w:val="bottom"/>
          </w:tcPr>
          <w:p>
            <w:pPr>
              <w:spacing w:after="0"/>
              <w:rPr>
                <w:sz w:val="24"/>
                <w:szCs w:val="24"/>
                <w:color w:val="auto"/>
              </w:rPr>
            </w:pPr>
          </w:p>
        </w:tc>
        <w:tc>
          <w:tcPr>
            <w:tcW w:w="7620" w:type="dxa"/>
            <w:vAlign w:val="bottom"/>
            <w:tcBorders>
              <w:bottom w:val="single" w:sz="8" w:color="0000EE"/>
            </w:tcBorders>
            <w:gridSpan w:val="19"/>
          </w:tcPr>
          <w:p>
            <w:pPr>
              <w:spacing w:after="0"/>
              <w:rPr>
                <w:rFonts w:ascii="Arial" w:cs="Arial" w:eastAsia="Arial" w:hAnsi="Arial"/>
                <w:sz w:val="16"/>
                <w:szCs w:val="16"/>
                <w:color w:val="0000EE"/>
              </w:rPr>
            </w:pPr>
            <w:hyperlink r:id="rId141">
              <w:r>
                <w:rPr>
                  <w:rFonts w:ascii="Arial" w:cs="Arial" w:eastAsia="Arial" w:hAnsi="Arial"/>
                  <w:sz w:val="16"/>
                  <w:szCs w:val="16"/>
                  <w:color w:val="0000EE"/>
                </w:rPr>
                <w:t>Form  of  4%  Senior  Notes  due  2029  (incorporated  herein  by  reference  to  Exhibit  4.</w:t>
              </w:r>
              <w:r>
                <w:rPr>
                  <w:rFonts w:ascii="Arial" w:cs="Arial" w:eastAsia="Arial" w:hAnsi="Arial"/>
                  <w:sz w:val="16"/>
                  <w:szCs w:val="16"/>
                  <w:u w:val="single" w:color="auto"/>
                  <w:color w:val="0000EE"/>
                </w:rPr>
                <w:t>2</w:t>
              </w:r>
              <w:r>
                <w:rPr>
                  <w:rFonts w:ascii="Arial" w:cs="Arial" w:eastAsia="Arial" w:hAnsi="Arial"/>
                  <w:sz w:val="16"/>
                  <w:szCs w:val="16"/>
                  <w:color w:val="0000EE"/>
                </w:rPr>
                <w:t xml:space="preserve">  to  the</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Borders>
              <w:bottom w:val="single" w:sz="8" w:color="0000EE"/>
            </w:tcBorders>
            <w:gridSpan w:val="4"/>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September 29, 2021 Form 8-K).</w:t>
              </w:r>
            </w:hyperlink>
          </w:p>
        </w:tc>
        <w:tc>
          <w:tcPr>
            <w:tcW w:w="5340" w:type="dxa"/>
            <w:vAlign w:val="bottom"/>
            <w:gridSpan w:val="15"/>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6"/>
                <w:szCs w:val="16"/>
                <w:color w:val="0000EE"/>
              </w:rPr>
            </w:pPr>
            <w:hyperlink r:id="rId142">
              <w:r>
                <w:rPr>
                  <w:rFonts w:ascii="Arial" w:cs="Arial" w:eastAsia="Arial" w:hAnsi="Arial"/>
                  <w:sz w:val="16"/>
                  <w:szCs w:val="16"/>
                  <w:color w:val="0000EE"/>
                </w:rPr>
                <w:t>Credit Agreement, dated as of May 19, 2016, among the Registrant, the guarantors party thereto, the</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lenders party thereto and Wells Fargo, National Association, as agent, letter of credit issuer and swing line</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lender (incorporated herein by reference to Exhibit 10.1 to the Current Report on Form 8-K dated May 19,</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tcBorders>
              <w:bottom w:val="single" w:sz="8" w:color="0000EE"/>
            </w:tcBorders>
            <w:gridSpan w:val="3"/>
          </w:tcPr>
          <w:p>
            <w:pPr>
              <w:spacing w:after="0" w:line="169" w:lineRule="exact"/>
              <w:rPr>
                <w:rFonts w:ascii="Arial" w:cs="Arial" w:eastAsia="Arial" w:hAnsi="Arial"/>
                <w:sz w:val="16"/>
                <w:szCs w:val="16"/>
                <w:color w:val="0000EE"/>
                <w:w w:val="99"/>
              </w:rPr>
            </w:pPr>
            <w:hyperlink r:id="rId142">
              <w:r>
                <w:rPr>
                  <w:rFonts w:ascii="Arial" w:cs="Arial" w:eastAsia="Arial" w:hAnsi="Arial"/>
                  <w:sz w:val="16"/>
                  <w:szCs w:val="16"/>
                  <w:color w:val="0000EE"/>
                  <w:w w:val="99"/>
                </w:rPr>
                <w:t>2016 filed on May 19, 2016).</w:t>
              </w:r>
            </w:hyperlink>
          </w:p>
        </w:tc>
        <w:tc>
          <w:tcPr>
            <w:tcW w:w="5580" w:type="dxa"/>
            <w:vAlign w:val="bottom"/>
            <w:gridSpan w:val="16"/>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6"/>
                <w:szCs w:val="16"/>
                <w:color w:val="0000EE"/>
              </w:rPr>
            </w:pPr>
            <w:hyperlink r:id="rId143">
              <w:r>
                <w:rPr>
                  <w:rFonts w:ascii="Arial" w:cs="Arial" w:eastAsia="Arial" w:hAnsi="Arial"/>
                  <w:sz w:val="16"/>
                  <w:szCs w:val="16"/>
                  <w:color w:val="0000EE"/>
                </w:rPr>
                <w:t>Amendment No. 1 to Credit Agreement, dated as of July 14, 2020, among the Registrant, the guarantors</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party thereto, the lenders party thereto, and Wells Fargo, National Association, as administrative agent,</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letter of credit issuer, and swing line lender (incorporated herein by reference to Exhibit 10.1 to the Current</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60" w:type="dxa"/>
            <w:vAlign w:val="bottom"/>
            <w:tcBorders>
              <w:top w:val="single" w:sz="8" w:color="0000EE"/>
              <w:bottom w:val="single" w:sz="8" w:color="0000EE"/>
            </w:tcBorders>
            <w:gridSpan w:val="12"/>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Report on Form 8-K dated July 14, 2020 filed on July 16, 2020).</w:t>
              </w:r>
            </w:hyperlink>
          </w:p>
        </w:tc>
        <w:tc>
          <w:tcPr>
            <w:tcW w:w="3040" w:type="dxa"/>
            <w:vAlign w:val="bottom"/>
            <w:tcBorders>
              <w:top w:val="single" w:sz="8" w:color="0000EE"/>
            </w:tcBorders>
            <w:gridSpan w:val="6"/>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24"/>
                <w:szCs w:val="24"/>
                <w:color w:val="auto"/>
              </w:rPr>
            </w:pPr>
          </w:p>
        </w:tc>
        <w:tc>
          <w:tcPr>
            <w:tcW w:w="7620" w:type="dxa"/>
            <w:vAlign w:val="bottom"/>
            <w:tcBorders>
              <w:bottom w:val="single" w:sz="8" w:color="0000EE"/>
            </w:tcBorders>
            <w:gridSpan w:val="19"/>
          </w:tcPr>
          <w:p>
            <w:pPr>
              <w:spacing w:after="0"/>
              <w:rPr>
                <w:rFonts w:ascii="Arial" w:cs="Arial" w:eastAsia="Arial" w:hAnsi="Arial"/>
                <w:sz w:val="16"/>
                <w:szCs w:val="16"/>
                <w:color w:val="0000EE"/>
              </w:rPr>
            </w:pPr>
            <w:hyperlink r:id="rId144">
              <w:r>
                <w:rPr>
                  <w:rFonts w:ascii="Arial" w:cs="Arial" w:eastAsia="Arial" w:hAnsi="Arial"/>
                  <w:sz w:val="16"/>
                  <w:szCs w:val="16"/>
                  <w:color w:val="0000EE"/>
                </w:rPr>
                <w:t>Amendment No. 2 to Credit Agreement, dated as of May 19, 2021, among the Registrant, the guarantors</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party thereto, the lenders party thereto, and Wells Fargo, National Association, as administrative agent,</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letter of credit issuer, and swing line lender (incorporated by reference to Exhibit 10.1 to the Form 8-K filed</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by Foot Locker, Inc. on May 20, 2021).</w:t>
              </w:r>
            </w:hyperlink>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740" w:type="dxa"/>
            <w:vAlign w:val="bottom"/>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8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10.4†</w:t>
            </w:r>
          </w:p>
        </w:tc>
        <w:tc>
          <w:tcPr>
            <w:tcW w:w="200" w:type="dxa"/>
            <w:vAlign w:val="bottom"/>
          </w:tcPr>
          <w:p>
            <w:pPr>
              <w:spacing w:after="0"/>
              <w:rPr>
                <w:sz w:val="24"/>
                <w:szCs w:val="24"/>
                <w:color w:val="auto"/>
              </w:rPr>
            </w:pPr>
          </w:p>
        </w:tc>
        <w:tc>
          <w:tcPr>
            <w:tcW w:w="7620" w:type="dxa"/>
            <w:vAlign w:val="bottom"/>
            <w:tcBorders>
              <w:bottom w:val="single" w:sz="8" w:color="0000EE"/>
            </w:tcBorders>
            <w:gridSpan w:val="19"/>
          </w:tcPr>
          <w:p>
            <w:pPr>
              <w:spacing w:after="0"/>
              <w:rPr>
                <w:rFonts w:ascii="Arial" w:cs="Arial" w:eastAsia="Arial" w:hAnsi="Arial"/>
                <w:sz w:val="16"/>
                <w:szCs w:val="16"/>
                <w:color w:val="0000EE"/>
              </w:rPr>
            </w:pPr>
            <w:hyperlink r:id="rId145">
              <w:r>
                <w:rPr>
                  <w:rFonts w:ascii="Arial" w:cs="Arial" w:eastAsia="Arial" w:hAnsi="Arial"/>
                  <w:sz w:val="16"/>
                  <w:szCs w:val="16"/>
                  <w:color w:val="0000EE"/>
                </w:rPr>
                <w:t>2007 Stock Incentive Plan, amended and restated as of May 21, 2014 (incorporated herein by reference to</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Exhibit 10.3 to the Current Report on Form 8-K dated December 23, 2014 filed on December 31, 2014.</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9"/>
            <w:shd w:val="clear" w:color="auto" w:fill="0000EE"/>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10.5†</w:t>
            </w:r>
          </w:p>
        </w:tc>
        <w:tc>
          <w:tcPr>
            <w:tcW w:w="20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6"/>
                <w:szCs w:val="16"/>
                <w:color w:val="0000EE"/>
              </w:rPr>
            </w:pPr>
            <w:hyperlink r:id="rId146">
              <w:r>
                <w:rPr>
                  <w:rFonts w:ascii="Arial" w:cs="Arial" w:eastAsia="Arial" w:hAnsi="Arial"/>
                  <w:sz w:val="16"/>
                  <w:szCs w:val="16"/>
                  <w:color w:val="0000EE"/>
                </w:rPr>
                <w:t>Amendment No. 1 to 2007 Stock Incentive Plan, amended and restated as of May 21, 2014 (incorporated</w:t>
              </w:r>
            </w:hyperlink>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9"/>
            <w:shd w:val="clear" w:color="auto" w:fill="0000EE"/>
          </w:tcPr>
          <w:p>
            <w:pPr>
              <w:spacing w:after="0" w:line="20" w:lineRule="exact"/>
              <w:rPr>
                <w:sz w:val="1"/>
                <w:szCs w:val="1"/>
                <w:color w:val="auto"/>
              </w:rPr>
            </w:pPr>
          </w:p>
        </w:tc>
        <w:tc>
          <w:tcPr>
            <w:tcW w:w="3680" w:type="dxa"/>
            <w:vAlign w:val="bottom"/>
            <w:gridSpan w:val="6"/>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20" w:type="dxa"/>
            <w:vAlign w:val="bottom"/>
            <w:gridSpan w:val="19"/>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herein by reference to Exhibit 10.5 to the Annual Report on Form 10-K for the fiscal year ended</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tcBorders>
              <w:top w:val="single" w:sz="8" w:color="0000EE"/>
              <w:bottom w:val="single" w:sz="8" w:color="0000EE"/>
            </w:tcBorders>
            <w:gridSpan w:val="9"/>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January 28, 2017 filed on March 23, 2017).</w:t>
              </w:r>
            </w:hyperlink>
          </w:p>
        </w:tc>
        <w:tc>
          <w:tcPr>
            <w:tcW w:w="4480" w:type="dxa"/>
            <w:vAlign w:val="bottom"/>
            <w:tcBorders>
              <w:top w:val="single" w:sz="8" w:color="0000EE"/>
            </w:tcBorders>
            <w:gridSpan w:val="9"/>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10.6†</w:t>
            </w:r>
          </w:p>
        </w:tc>
        <w:tc>
          <w:tcPr>
            <w:tcW w:w="200" w:type="dxa"/>
            <w:vAlign w:val="bottom"/>
          </w:tcPr>
          <w:p>
            <w:pPr>
              <w:spacing w:after="0"/>
              <w:rPr>
                <w:sz w:val="24"/>
                <w:szCs w:val="24"/>
                <w:color w:val="auto"/>
              </w:rPr>
            </w:pPr>
          </w:p>
        </w:tc>
        <w:tc>
          <w:tcPr>
            <w:tcW w:w="7620" w:type="dxa"/>
            <w:vAlign w:val="bottom"/>
            <w:gridSpan w:val="19"/>
          </w:tcPr>
          <w:p>
            <w:pPr>
              <w:spacing w:after="0"/>
              <w:rPr>
                <w:rFonts w:ascii="Arial" w:cs="Arial" w:eastAsia="Arial" w:hAnsi="Arial"/>
                <w:sz w:val="16"/>
                <w:szCs w:val="16"/>
                <w:color w:val="0000EE"/>
              </w:rPr>
            </w:pPr>
            <w:hyperlink r:id="rId147">
              <w:r>
                <w:rPr>
                  <w:rFonts w:ascii="Arial" w:cs="Arial" w:eastAsia="Arial" w:hAnsi="Arial"/>
                  <w:sz w:val="16"/>
                  <w:szCs w:val="16"/>
                  <w:color w:val="0000EE"/>
                </w:rPr>
                <w:t>Long-Term Incentive Compensation Plan, as amended and restated (incorporated herein by reference to</w:t>
              </w:r>
            </w:hyperlink>
          </w:p>
        </w:tc>
      </w:tr>
      <w:tr>
        <w:trPr>
          <w:trHeight w:val="169"/>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Exhibit 10.3 to the Current Report on Form 8-K dated March 23, 2016 filed on March 29, 2016).</w:t>
              </w:r>
            </w:hyperlink>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6"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2021 Form 10-K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3" w:name="page84"/>
    <w:bookmarkEnd w:id="83"/>
    <w:tbl>
      <w:tblPr>
        <w:tblLayout w:type="fixed"/>
        <w:tblInd w:w="60" w:type="dxa"/>
        <w:tblCellMar>
          <w:top w:w="0" w:type="dxa"/>
          <w:left w:w="0" w:type="dxa"/>
          <w:bottom w:w="0" w:type="dxa"/>
          <w:right w:w="0" w:type="dxa"/>
        </w:tblCellMar>
      </w:tblPr>
      <w:tr>
        <w:trPr>
          <w:trHeight w:val="207"/>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Exhibit No.</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8"/>
          </w:tcPr>
          <w:p>
            <w:pPr>
              <w:ind w:left="460"/>
              <w:spacing w:after="0"/>
              <w:rPr>
                <w:sz w:val="20"/>
                <w:szCs w:val="20"/>
                <w:color w:val="auto"/>
              </w:rPr>
            </w:pPr>
            <w:r>
              <w:rPr>
                <w:rFonts w:ascii="Arial" w:cs="Arial" w:eastAsia="Arial" w:hAnsi="Arial"/>
                <w:sz w:val="16"/>
                <w:szCs w:val="16"/>
                <w:b w:val="1"/>
                <w:bCs w:val="1"/>
                <w:color w:val="auto"/>
              </w:rPr>
              <w:t>Description</w:t>
            </w: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56"/>
        </w:trPr>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w w:val="99"/>
              </w:rPr>
              <w:t>10.7†</w:t>
            </w:r>
          </w:p>
        </w:tc>
        <w:tc>
          <w:tcPr>
            <w:tcW w:w="180" w:type="dxa"/>
            <w:vAlign w:val="bottom"/>
          </w:tcPr>
          <w:p>
            <w:pPr>
              <w:spacing w:after="0"/>
              <w:rPr>
                <w:sz w:val="13"/>
                <w:szCs w:val="13"/>
                <w:color w:val="auto"/>
              </w:rPr>
            </w:pPr>
          </w:p>
        </w:tc>
        <w:tc>
          <w:tcPr>
            <w:tcW w:w="7640" w:type="dxa"/>
            <w:vAlign w:val="bottom"/>
            <w:tcBorders>
              <w:bottom w:val="single" w:sz="8" w:color="0000EE"/>
            </w:tcBorders>
            <w:gridSpan w:val="14"/>
          </w:tcPr>
          <w:p>
            <w:pPr>
              <w:spacing w:after="0" w:line="155" w:lineRule="exact"/>
              <w:rPr>
                <w:rFonts w:ascii="Arial" w:cs="Arial" w:eastAsia="Arial" w:hAnsi="Arial"/>
                <w:sz w:val="16"/>
                <w:szCs w:val="16"/>
                <w:color w:val="0000EE"/>
              </w:rPr>
            </w:pPr>
            <w:hyperlink r:id="rId149">
              <w:r>
                <w:rPr>
                  <w:rFonts w:ascii="Arial" w:cs="Arial" w:eastAsia="Arial" w:hAnsi="Arial"/>
                  <w:sz w:val="16"/>
                  <w:szCs w:val="16"/>
                  <w:color w:val="0000EE"/>
                </w:rPr>
                <w:t>Executive Incentive Cash Compensation Plan (incorporated by reference to Exhibit 10.1 to the Current</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8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Report on Form 8-K dated March 28, 2018 filed on April 3, 2018).</w:t>
              </w:r>
            </w:hyperlink>
          </w:p>
        </w:tc>
        <w:tc>
          <w:tcPr>
            <w:tcW w:w="228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10.8†*</w:t>
            </w:r>
          </w:p>
        </w:tc>
        <w:tc>
          <w:tcPr>
            <w:tcW w:w="180" w:type="dxa"/>
            <w:vAlign w:val="bottom"/>
          </w:tcPr>
          <w:p>
            <w:pPr>
              <w:spacing w:after="0"/>
              <w:rPr>
                <w:sz w:val="24"/>
                <w:szCs w:val="24"/>
                <w:color w:val="auto"/>
              </w:rPr>
            </w:pPr>
          </w:p>
        </w:tc>
        <w:tc>
          <w:tcPr>
            <w:tcW w:w="2920" w:type="dxa"/>
            <w:vAlign w:val="bottom"/>
            <w:tcBorders>
              <w:bottom w:val="single" w:sz="8" w:color="0000EE"/>
            </w:tcBorders>
            <w:gridSpan w:val="3"/>
          </w:tcPr>
          <w:p>
            <w:pPr>
              <w:spacing w:after="0"/>
              <w:rPr>
                <w:rFonts w:ascii="Arial" w:cs="Arial" w:eastAsia="Arial" w:hAnsi="Arial"/>
                <w:sz w:val="16"/>
                <w:szCs w:val="16"/>
                <w:color w:val="0000EE"/>
              </w:rPr>
            </w:pPr>
            <w:hyperlink w:anchor="page91">
              <w:r>
                <w:rPr>
                  <w:rFonts w:ascii="Arial" w:cs="Arial" w:eastAsia="Arial" w:hAnsi="Arial"/>
                  <w:sz w:val="16"/>
                  <w:szCs w:val="16"/>
                  <w:color w:val="0000EE"/>
                </w:rPr>
                <w:t>Form of Stock Option Award Agreement.</w:t>
              </w:r>
            </w:hyperlink>
          </w:p>
        </w:tc>
        <w:tc>
          <w:tcPr>
            <w:tcW w:w="4040" w:type="dxa"/>
            <w:vAlign w:val="bottom"/>
            <w:gridSpan w:val="8"/>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10.9†*</w:t>
            </w:r>
          </w:p>
        </w:tc>
        <w:tc>
          <w:tcPr>
            <w:tcW w:w="18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6"/>
                <w:szCs w:val="16"/>
                <w:color w:val="0000EE"/>
              </w:rPr>
            </w:pPr>
            <w:hyperlink w:anchor="page96">
              <w:r>
                <w:rPr>
                  <w:rFonts w:ascii="Arial" w:cs="Arial" w:eastAsia="Arial" w:hAnsi="Arial"/>
                  <w:sz w:val="16"/>
                  <w:szCs w:val="16"/>
                  <w:color w:val="0000EE"/>
                </w:rPr>
                <w:t>Form of Restricted Stock Unit Award Agreement for Executives.</w:t>
              </w:r>
            </w:hyperlink>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10.10†*</w:t>
            </w:r>
          </w:p>
        </w:tc>
        <w:tc>
          <w:tcPr>
            <w:tcW w:w="180" w:type="dxa"/>
            <w:vAlign w:val="bottom"/>
          </w:tcPr>
          <w:p>
            <w:pPr>
              <w:spacing w:after="0"/>
              <w:rPr>
                <w:sz w:val="24"/>
                <w:szCs w:val="24"/>
                <w:color w:val="auto"/>
              </w:rPr>
            </w:pPr>
          </w:p>
        </w:tc>
        <w:tc>
          <w:tcPr>
            <w:tcW w:w="4440" w:type="dxa"/>
            <w:vAlign w:val="bottom"/>
            <w:tcBorders>
              <w:top w:val="single" w:sz="8" w:color="0000EE"/>
              <w:bottom w:val="single" w:sz="8" w:color="0000EE"/>
            </w:tcBorders>
            <w:gridSpan w:val="7"/>
          </w:tcPr>
          <w:p>
            <w:pPr>
              <w:spacing w:after="0"/>
              <w:rPr>
                <w:rFonts w:ascii="Arial" w:cs="Arial" w:eastAsia="Arial" w:hAnsi="Arial"/>
                <w:sz w:val="16"/>
                <w:szCs w:val="16"/>
                <w:color w:val="0000EE"/>
              </w:rPr>
            </w:pPr>
            <w:hyperlink w:anchor="page103">
              <w:r>
                <w:rPr>
                  <w:rFonts w:ascii="Arial" w:cs="Arial" w:eastAsia="Arial" w:hAnsi="Arial"/>
                  <w:sz w:val="16"/>
                  <w:szCs w:val="16"/>
                  <w:color w:val="0000EE"/>
                </w:rPr>
                <w:t>Form of Restricted Stock Unit Award Agreement for Directors.</w:t>
              </w:r>
            </w:hyperlink>
          </w:p>
        </w:tc>
        <w:tc>
          <w:tcPr>
            <w:tcW w:w="120" w:type="dxa"/>
            <w:vAlign w:val="bottom"/>
            <w:tcBorders>
              <w:top w:val="single" w:sz="8" w:color="0000EE"/>
            </w:tcBorders>
          </w:tcPr>
          <w:p>
            <w:pPr>
              <w:spacing w:after="0"/>
              <w:rPr>
                <w:sz w:val="24"/>
                <w:szCs w:val="24"/>
                <w:color w:val="auto"/>
              </w:rPr>
            </w:pPr>
          </w:p>
        </w:tc>
        <w:tc>
          <w:tcPr>
            <w:tcW w:w="2400" w:type="dxa"/>
            <w:vAlign w:val="bottom"/>
            <w:gridSpan w:val="3"/>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10.11†*</w:t>
            </w:r>
          </w:p>
        </w:tc>
        <w:tc>
          <w:tcPr>
            <w:tcW w:w="180" w:type="dxa"/>
            <w:vAlign w:val="bottom"/>
          </w:tcPr>
          <w:p>
            <w:pPr>
              <w:spacing w:after="0"/>
              <w:rPr>
                <w:sz w:val="24"/>
                <w:szCs w:val="24"/>
                <w:color w:val="auto"/>
              </w:rPr>
            </w:pPr>
          </w:p>
        </w:tc>
        <w:tc>
          <w:tcPr>
            <w:tcW w:w="6960" w:type="dxa"/>
            <w:vAlign w:val="bottom"/>
            <w:gridSpan w:val="11"/>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Form of Performance Stock Unit Award Agreement.</w:t>
              </w:r>
            </w:hyperlink>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7"/>
        </w:trPr>
        <w:tc>
          <w:tcPr>
            <w:tcW w:w="1080" w:type="dxa"/>
            <w:vAlign w:val="bottom"/>
          </w:tcPr>
          <w:p>
            <w:pPr>
              <w:jc w:val="center"/>
              <w:spacing w:after="0"/>
              <w:rPr>
                <w:sz w:val="20"/>
                <w:szCs w:val="20"/>
                <w:color w:val="auto"/>
              </w:rPr>
            </w:pPr>
            <w:r>
              <w:rPr>
                <w:rFonts w:ascii="Arial" w:cs="Arial" w:eastAsia="Arial" w:hAnsi="Arial"/>
                <w:sz w:val="16"/>
                <w:szCs w:val="16"/>
                <w:color w:val="auto"/>
              </w:rPr>
              <w:t>10.12†</w:t>
            </w:r>
          </w:p>
        </w:tc>
        <w:tc>
          <w:tcPr>
            <w:tcW w:w="18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Executive Supplemental Retirement Plan (incorporated herein by reference to Exhibit 10(d) to the</w:t>
            </w:r>
          </w:p>
        </w:tc>
      </w:tr>
      <w:tr>
        <w:trPr>
          <w:trHeight w:val="189"/>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Registration Statement on Form 8-B filed on August 7, 1989 (Registration No. 1-10299) (the “8-B</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Registration Statement”)).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080" w:type="dxa"/>
            <w:vAlign w:val="bottom"/>
          </w:tcPr>
          <w:p>
            <w:pPr>
              <w:jc w:val="center"/>
              <w:spacing w:after="0"/>
              <w:rPr>
                <w:sz w:val="20"/>
                <w:szCs w:val="20"/>
                <w:color w:val="auto"/>
              </w:rPr>
            </w:pPr>
            <w:r>
              <w:rPr>
                <w:rFonts w:ascii="Arial" w:cs="Arial" w:eastAsia="Arial" w:hAnsi="Arial"/>
                <w:sz w:val="16"/>
                <w:szCs w:val="16"/>
                <w:color w:val="auto"/>
              </w:rPr>
              <w:t>10.13†</w:t>
            </w:r>
          </w:p>
        </w:tc>
        <w:tc>
          <w:tcPr>
            <w:tcW w:w="18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Amendment No. 1 to Executive Supplemental Retirement Plan (incorporated herein by reference to</w:t>
            </w:r>
          </w:p>
        </w:tc>
      </w:tr>
      <w:tr>
        <w:trPr>
          <w:trHeight w:val="189"/>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Exhibit 10(c)(i) to the Annual Report on Form 10-K for the fiscal year ended January 28, 1995 filed on</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April 24, 1995).</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080" w:type="dxa"/>
            <w:vAlign w:val="bottom"/>
          </w:tcPr>
          <w:p>
            <w:pPr>
              <w:jc w:val="center"/>
              <w:spacing w:after="0"/>
              <w:rPr>
                <w:sz w:val="20"/>
                <w:szCs w:val="20"/>
                <w:color w:val="auto"/>
              </w:rPr>
            </w:pPr>
            <w:r>
              <w:rPr>
                <w:rFonts w:ascii="Arial" w:cs="Arial" w:eastAsia="Arial" w:hAnsi="Arial"/>
                <w:sz w:val="16"/>
                <w:szCs w:val="16"/>
                <w:color w:val="auto"/>
              </w:rPr>
              <w:t>10.14†</w:t>
            </w:r>
          </w:p>
        </w:tc>
        <w:tc>
          <w:tcPr>
            <w:tcW w:w="18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Amendment No. 2 to Executive Supplemental Retirement Plan (incorporated herein by reference to</w:t>
            </w:r>
          </w:p>
        </w:tc>
      </w:tr>
      <w:tr>
        <w:trPr>
          <w:trHeight w:val="189"/>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Exhibit 10(d)(ii) to the Annual Report on Form 10-K for the fiscal year ended January 27, 1996 filed on</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April 26, 1996).</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3"/>
        </w:trPr>
        <w:tc>
          <w:tcPr>
            <w:tcW w:w="1080" w:type="dxa"/>
            <w:vAlign w:val="bottom"/>
          </w:tcPr>
          <w:p>
            <w:pPr>
              <w:jc w:val="center"/>
              <w:spacing w:after="0"/>
              <w:rPr>
                <w:sz w:val="20"/>
                <w:szCs w:val="20"/>
                <w:color w:val="auto"/>
              </w:rPr>
            </w:pPr>
            <w:r>
              <w:rPr>
                <w:rFonts w:ascii="Arial" w:cs="Arial" w:eastAsia="Arial" w:hAnsi="Arial"/>
                <w:sz w:val="16"/>
                <w:szCs w:val="16"/>
                <w:color w:val="auto"/>
              </w:rPr>
              <w:t>10.15†</w:t>
            </w:r>
          </w:p>
        </w:tc>
        <w:tc>
          <w:tcPr>
            <w:tcW w:w="180" w:type="dxa"/>
            <w:vAlign w:val="bottom"/>
          </w:tcPr>
          <w:p>
            <w:pPr>
              <w:spacing w:after="0"/>
              <w:rPr>
                <w:sz w:val="24"/>
                <w:szCs w:val="24"/>
                <w:color w:val="auto"/>
              </w:rPr>
            </w:pPr>
          </w:p>
        </w:tc>
        <w:tc>
          <w:tcPr>
            <w:tcW w:w="7640" w:type="dxa"/>
            <w:vAlign w:val="bottom"/>
            <w:gridSpan w:val="14"/>
          </w:tcPr>
          <w:p>
            <w:pPr>
              <w:spacing w:after="0"/>
              <w:rPr>
                <w:rFonts w:ascii="Arial" w:cs="Arial" w:eastAsia="Arial" w:hAnsi="Arial"/>
                <w:sz w:val="16"/>
                <w:szCs w:val="16"/>
                <w:color w:val="0000EE"/>
              </w:rPr>
            </w:pPr>
            <w:hyperlink r:id="rId150">
              <w:r>
                <w:rPr>
                  <w:rFonts w:ascii="Arial" w:cs="Arial" w:eastAsia="Arial" w:hAnsi="Arial"/>
                  <w:sz w:val="16"/>
                  <w:szCs w:val="16"/>
                  <w:color w:val="0000EE"/>
                </w:rPr>
                <w:t>Supplemental Executive Retirement Plan (the “SERP”), as amended and restated (incorporated herein by</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gridSpan w:val="11"/>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reference  to  Exhibit  10.1  to  the  Current  Report  on  Form  8-K  dated  August  13,  2007</w:t>
              </w:r>
            </w:hyperlink>
          </w:p>
        </w:tc>
        <w:tc>
          <w:tcPr>
            <w:tcW w:w="420" w:type="dxa"/>
            <w:vAlign w:val="bottom"/>
          </w:tcPr>
          <w:p>
            <w:pPr>
              <w:ind w:left="80"/>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filed</w:t>
              </w:r>
            </w:hyperlink>
          </w:p>
        </w:tc>
        <w:tc>
          <w:tcPr>
            <w:tcW w:w="260" w:type="dxa"/>
            <w:vAlign w:val="bottom"/>
            <w:gridSpan w:val="2"/>
          </w:tcPr>
          <w:p>
            <w:pPr>
              <w:ind w:left="60"/>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on</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150">
              <w:r>
                <w:rPr>
                  <w:rFonts w:ascii="Arial" w:cs="Arial" w:eastAsia="Arial" w:hAnsi="Arial"/>
                  <w:sz w:val="16"/>
                  <w:szCs w:val="16"/>
                  <w:color w:val="0000EE"/>
                </w:rPr>
                <w:t>August 17, 2007).</w:t>
              </w:r>
            </w:hyperlink>
          </w:p>
        </w:tc>
        <w:tc>
          <w:tcPr>
            <w:tcW w:w="4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10.16†</w:t>
            </w:r>
          </w:p>
        </w:tc>
        <w:tc>
          <w:tcPr>
            <w:tcW w:w="18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6"/>
                <w:szCs w:val="16"/>
                <w:color w:val="0000EE"/>
              </w:rPr>
            </w:pPr>
            <w:hyperlink r:id="rId151">
              <w:r>
                <w:rPr>
                  <w:rFonts w:ascii="Arial" w:cs="Arial" w:eastAsia="Arial" w:hAnsi="Arial"/>
                  <w:sz w:val="16"/>
                  <w:szCs w:val="16"/>
                  <w:color w:val="0000EE"/>
                </w:rPr>
                <w:t>Amendment No. 1 to SERP (incorporated herein by reference to Exhibit 10.1 to the Current Report on</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gridSpan w:val="11"/>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Form 8-K dated May 25, 2011 filed on May 27, 2011).</w:t>
              </w:r>
            </w:hyperlink>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10.17†</w:t>
            </w:r>
          </w:p>
        </w:tc>
        <w:tc>
          <w:tcPr>
            <w:tcW w:w="18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6"/>
                <w:szCs w:val="16"/>
                <w:color w:val="0000EE"/>
              </w:rPr>
            </w:pPr>
            <w:hyperlink r:id="rId152">
              <w:r>
                <w:rPr>
                  <w:rFonts w:ascii="Arial" w:cs="Arial" w:eastAsia="Arial" w:hAnsi="Arial"/>
                  <w:sz w:val="16"/>
                  <w:szCs w:val="16"/>
                  <w:color w:val="0000EE"/>
                </w:rPr>
                <w:t>Amendment No. 2 to SERP (incorporated herein by reference to Exhibit 10.3 to the Current Report on</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gridSpan w:val="11"/>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Form 8-K dated March 26, 2014 filed on April 1, 2014.</w:t>
              </w:r>
            </w:hyperlink>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10.18†</w:t>
            </w:r>
          </w:p>
        </w:tc>
        <w:tc>
          <w:tcPr>
            <w:tcW w:w="180" w:type="dxa"/>
            <w:vAlign w:val="bottom"/>
          </w:tcPr>
          <w:p>
            <w:pPr>
              <w:spacing w:after="0"/>
              <w:rPr>
                <w:sz w:val="24"/>
                <w:szCs w:val="24"/>
                <w:color w:val="auto"/>
              </w:rPr>
            </w:pPr>
          </w:p>
        </w:tc>
        <w:tc>
          <w:tcPr>
            <w:tcW w:w="7640" w:type="dxa"/>
            <w:vAlign w:val="bottom"/>
            <w:tcBorders>
              <w:bottom w:val="single" w:sz="8" w:color="0000EE"/>
            </w:tcBorders>
            <w:gridSpan w:val="14"/>
          </w:tcPr>
          <w:p>
            <w:pPr>
              <w:spacing w:after="0"/>
              <w:rPr>
                <w:rFonts w:ascii="Arial" w:cs="Arial" w:eastAsia="Arial" w:hAnsi="Arial"/>
                <w:sz w:val="16"/>
                <w:szCs w:val="16"/>
                <w:color w:val="0000EE"/>
              </w:rPr>
            </w:pPr>
            <w:hyperlink r:id="rId153">
              <w:r>
                <w:rPr>
                  <w:rFonts w:ascii="Arial" w:cs="Arial" w:eastAsia="Arial" w:hAnsi="Arial"/>
                  <w:sz w:val="16"/>
                  <w:szCs w:val="16"/>
                  <w:color w:val="0000EE"/>
                </w:rPr>
                <w:t>Amendment No. 3 to SERP (incorporated herein by reference to Exhibit 10.1 to the Current Report on</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60" w:type="dxa"/>
            <w:vAlign w:val="bottom"/>
            <w:gridSpan w:val="11"/>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Form 8-K dated May 22, 2019 filed on May 28, 2019).</w:t>
              </w:r>
            </w:hyperlink>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10.19†</w:t>
            </w:r>
          </w:p>
        </w:tc>
        <w:tc>
          <w:tcPr>
            <w:tcW w:w="180" w:type="dxa"/>
            <w:vAlign w:val="bottom"/>
          </w:tcPr>
          <w:p>
            <w:pPr>
              <w:spacing w:after="0"/>
              <w:rPr>
                <w:sz w:val="24"/>
                <w:szCs w:val="24"/>
                <w:color w:val="auto"/>
              </w:rPr>
            </w:pPr>
          </w:p>
        </w:tc>
        <w:tc>
          <w:tcPr>
            <w:tcW w:w="7640" w:type="dxa"/>
            <w:vAlign w:val="bottom"/>
            <w:gridSpan w:val="14"/>
          </w:tcPr>
          <w:p>
            <w:pPr>
              <w:spacing w:after="0"/>
              <w:rPr>
                <w:rFonts w:ascii="Arial" w:cs="Arial" w:eastAsia="Arial" w:hAnsi="Arial"/>
                <w:sz w:val="16"/>
                <w:szCs w:val="16"/>
                <w:color w:val="0000EE"/>
              </w:rPr>
            </w:pPr>
            <w:hyperlink r:id="rId154">
              <w:r>
                <w:rPr>
                  <w:rFonts w:ascii="Arial" w:cs="Arial" w:eastAsia="Arial" w:hAnsi="Arial"/>
                  <w:sz w:val="16"/>
                  <w:szCs w:val="16"/>
                  <w:color w:val="0000EE"/>
                </w:rPr>
                <w:t>Amendment No. 4 to SERP (incorporated herein by reference to Exhibit 10.1 to the Quarterly Report on</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80" w:type="dxa"/>
            <w:vAlign w:val="bottom"/>
            <w:tcBorders>
              <w:top w:val="single" w:sz="8" w:color="0000EE"/>
              <w:bottom w:val="single" w:sz="8" w:color="0000EE"/>
            </w:tcBorders>
            <w:gridSpan w:val="10"/>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Form 10-Q for the quarterly period ended August 3, 2019 filed on September 11, 2019).</w:t>
              </w:r>
            </w:hyperlink>
          </w:p>
        </w:tc>
        <w:tc>
          <w:tcPr>
            <w:tcW w:w="6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387"/>
        </w:trPr>
        <w:tc>
          <w:tcPr>
            <w:tcW w:w="1080" w:type="dxa"/>
            <w:vAlign w:val="bottom"/>
          </w:tcPr>
          <w:p>
            <w:pPr>
              <w:jc w:val="center"/>
              <w:spacing w:after="0"/>
              <w:rPr>
                <w:sz w:val="20"/>
                <w:szCs w:val="20"/>
                <w:color w:val="auto"/>
              </w:rPr>
            </w:pPr>
            <w:r>
              <w:rPr>
                <w:rFonts w:ascii="Arial" w:cs="Arial" w:eastAsia="Arial" w:hAnsi="Arial"/>
                <w:sz w:val="16"/>
                <w:szCs w:val="16"/>
                <w:color w:val="auto"/>
              </w:rPr>
              <w:t>10.20†</w:t>
            </w:r>
          </w:p>
        </w:tc>
        <w:tc>
          <w:tcPr>
            <w:tcW w:w="18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Directors’ Retirement Plan, as amended (incorporated herein by reference to Exhibit 10(k) to the 8-B</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Registration Statement).</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2"/>
        </w:trPr>
        <w:tc>
          <w:tcPr>
            <w:tcW w:w="1080" w:type="dxa"/>
            <w:vAlign w:val="bottom"/>
          </w:tcPr>
          <w:p>
            <w:pPr>
              <w:jc w:val="center"/>
              <w:spacing w:after="0"/>
              <w:rPr>
                <w:sz w:val="20"/>
                <w:szCs w:val="20"/>
                <w:color w:val="auto"/>
              </w:rPr>
            </w:pPr>
            <w:r>
              <w:rPr>
                <w:rFonts w:ascii="Arial" w:cs="Arial" w:eastAsia="Arial" w:hAnsi="Arial"/>
                <w:sz w:val="16"/>
                <w:szCs w:val="16"/>
                <w:color w:val="auto"/>
              </w:rPr>
              <w:t>10.21†</w:t>
            </w:r>
          </w:p>
        </w:tc>
        <w:tc>
          <w:tcPr>
            <w:tcW w:w="180" w:type="dxa"/>
            <w:vAlign w:val="bottom"/>
          </w:tcPr>
          <w:p>
            <w:pPr>
              <w:spacing w:after="0"/>
              <w:rPr>
                <w:sz w:val="24"/>
                <w:szCs w:val="24"/>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rPr>
              <w:t>Amendment No. 1 to Directors’ Retirement Plan (incorporated herein by reference to Exhibit 10(c) to the</w:t>
            </w:r>
          </w:p>
        </w:tc>
      </w:tr>
      <w:tr>
        <w:trPr>
          <w:trHeight w:val="189"/>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Quarterly  Report  on  Form  10-Q  for  the  quarterly  period  ended  October  28,  1995</w:t>
            </w:r>
          </w:p>
        </w:tc>
        <w:tc>
          <w:tcPr>
            <w:tcW w:w="420" w:type="dxa"/>
            <w:vAlign w:val="bottom"/>
          </w:tcPr>
          <w:p>
            <w:pPr>
              <w:ind w:left="40"/>
              <w:spacing w:after="0"/>
              <w:rPr>
                <w:sz w:val="20"/>
                <w:szCs w:val="20"/>
                <w:color w:val="auto"/>
              </w:rPr>
            </w:pPr>
            <w:r>
              <w:rPr>
                <w:rFonts w:ascii="Arial" w:cs="Arial" w:eastAsia="Arial" w:hAnsi="Arial"/>
                <w:sz w:val="16"/>
                <w:szCs w:val="16"/>
                <w:color w:val="auto"/>
              </w:rPr>
              <w:t>filed</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on</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960" w:type="dxa"/>
            <w:vAlign w:val="bottom"/>
            <w:gridSpan w:val="11"/>
          </w:tcPr>
          <w:p>
            <w:pPr>
              <w:spacing w:after="0"/>
              <w:rPr>
                <w:sz w:val="20"/>
                <w:szCs w:val="20"/>
                <w:color w:val="auto"/>
              </w:rPr>
            </w:pPr>
            <w:r>
              <w:rPr>
                <w:rFonts w:ascii="Arial" w:cs="Arial" w:eastAsia="Arial" w:hAnsi="Arial"/>
                <w:sz w:val="16"/>
                <w:szCs w:val="16"/>
                <w:color w:val="auto"/>
              </w:rPr>
              <w:t>December 11, 1995).</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83" w:lineRule="exact"/>
        <w:rPr>
          <w:sz w:val="20"/>
          <w:szCs w:val="20"/>
          <w:color w:val="auto"/>
        </w:rPr>
      </w:pPr>
    </w:p>
    <w:p>
      <w:pPr>
        <w:ind w:left="1320" w:right="59" w:hanging="976"/>
        <w:spacing w:after="0" w:line="260"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155">
        <w:r>
          <w:rPr>
            <w:rFonts w:ascii="Arial" w:cs="Arial" w:eastAsia="Arial" w:hAnsi="Arial"/>
            <w:sz w:val="16"/>
            <w:szCs w:val="16"/>
            <w:u w:val="single" w:color="auto"/>
            <w:color w:val="0000EE"/>
          </w:rPr>
          <w:t>Excess Cash Balance Plan (incorporated herein by reference to Exhibit 10.22 to the Annual Report on</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Form 10-K for the fiscal year ended January 31, 2009 filed on March 30, 2009 (the “2008 Form 10-K”)).</w:t>
        </w:r>
      </w:hyperlink>
    </w:p>
    <w:p>
      <w:pPr>
        <w:spacing w:after="0" w:line="168" w:lineRule="exact"/>
        <w:rPr>
          <w:sz w:val="20"/>
          <w:szCs w:val="20"/>
          <w:color w:val="auto"/>
        </w:rPr>
      </w:pPr>
    </w:p>
    <w:p>
      <w:pPr>
        <w:ind w:left="1320" w:right="59" w:hanging="976"/>
        <w:spacing w:after="0" w:line="260"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156">
        <w:r>
          <w:rPr>
            <w:rFonts w:ascii="Arial" w:cs="Arial" w:eastAsia="Arial" w:hAnsi="Arial"/>
            <w:sz w:val="16"/>
            <w:szCs w:val="16"/>
            <w:u w:val="single" w:color="auto"/>
            <w:color w:val="0000EE"/>
          </w:rPr>
          <w:t>Excess Savings Plan (incorporated herein by reference to Exhibit 10.25 to the Annual Report on Form 10-</w:t>
        </w:r>
      </w:hyperlink>
      <w:hyperlink r:id="rId156">
        <w:r>
          <w:rPr>
            <w:rFonts w:ascii="Arial" w:cs="Arial" w:eastAsia="Arial" w:hAnsi="Arial"/>
            <w:sz w:val="16"/>
            <w:szCs w:val="16"/>
            <w:u w:val="single" w:color="auto"/>
            <w:color w:val="0000EE"/>
          </w:rPr>
          <w:t>K for the fiscal year ended January 30, 2021 filed on March 25, 2021).</w:t>
        </w:r>
      </w:hyperlink>
    </w:p>
    <w:p>
      <w:pPr>
        <w:spacing w:after="0" w:line="168" w:lineRule="exact"/>
        <w:rPr>
          <w:sz w:val="20"/>
          <w:szCs w:val="20"/>
          <w:color w:val="auto"/>
        </w:rPr>
      </w:pPr>
    </w:p>
    <w:p>
      <w:pPr>
        <w:ind w:left="1320" w:right="79" w:hanging="976"/>
        <w:spacing w:after="0" w:line="260"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157">
        <w:r>
          <w:rPr>
            <w:rFonts w:ascii="Arial" w:cs="Arial" w:eastAsia="Arial" w:hAnsi="Arial"/>
            <w:sz w:val="16"/>
            <w:szCs w:val="16"/>
            <w:u w:val="single" w:color="auto"/>
            <w:color w:val="0000EE"/>
          </w:rPr>
          <w:t>Automobile Expense Reimbursement Program for Senior Executives (incorporated herein by reference to</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Exhibit 10.26 to the 2008 Form 10-K).</w:t>
        </w:r>
      </w:hyperlink>
    </w:p>
    <w:p>
      <w:pPr>
        <w:spacing w:after="0" w:line="168" w:lineRule="exact"/>
        <w:rPr>
          <w:sz w:val="20"/>
          <w:szCs w:val="20"/>
          <w:color w:val="auto"/>
        </w:rPr>
      </w:pPr>
    </w:p>
    <w:p>
      <w:pPr>
        <w:ind w:left="1320" w:right="59" w:hanging="976"/>
        <w:spacing w:after="0" w:line="260"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158">
        <w:r>
          <w:rPr>
            <w:rFonts w:ascii="Arial" w:cs="Arial" w:eastAsia="Arial" w:hAnsi="Arial"/>
            <w:sz w:val="16"/>
            <w:szCs w:val="16"/>
            <w:u w:val="single" w:color="auto"/>
            <w:color w:val="0000EE"/>
          </w:rPr>
          <w:t>Executive Medical Expense Allowance Program for Senior Executives (incorporated herein by reference to</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Exhibit 10.27 to the 2008 Form 10-K).</w:t>
        </w:r>
      </w:hyperlink>
    </w:p>
    <w:p>
      <w:pPr>
        <w:spacing w:after="0" w:line="168" w:lineRule="exact"/>
        <w:rPr>
          <w:sz w:val="20"/>
          <w:szCs w:val="20"/>
          <w:color w:val="auto"/>
        </w:rPr>
      </w:pPr>
    </w:p>
    <w:p>
      <w:pPr>
        <w:ind w:left="1320" w:right="79" w:hanging="976"/>
        <w:spacing w:after="0" w:line="260" w:lineRule="auto"/>
        <w:tabs>
          <w:tab w:leader="none" w:pos="1300"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159">
        <w:r>
          <w:rPr>
            <w:rFonts w:ascii="Arial" w:cs="Arial" w:eastAsia="Arial" w:hAnsi="Arial"/>
            <w:sz w:val="16"/>
            <w:szCs w:val="16"/>
            <w:u w:val="single" w:color="auto"/>
            <w:color w:val="0000EE"/>
          </w:rPr>
          <w:t>Financial Planning Allowance Program for Senior Executives (incorporated herein by reference to</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Exhibit 10.28 to the 2008 Form 10-K).</w:t>
        </w:r>
      </w:hyperlink>
    </w:p>
    <w:p>
      <w:pPr>
        <w:spacing w:after="0" w:line="160"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2021 Form 10-K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84" w:name="page85"/>
    <w:bookmarkEnd w:id="84"/>
    <w:tbl>
      <w:tblPr>
        <w:tblLayout w:type="fixed"/>
        <w:tblInd w:w="60" w:type="dxa"/>
        <w:tblCellMar>
          <w:top w:w="0" w:type="dxa"/>
          <w:left w:w="0" w:type="dxa"/>
          <w:bottom w:w="0" w:type="dxa"/>
          <w:right w:w="0" w:type="dxa"/>
        </w:tblCellMar>
      </w:tblPr>
      <w:tr>
        <w:trPr>
          <w:trHeight w:val="207"/>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No.</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9"/>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156"/>
        </w:trPr>
        <w:tc>
          <w:tcPr>
            <w:tcW w:w="1080" w:type="dxa"/>
            <w:vAlign w:val="bottom"/>
          </w:tcPr>
          <w:p>
            <w:pPr>
              <w:jc w:val="center"/>
              <w:spacing w:after="0" w:line="155" w:lineRule="exact"/>
              <w:rPr>
                <w:sz w:val="20"/>
                <w:szCs w:val="20"/>
                <w:color w:val="auto"/>
              </w:rPr>
            </w:pPr>
            <w:r>
              <w:rPr>
                <w:rFonts w:ascii="Arial" w:cs="Arial" w:eastAsia="Arial" w:hAnsi="Arial"/>
                <w:sz w:val="16"/>
                <w:szCs w:val="16"/>
                <w:color w:val="auto"/>
                <w:w w:val="99"/>
              </w:rPr>
              <w:t>10.27</w:t>
            </w:r>
          </w:p>
        </w:tc>
        <w:tc>
          <w:tcPr>
            <w:tcW w:w="180" w:type="dxa"/>
            <w:vAlign w:val="bottom"/>
          </w:tcPr>
          <w:p>
            <w:pPr>
              <w:spacing w:after="0"/>
              <w:rPr>
                <w:sz w:val="13"/>
                <w:szCs w:val="13"/>
                <w:color w:val="auto"/>
              </w:rPr>
            </w:pPr>
          </w:p>
        </w:tc>
        <w:tc>
          <w:tcPr>
            <w:tcW w:w="7640" w:type="dxa"/>
            <w:vAlign w:val="bottom"/>
            <w:tcBorders>
              <w:bottom w:val="single" w:sz="8" w:color="0000EE"/>
            </w:tcBorders>
            <w:gridSpan w:val="13"/>
          </w:tcPr>
          <w:p>
            <w:pPr>
              <w:spacing w:after="0" w:line="155" w:lineRule="exact"/>
              <w:rPr>
                <w:rFonts w:ascii="Arial" w:cs="Arial" w:eastAsia="Arial" w:hAnsi="Arial"/>
                <w:sz w:val="16"/>
                <w:szCs w:val="16"/>
                <w:color w:val="0000EE"/>
              </w:rPr>
            </w:pPr>
            <w:hyperlink r:id="rId161">
              <w:r>
                <w:rPr>
                  <w:rFonts w:ascii="Arial" w:cs="Arial" w:eastAsia="Arial" w:hAnsi="Arial"/>
                  <w:sz w:val="16"/>
                  <w:szCs w:val="16"/>
                  <w:color w:val="0000EE"/>
                </w:rPr>
                <w:t>Long-Term Disability Program for Senior Executives (incorporated herein by reference to Exhibit 10.32 to</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gridSpan w:val="13"/>
          </w:tcPr>
          <w:p>
            <w:pPr>
              <w:spacing w:after="0" w:line="169" w:lineRule="exact"/>
              <w:rPr>
                <w:rFonts w:ascii="Arial" w:cs="Arial" w:eastAsia="Arial" w:hAnsi="Arial"/>
                <w:sz w:val="16"/>
                <w:szCs w:val="16"/>
                <w:color w:val="0000EE"/>
              </w:rPr>
            </w:pPr>
            <w:hyperlink r:id="rId161">
              <w:r>
                <w:rPr>
                  <w:rFonts w:ascii="Arial" w:cs="Arial" w:eastAsia="Arial" w:hAnsi="Arial"/>
                  <w:sz w:val="16"/>
                  <w:szCs w:val="16"/>
                  <w:color w:val="0000EE"/>
                </w:rPr>
                <w:t>the 2008 Form 10-K).</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1080" w:type="dxa"/>
            <w:vAlign w:val="bottom"/>
          </w:tcPr>
          <w:p>
            <w:pPr>
              <w:jc w:val="center"/>
              <w:spacing w:after="0"/>
              <w:rPr>
                <w:sz w:val="20"/>
                <w:szCs w:val="20"/>
                <w:color w:val="auto"/>
              </w:rPr>
            </w:pPr>
            <w:r>
              <w:rPr>
                <w:rFonts w:ascii="Arial" w:cs="Arial" w:eastAsia="Arial" w:hAnsi="Arial"/>
                <w:sz w:val="16"/>
                <w:szCs w:val="16"/>
                <w:color w:val="auto"/>
              </w:rPr>
              <w:t>10.28*</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Form of Indemnification Agreement, as amended.</w:t>
            </w:r>
          </w:p>
        </w:tc>
      </w:tr>
      <w:tr>
        <w:trPr>
          <w:trHeight w:val="372"/>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10.29</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Trust Agreement dated as of November 12, 1987 (“Trust Agreement”), between F.W. Woolworth Co. and</w:t>
            </w:r>
          </w:p>
        </w:tc>
      </w:tr>
      <w:tr>
        <w:trPr>
          <w:trHeight w:val="189"/>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The Bank of New York, as amended and assumed by the Registrant (incorporated herein by reference to</w:t>
            </w:r>
          </w:p>
        </w:tc>
      </w:tr>
      <w:tr>
        <w:trPr>
          <w:trHeight w:val="195"/>
        </w:trPr>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Exhibit 10(j) to the 8-B Registration Statement).</w:t>
            </w:r>
          </w:p>
        </w:tc>
      </w:tr>
      <w:tr>
        <w:trPr>
          <w:trHeight w:val="343"/>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10.30</w:t>
            </w:r>
          </w:p>
        </w:tc>
        <w:tc>
          <w:tcPr>
            <w:tcW w:w="18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6"/>
                <w:szCs w:val="16"/>
                <w:color w:val="0000EE"/>
              </w:rPr>
            </w:pPr>
            <w:hyperlink r:id="rId162">
              <w:r>
                <w:rPr>
                  <w:rFonts w:ascii="Arial" w:cs="Arial" w:eastAsia="Arial" w:hAnsi="Arial"/>
                  <w:sz w:val="16"/>
                  <w:szCs w:val="16"/>
                  <w:color w:val="0000EE"/>
                </w:rPr>
                <w:t>Amendment No. 1 to Trust Agreement made as of April 11, 2001 (incorporated herein by reference to</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gridSpan w:val="13"/>
          </w:tcPr>
          <w:p>
            <w:pPr>
              <w:spacing w:after="0" w:line="169" w:lineRule="exact"/>
              <w:rPr>
                <w:rFonts w:ascii="Arial" w:cs="Arial" w:eastAsia="Arial" w:hAnsi="Arial"/>
                <w:sz w:val="16"/>
                <w:szCs w:val="16"/>
                <w:color w:val="0000EE"/>
              </w:rPr>
            </w:pPr>
            <w:hyperlink r:id="rId162">
              <w:r>
                <w:rPr>
                  <w:rFonts w:ascii="Arial" w:cs="Arial" w:eastAsia="Arial" w:hAnsi="Arial"/>
                  <w:sz w:val="16"/>
                  <w:szCs w:val="16"/>
                  <w:color w:val="0000EE"/>
                </w:rPr>
                <w:t>Exhibit 10.4 to the May 5, 2001 Form 10-Q).</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10.31†</w:t>
            </w:r>
          </w:p>
        </w:tc>
        <w:tc>
          <w:tcPr>
            <w:tcW w:w="18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6"/>
                <w:szCs w:val="16"/>
                <w:color w:val="0000EE"/>
              </w:rPr>
            </w:pPr>
            <w:hyperlink r:id="rId163">
              <w:r>
                <w:rPr>
                  <w:rFonts w:ascii="Arial" w:cs="Arial" w:eastAsia="Arial" w:hAnsi="Arial"/>
                  <w:sz w:val="16"/>
                  <w:szCs w:val="16"/>
                  <w:color w:val="0000EE"/>
                </w:rPr>
                <w:t>Employment Agreement, dated November 6, 2014, by and between Richard A. Johnson and the Company</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tcBorders>
              <w:bottom w:val="single" w:sz="8" w:color="0000EE"/>
            </w:tcBorders>
            <w:gridSpan w:val="13"/>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(incorporated  herein  by  reference  to  Exhibit  10.2  to  the  Current  Report  on  Form  8-K  dated</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gridSpan w:val="13"/>
          </w:tcPr>
          <w:p>
            <w:pPr>
              <w:spacing w:after="0" w:line="169" w:lineRule="exact"/>
              <w:rPr>
                <w:rFonts w:ascii="Arial" w:cs="Arial" w:eastAsia="Arial" w:hAnsi="Arial"/>
                <w:sz w:val="16"/>
                <w:szCs w:val="16"/>
                <w:color w:val="0000EE"/>
              </w:rPr>
            </w:pPr>
            <w:hyperlink r:id="rId163">
              <w:r>
                <w:rPr>
                  <w:rFonts w:ascii="Arial" w:cs="Arial" w:eastAsia="Arial" w:hAnsi="Arial"/>
                  <w:sz w:val="16"/>
                  <w:szCs w:val="16"/>
                  <w:color w:val="0000EE"/>
                </w:rPr>
                <w:t>November 3, 2014 filed on November 7, 2014).</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10.32†</w:t>
            </w:r>
          </w:p>
        </w:tc>
        <w:tc>
          <w:tcPr>
            <w:tcW w:w="18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6"/>
                <w:szCs w:val="16"/>
                <w:color w:val="0000EE"/>
              </w:rPr>
            </w:pPr>
            <w:hyperlink r:id="rId164">
              <w:r>
                <w:rPr>
                  <w:rFonts w:ascii="Arial" w:cs="Arial" w:eastAsia="Arial" w:hAnsi="Arial"/>
                  <w:sz w:val="16"/>
                  <w:szCs w:val="16"/>
                  <w:color w:val="0000EE"/>
                </w:rPr>
                <w:t>Form of Senior Executive Employment Agreement (incorporated herein by reference to Exhibit 10.1 to the</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gridSpan w:val="13"/>
          </w:tcPr>
          <w:p>
            <w:pPr>
              <w:spacing w:after="0" w:line="169" w:lineRule="exact"/>
              <w:rPr>
                <w:rFonts w:ascii="Arial" w:cs="Arial" w:eastAsia="Arial" w:hAnsi="Arial"/>
                <w:sz w:val="16"/>
                <w:szCs w:val="16"/>
                <w:color w:val="0000EE"/>
              </w:rPr>
            </w:pPr>
            <w:hyperlink r:id="rId164">
              <w:r>
                <w:rPr>
                  <w:rFonts w:ascii="Arial" w:cs="Arial" w:eastAsia="Arial" w:hAnsi="Arial"/>
                  <w:sz w:val="16"/>
                  <w:szCs w:val="16"/>
                  <w:color w:val="0000EE"/>
                </w:rPr>
                <w:t>Current Report on Form 8-K dated April 20, 2015 filed on April 20, 2015).</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10.33†</w:t>
            </w:r>
          </w:p>
        </w:tc>
        <w:tc>
          <w:tcPr>
            <w:tcW w:w="180" w:type="dxa"/>
            <w:vAlign w:val="bottom"/>
          </w:tcPr>
          <w:p>
            <w:pPr>
              <w:spacing w:after="0"/>
              <w:rPr>
                <w:sz w:val="24"/>
                <w:szCs w:val="24"/>
                <w:color w:val="auto"/>
              </w:rPr>
            </w:pPr>
          </w:p>
        </w:tc>
        <w:tc>
          <w:tcPr>
            <w:tcW w:w="7640" w:type="dxa"/>
            <w:vAlign w:val="bottom"/>
            <w:tcBorders>
              <w:bottom w:val="single" w:sz="8" w:color="0000EE"/>
            </w:tcBorders>
            <w:gridSpan w:val="13"/>
          </w:tcPr>
          <w:p>
            <w:pPr>
              <w:spacing w:after="0"/>
              <w:rPr>
                <w:rFonts w:ascii="Arial" w:cs="Arial" w:eastAsia="Arial" w:hAnsi="Arial"/>
                <w:sz w:val="16"/>
                <w:szCs w:val="16"/>
                <w:color w:val="0000EE"/>
              </w:rPr>
            </w:pPr>
            <w:hyperlink r:id="rId165">
              <w:r>
                <w:rPr>
                  <w:rFonts w:ascii="Arial" w:cs="Arial" w:eastAsia="Arial" w:hAnsi="Arial"/>
                  <w:sz w:val="16"/>
                  <w:szCs w:val="16"/>
                  <w:color w:val="0000EE"/>
                </w:rPr>
                <w:t>Form of Executive Employment Agreement (incorporated herein by reference to Exhibit 10.19 to the</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40" w:type="dxa"/>
            <w:vAlign w:val="bottom"/>
            <w:gridSpan w:val="13"/>
          </w:tcPr>
          <w:p>
            <w:pPr>
              <w:spacing w:after="0" w:line="169" w:lineRule="exact"/>
              <w:rPr>
                <w:rFonts w:ascii="Arial" w:cs="Arial" w:eastAsia="Arial" w:hAnsi="Arial"/>
                <w:sz w:val="16"/>
                <w:szCs w:val="16"/>
                <w:color w:val="0000EE"/>
              </w:rPr>
            </w:pPr>
            <w:hyperlink r:id="rId165">
              <w:r>
                <w:rPr>
                  <w:rFonts w:ascii="Arial" w:cs="Arial" w:eastAsia="Arial" w:hAnsi="Arial"/>
                  <w:sz w:val="16"/>
                  <w:szCs w:val="16"/>
                  <w:color w:val="0000EE"/>
                </w:rPr>
                <w:t>Annual Report on Form 10-K for the fiscal year ended January 30, 2016 filed on March 24, 2016).</w:t>
              </w:r>
            </w:hyperlink>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21*</w:t>
            </w:r>
          </w:p>
        </w:tc>
        <w:tc>
          <w:tcPr>
            <w:tcW w:w="180" w:type="dxa"/>
            <w:vAlign w:val="bottom"/>
          </w:tcPr>
          <w:p>
            <w:pPr>
              <w:spacing w:after="0"/>
              <w:rPr>
                <w:sz w:val="24"/>
                <w:szCs w:val="24"/>
                <w:color w:val="auto"/>
              </w:rPr>
            </w:pPr>
          </w:p>
        </w:tc>
        <w:tc>
          <w:tcPr>
            <w:tcW w:w="6980" w:type="dxa"/>
            <w:vAlign w:val="bottom"/>
            <w:tcBorders>
              <w:top w:val="single" w:sz="8" w:color="0000EE"/>
            </w:tcBorders>
            <w:gridSpan w:val="9"/>
          </w:tcPr>
          <w:p>
            <w:pPr>
              <w:spacing w:after="0"/>
              <w:rPr>
                <w:rFonts w:ascii="Arial" w:cs="Arial" w:eastAsia="Arial" w:hAnsi="Arial"/>
                <w:sz w:val="16"/>
                <w:szCs w:val="16"/>
                <w:color w:val="0000EE"/>
              </w:rPr>
            </w:pPr>
            <w:hyperlink w:anchor="page116">
              <w:r>
                <w:rPr>
                  <w:rFonts w:ascii="Arial" w:cs="Arial" w:eastAsia="Arial" w:hAnsi="Arial"/>
                  <w:sz w:val="16"/>
                  <w:szCs w:val="16"/>
                  <w:color w:val="0000EE"/>
                </w:rPr>
                <w:t>Subsidiaries of the Registrant.</w:t>
              </w:r>
            </w:hyperlink>
          </w:p>
        </w:tc>
        <w:tc>
          <w:tcPr>
            <w:tcW w:w="660" w:type="dxa"/>
            <w:vAlign w:val="bottom"/>
            <w:gridSpan w:val="4"/>
          </w:tcPr>
          <w:p>
            <w:pPr>
              <w:spacing w:after="0"/>
              <w:rPr>
                <w:sz w:val="24"/>
                <w:szCs w:val="24"/>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180" w:type="dxa"/>
            <w:vAlign w:val="bottom"/>
          </w:tcPr>
          <w:p>
            <w:pPr>
              <w:spacing w:after="0"/>
              <w:rPr>
                <w:sz w:val="24"/>
                <w:szCs w:val="24"/>
                <w:color w:val="auto"/>
              </w:rPr>
            </w:pPr>
          </w:p>
        </w:tc>
        <w:tc>
          <w:tcPr>
            <w:tcW w:w="7640" w:type="dxa"/>
            <w:vAlign w:val="bottom"/>
            <w:gridSpan w:val="13"/>
          </w:tcPr>
          <w:p>
            <w:pPr>
              <w:spacing w:after="0"/>
              <w:rPr>
                <w:rFonts w:ascii="Arial" w:cs="Arial" w:eastAsia="Arial" w:hAnsi="Arial"/>
                <w:sz w:val="16"/>
                <w:szCs w:val="16"/>
                <w:color w:val="0000EE"/>
              </w:rPr>
            </w:pPr>
            <w:hyperlink w:anchor="page118">
              <w:r>
                <w:rPr>
                  <w:rFonts w:ascii="Arial" w:cs="Arial" w:eastAsia="Arial" w:hAnsi="Arial"/>
                  <w:sz w:val="16"/>
                  <w:szCs w:val="16"/>
                  <w:color w:val="0000EE"/>
                </w:rPr>
                <w:t>Consent of Independent Registered Public Accounting Firm.</w:t>
              </w:r>
            </w:hyperlink>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0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24"/>
                <w:szCs w:val="24"/>
                <w:color w:val="auto"/>
              </w:rPr>
            </w:pPr>
          </w:p>
        </w:tc>
        <w:tc>
          <w:tcPr>
            <w:tcW w:w="7080" w:type="dxa"/>
            <w:vAlign w:val="bottom"/>
            <w:tcBorders>
              <w:bottom w:val="single" w:sz="8" w:color="0000EE"/>
            </w:tcBorders>
            <w:gridSpan w:val="11"/>
          </w:tcPr>
          <w:p>
            <w:pPr>
              <w:spacing w:after="0"/>
              <w:rPr>
                <w:rFonts w:ascii="Arial" w:cs="Arial" w:eastAsia="Arial" w:hAnsi="Arial"/>
                <w:sz w:val="16"/>
                <w:szCs w:val="16"/>
                <w:color w:val="0000EE"/>
              </w:rPr>
            </w:pPr>
            <w:hyperlink w:anchor="page119">
              <w:r>
                <w:rPr>
                  <w:rFonts w:ascii="Arial" w:cs="Arial" w:eastAsia="Arial" w:hAnsi="Arial"/>
                  <w:sz w:val="16"/>
                  <w:szCs w:val="16"/>
                  <w:color w:val="0000EE"/>
                </w:rPr>
                <w:t>Certification of Chief Executive Officer Pursuant to Section 302 of the Sarbanes-Oxley Act of 2002.</w:t>
              </w:r>
            </w:hyperlink>
          </w:p>
        </w:tc>
        <w:tc>
          <w:tcPr>
            <w:tcW w:w="560" w:type="dxa"/>
            <w:vAlign w:val="bottom"/>
            <w:gridSpan w:val="2"/>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24"/>
                <w:szCs w:val="24"/>
                <w:color w:val="auto"/>
              </w:rPr>
            </w:pPr>
          </w:p>
        </w:tc>
        <w:tc>
          <w:tcPr>
            <w:tcW w:w="7020" w:type="dxa"/>
            <w:vAlign w:val="bottom"/>
            <w:tcBorders>
              <w:bottom w:val="single" w:sz="8" w:color="0000EE"/>
            </w:tcBorders>
            <w:gridSpan w:val="10"/>
          </w:tcPr>
          <w:p>
            <w:pPr>
              <w:spacing w:after="0"/>
              <w:rPr>
                <w:rFonts w:ascii="Arial" w:cs="Arial" w:eastAsia="Arial" w:hAnsi="Arial"/>
                <w:sz w:val="16"/>
                <w:szCs w:val="16"/>
                <w:color w:val="0000EE"/>
              </w:rPr>
            </w:pPr>
            <w:hyperlink w:anchor="page120">
              <w:r>
                <w:rPr>
                  <w:rFonts w:ascii="Arial" w:cs="Arial" w:eastAsia="Arial" w:hAnsi="Arial"/>
                  <w:sz w:val="16"/>
                  <w:szCs w:val="16"/>
                  <w:color w:val="0000EE"/>
                </w:rPr>
                <w:t>Certification of Chief Financial Officer Pursuant to Section 302 of the Sarbanes-Oxley Act of 2002.</w:t>
              </w:r>
            </w:hyperlink>
          </w:p>
        </w:tc>
        <w:tc>
          <w:tcPr>
            <w:tcW w:w="620" w:type="dxa"/>
            <w:vAlign w:val="bottom"/>
            <w:gridSpan w:val="3"/>
          </w:tcPr>
          <w:p>
            <w:pPr>
              <w:spacing w:after="0"/>
              <w:rPr>
                <w:sz w:val="24"/>
                <w:szCs w:val="24"/>
                <w:color w:val="auto"/>
              </w:rPr>
            </w:pPr>
          </w:p>
        </w:tc>
      </w:tr>
      <w:tr>
        <w:trPr>
          <w:trHeight w:val="358"/>
        </w:trPr>
        <w:tc>
          <w:tcPr>
            <w:tcW w:w="1080" w:type="dxa"/>
            <w:vAlign w:val="bottom"/>
          </w:tcPr>
          <w:p>
            <w:pPr>
              <w:jc w:val="center"/>
              <w:spacing w:after="0"/>
              <w:rPr>
                <w:sz w:val="20"/>
                <w:szCs w:val="20"/>
                <w:color w:val="auto"/>
              </w:rPr>
            </w:pPr>
            <w:r>
              <w:rPr>
                <w:rFonts w:ascii="Arial" w:cs="Arial" w:eastAsia="Arial" w:hAnsi="Arial"/>
                <w:sz w:val="16"/>
                <w:szCs w:val="16"/>
                <w:color w:val="auto"/>
                <w:w w:val="99"/>
              </w:rPr>
              <w:t>32**</w:t>
            </w:r>
          </w:p>
        </w:tc>
        <w:tc>
          <w:tcPr>
            <w:tcW w:w="180" w:type="dxa"/>
            <w:vAlign w:val="bottom"/>
          </w:tcPr>
          <w:p>
            <w:pPr>
              <w:spacing w:after="0"/>
              <w:rPr>
                <w:sz w:val="24"/>
                <w:szCs w:val="24"/>
                <w:color w:val="auto"/>
              </w:rPr>
            </w:pPr>
          </w:p>
        </w:tc>
        <w:tc>
          <w:tcPr>
            <w:tcW w:w="7640" w:type="dxa"/>
            <w:vAlign w:val="bottom"/>
            <w:gridSpan w:val="13"/>
          </w:tcPr>
          <w:p>
            <w:pPr>
              <w:spacing w:after="0"/>
              <w:rPr>
                <w:rFonts w:ascii="Arial" w:cs="Arial" w:eastAsia="Arial" w:hAnsi="Arial"/>
                <w:sz w:val="16"/>
                <w:szCs w:val="16"/>
                <w:color w:val="0000EE"/>
              </w:rPr>
            </w:pPr>
            <w:hyperlink w:anchor="page121">
              <w:r>
                <w:rPr>
                  <w:rFonts w:ascii="Arial" w:cs="Arial" w:eastAsia="Arial" w:hAnsi="Arial"/>
                  <w:sz w:val="16"/>
                  <w:szCs w:val="16"/>
                  <w:color w:val="0000EE"/>
                </w:rPr>
                <w:t>Certification of Chief Executive Officer and Chief Financial Officer Pursuant to 18 U.S.C. Section 1350, as</w:t>
              </w:r>
            </w:hyperlink>
          </w:p>
        </w:tc>
      </w:tr>
      <w:tr>
        <w:trPr>
          <w:trHeight w:val="169"/>
        </w:trPr>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2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121">
              <w:r>
                <w:rPr>
                  <w:rFonts w:ascii="Arial" w:cs="Arial" w:eastAsia="Arial" w:hAnsi="Arial"/>
                  <w:sz w:val="16"/>
                  <w:szCs w:val="16"/>
                  <w:color w:val="0000EE"/>
                </w:rPr>
                <w:t>adopted pursuant to Section 906 of the Sarbanes-Oxley Act of 2002.</w:t>
              </w:r>
            </w:hyperlink>
          </w:p>
        </w:tc>
        <w:tc>
          <w:tcPr>
            <w:tcW w:w="270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r>
      <w:tr>
        <w:trPr>
          <w:trHeight w:val="393"/>
        </w:trPr>
        <w:tc>
          <w:tcPr>
            <w:tcW w:w="1080" w:type="dxa"/>
            <w:vAlign w:val="bottom"/>
          </w:tcPr>
          <w:p>
            <w:pPr>
              <w:jc w:val="center"/>
              <w:spacing w:after="0"/>
              <w:rPr>
                <w:sz w:val="20"/>
                <w:szCs w:val="20"/>
                <w:color w:val="auto"/>
              </w:rPr>
            </w:pPr>
            <w:r>
              <w:rPr>
                <w:rFonts w:ascii="Arial" w:cs="Arial" w:eastAsia="Arial" w:hAnsi="Arial"/>
                <w:sz w:val="16"/>
                <w:szCs w:val="16"/>
                <w:color w:val="auto"/>
                <w:w w:val="99"/>
              </w:rPr>
              <w:t>101.INS*</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Instance Document.</w:t>
            </w:r>
          </w:p>
        </w:tc>
      </w:tr>
      <w:tr>
        <w:trPr>
          <w:trHeight w:val="378"/>
        </w:trPr>
        <w:tc>
          <w:tcPr>
            <w:tcW w:w="1080" w:type="dxa"/>
            <w:vAlign w:val="bottom"/>
          </w:tcPr>
          <w:p>
            <w:pPr>
              <w:jc w:val="center"/>
              <w:spacing w:after="0"/>
              <w:rPr>
                <w:sz w:val="20"/>
                <w:szCs w:val="20"/>
                <w:color w:val="auto"/>
              </w:rPr>
            </w:pPr>
            <w:r>
              <w:rPr>
                <w:rFonts w:ascii="Arial" w:cs="Arial" w:eastAsia="Arial" w:hAnsi="Arial"/>
                <w:sz w:val="16"/>
                <w:szCs w:val="16"/>
                <w:color w:val="auto"/>
              </w:rPr>
              <w:t>101.SCH*</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Taxonomy Extension Schema.</w:t>
            </w:r>
          </w:p>
        </w:tc>
      </w:tr>
      <w:tr>
        <w:trPr>
          <w:trHeight w:val="378"/>
        </w:trPr>
        <w:tc>
          <w:tcPr>
            <w:tcW w:w="1080" w:type="dxa"/>
            <w:vAlign w:val="bottom"/>
          </w:tcPr>
          <w:p>
            <w:pPr>
              <w:jc w:val="center"/>
              <w:spacing w:after="0"/>
              <w:rPr>
                <w:sz w:val="20"/>
                <w:szCs w:val="20"/>
                <w:color w:val="auto"/>
              </w:rPr>
            </w:pPr>
            <w:r>
              <w:rPr>
                <w:rFonts w:ascii="Arial" w:cs="Arial" w:eastAsia="Arial" w:hAnsi="Arial"/>
                <w:sz w:val="16"/>
                <w:szCs w:val="16"/>
                <w:color w:val="auto"/>
              </w:rPr>
              <w:t>101.CAL*</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78"/>
        </w:trPr>
        <w:tc>
          <w:tcPr>
            <w:tcW w:w="1080" w:type="dxa"/>
            <w:vAlign w:val="bottom"/>
          </w:tcPr>
          <w:p>
            <w:pPr>
              <w:jc w:val="center"/>
              <w:spacing w:after="0"/>
              <w:rPr>
                <w:sz w:val="20"/>
                <w:szCs w:val="20"/>
                <w:color w:val="auto"/>
              </w:rPr>
            </w:pPr>
            <w:r>
              <w:rPr>
                <w:rFonts w:ascii="Arial" w:cs="Arial" w:eastAsia="Arial" w:hAnsi="Arial"/>
                <w:sz w:val="16"/>
                <w:szCs w:val="16"/>
                <w:color w:val="auto"/>
              </w:rPr>
              <w:t>101.DEF*</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378"/>
        </w:trPr>
        <w:tc>
          <w:tcPr>
            <w:tcW w:w="1080" w:type="dxa"/>
            <w:vAlign w:val="bottom"/>
          </w:tcPr>
          <w:p>
            <w:pPr>
              <w:jc w:val="center"/>
              <w:spacing w:after="0"/>
              <w:rPr>
                <w:sz w:val="20"/>
                <w:szCs w:val="20"/>
                <w:color w:val="auto"/>
              </w:rPr>
            </w:pPr>
            <w:r>
              <w:rPr>
                <w:rFonts w:ascii="Arial" w:cs="Arial" w:eastAsia="Arial" w:hAnsi="Arial"/>
                <w:sz w:val="16"/>
                <w:szCs w:val="16"/>
                <w:color w:val="auto"/>
              </w:rPr>
              <w:t>101.LAB*</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Taxonomy Extension Label Linkbase.</w:t>
            </w:r>
          </w:p>
        </w:tc>
      </w:tr>
      <w:tr>
        <w:trPr>
          <w:trHeight w:val="378"/>
        </w:trPr>
        <w:tc>
          <w:tcPr>
            <w:tcW w:w="1080" w:type="dxa"/>
            <w:vAlign w:val="bottom"/>
          </w:tcPr>
          <w:p>
            <w:pPr>
              <w:jc w:val="center"/>
              <w:spacing w:after="0"/>
              <w:rPr>
                <w:sz w:val="20"/>
                <w:szCs w:val="20"/>
                <w:color w:val="auto"/>
              </w:rPr>
            </w:pPr>
            <w:r>
              <w:rPr>
                <w:rFonts w:ascii="Arial" w:cs="Arial" w:eastAsia="Arial" w:hAnsi="Arial"/>
                <w:sz w:val="16"/>
                <w:szCs w:val="16"/>
                <w:color w:val="auto"/>
              </w:rPr>
              <w:t>101.PRE*</w:t>
            </w:r>
          </w:p>
        </w:tc>
        <w:tc>
          <w:tcPr>
            <w:tcW w:w="180" w:type="dxa"/>
            <w:vAlign w:val="bottom"/>
          </w:tcPr>
          <w:p>
            <w:pPr>
              <w:spacing w:after="0"/>
              <w:rPr>
                <w:sz w:val="24"/>
                <w:szCs w:val="24"/>
                <w:color w:val="auto"/>
              </w:rPr>
            </w:pPr>
          </w:p>
        </w:tc>
        <w:tc>
          <w:tcPr>
            <w:tcW w:w="7640" w:type="dxa"/>
            <w:vAlign w:val="bottom"/>
            <w:gridSpan w:val="13"/>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3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gridSpan w:val="13"/>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191" w:lineRule="exact"/>
        <w:rPr>
          <w:sz w:val="20"/>
          <w:szCs w:val="20"/>
          <w:color w:val="auto"/>
        </w:rPr>
      </w:pPr>
    </w:p>
    <w:p>
      <w:pPr>
        <w:ind w:left="60" w:right="4319" w:hanging="10"/>
        <w:spacing w:after="0" w:line="528" w:lineRule="auto"/>
        <w:tabs>
          <w:tab w:leader="none" w:pos="3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 Filed herewith</w:t>
      </w:r>
    </w:p>
    <w:p>
      <w:pPr>
        <w:ind w:left="60"/>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2021 Form 10-K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15"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left="60" w:right="79"/>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FOOT LOCKER, INC.</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By: /s/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0</wp:posOffset>
            </wp:positionV>
            <wp:extent cx="27603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7"/>
          <w:szCs w:val="17"/>
          <w:color w:val="auto"/>
        </w:rPr>
        <w:t>Richard A. Johnson</w:t>
      </w:r>
    </w:p>
    <w:p>
      <w:pPr>
        <w:ind w:left="460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183"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Date: March 24, 2022</w:t>
      </w:r>
    </w:p>
    <w:p>
      <w:pPr>
        <w:spacing w:after="0" w:line="183" w:lineRule="exact"/>
        <w:rPr>
          <w:sz w:val="20"/>
          <w:szCs w:val="20"/>
          <w:color w:val="auto"/>
        </w:rPr>
      </w:pPr>
    </w:p>
    <w:p>
      <w:pPr>
        <w:ind w:left="60" w:right="59"/>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March 24, 2022, by the following persons on behalf of the Company and in the capacities indicated.</w:t>
      </w:r>
    </w:p>
    <w:p>
      <w:pPr>
        <w:sectPr>
          <w:pgSz w:w="11900" w:h="16838" w:orient="portrait"/>
          <w:cols w:equalWidth="0" w:num="1">
            <w:col w:w="9019"/>
          </w:cols>
          <w:pgMar w:left="1440" w:top="707" w:right="1440" w:bottom="1440" w:gutter="0" w:footer="0" w:header="0"/>
        </w:sectPr>
      </w:pP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7"/>
          <w:szCs w:val="17"/>
          <w:color w:val="auto"/>
        </w:rPr>
        <w:t>Richard A. Johnson</w:t>
      </w:r>
    </w:p>
    <w:p>
      <w:pPr>
        <w:jc w:val="center"/>
        <w:ind w:right="860"/>
        <w:spacing w:after="0" w:line="232" w:lineRule="auto"/>
        <w:rPr>
          <w:sz w:val="20"/>
          <w:szCs w:val="20"/>
          <w:color w:val="auto"/>
        </w:rPr>
      </w:pPr>
      <w:r>
        <w:rPr>
          <w:rFonts w:ascii="Arial" w:cs="Arial" w:eastAsia="Arial" w:hAnsi="Arial"/>
          <w:sz w:val="17"/>
          <w:szCs w:val="17"/>
          <w:i w:val="1"/>
          <w:iCs w:val="1"/>
          <w:color w:val="auto"/>
        </w:rPr>
        <w:t>Chairman, President and</w:t>
      </w:r>
    </w:p>
    <w:p>
      <w:pPr>
        <w:jc w:val="center"/>
        <w:ind w:right="860"/>
        <w:spacing w:after="0"/>
        <w:rPr>
          <w:sz w:val="20"/>
          <w:szCs w:val="20"/>
          <w:color w:val="auto"/>
        </w:rPr>
      </w:pPr>
      <w:r>
        <w:rPr>
          <w:rFonts w:ascii="Arial" w:cs="Arial" w:eastAsia="Arial" w:hAnsi="Arial"/>
          <w:sz w:val="17"/>
          <w:szCs w:val="17"/>
          <w:i w:val="1"/>
          <w:iCs w:val="1"/>
          <w:color w:val="auto"/>
        </w:rPr>
        <w:t>Chief Executive Officer</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7"/>
          <w:szCs w:val="17"/>
          <w:color w:val="auto"/>
        </w:rPr>
        <w:t>Giovanna Cipriano</w:t>
      </w:r>
    </w:p>
    <w:p>
      <w:pPr>
        <w:ind w:left="160"/>
        <w:spacing w:after="0"/>
        <w:rPr>
          <w:sz w:val="20"/>
          <w:szCs w:val="20"/>
          <w:color w:val="auto"/>
        </w:rPr>
      </w:pPr>
      <w:r>
        <w:rPr>
          <w:rFonts w:ascii="Arial" w:cs="Arial" w:eastAsia="Arial" w:hAnsi="Arial"/>
          <w:sz w:val="17"/>
          <w:szCs w:val="17"/>
          <w:i w:val="1"/>
          <w:iCs w:val="1"/>
          <w:color w:val="auto"/>
        </w:rPr>
        <w:t>Senior Vice President and Chief Accounting Officer</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VIRGINIA C. DROSOS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jc w:val="center"/>
        <w:ind w:right="860"/>
        <w:spacing w:after="0"/>
        <w:rPr>
          <w:sz w:val="20"/>
          <w:szCs w:val="20"/>
          <w:color w:val="auto"/>
        </w:rPr>
      </w:pPr>
      <w:r>
        <w:rPr>
          <w:rFonts w:ascii="Arial" w:cs="Arial" w:eastAsia="Arial" w:hAnsi="Arial"/>
          <w:sz w:val="17"/>
          <w:szCs w:val="17"/>
          <w:color w:val="auto"/>
        </w:rPr>
        <w:t>Virginia C. Drosos</w:t>
      </w:r>
    </w:p>
    <w:p>
      <w:pPr>
        <w:jc w:val="center"/>
        <w:ind w:right="860"/>
        <w:spacing w:after="0"/>
        <w:rPr>
          <w:sz w:val="20"/>
          <w:szCs w:val="20"/>
          <w:color w:val="auto"/>
        </w:rPr>
      </w:pPr>
      <w:r>
        <w:rPr>
          <w:rFonts w:ascii="Arial" w:cs="Arial" w:eastAsia="Arial" w:hAnsi="Arial"/>
          <w:sz w:val="17"/>
          <w:szCs w:val="17"/>
          <w:color w:val="auto"/>
        </w:rPr>
        <w:t>Director</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7"/>
          <w:szCs w:val="17"/>
          <w:color w:val="auto"/>
        </w:rPr>
        <w:t>Alan D. Feldman</w:t>
      </w:r>
    </w:p>
    <w:p>
      <w:pPr>
        <w:ind w:left="180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jc w:val="center"/>
        <w:ind w:right="860"/>
        <w:spacing w:after="0"/>
        <w:rPr>
          <w:sz w:val="20"/>
          <w:szCs w:val="20"/>
          <w:color w:val="auto"/>
        </w:rPr>
      </w:pPr>
      <w:r>
        <w:rPr>
          <w:rFonts w:ascii="Arial" w:cs="Arial" w:eastAsia="Arial" w:hAnsi="Arial"/>
          <w:sz w:val="17"/>
          <w:szCs w:val="17"/>
          <w:color w:val="auto"/>
        </w:rPr>
        <w:t>Guillermo G. Marmol</w:t>
      </w:r>
    </w:p>
    <w:p>
      <w:pPr>
        <w:jc w:val="center"/>
        <w:ind w:righ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7"/>
          <w:szCs w:val="17"/>
          <w:color w:val="auto"/>
        </w:rPr>
        <w:t>Matthew M. McKenna</w:t>
      </w:r>
    </w:p>
    <w:p>
      <w:pPr>
        <w:ind w:left="180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DARLENE NICOSIA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0</wp:posOffset>
            </wp:positionV>
            <wp:extent cx="2588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jc w:val="center"/>
        <w:ind w:right="860"/>
        <w:spacing w:after="0"/>
        <w:rPr>
          <w:sz w:val="20"/>
          <w:szCs w:val="20"/>
          <w:color w:val="auto"/>
        </w:rPr>
      </w:pPr>
      <w:r>
        <w:rPr>
          <w:rFonts w:ascii="Arial" w:cs="Arial" w:eastAsia="Arial" w:hAnsi="Arial"/>
          <w:sz w:val="17"/>
          <w:szCs w:val="17"/>
          <w:color w:val="auto"/>
        </w:rPr>
        <w:t>Darlene Nicosia</w:t>
      </w:r>
    </w:p>
    <w:p>
      <w:pPr>
        <w:jc w:val="center"/>
        <w:ind w:right="860"/>
        <w:spacing w:after="0"/>
        <w:rPr>
          <w:sz w:val="20"/>
          <w:szCs w:val="20"/>
          <w:color w:val="auto"/>
        </w:rPr>
      </w:pP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7"/>
          <w:szCs w:val="17"/>
          <w:color w:val="auto"/>
        </w:rPr>
        <w:t>Andrew E. Page</w:t>
      </w:r>
    </w:p>
    <w:p>
      <w:pPr>
        <w:jc w:val="center"/>
        <w:ind w:right="939"/>
        <w:spacing w:after="0" w:line="232" w:lineRule="auto"/>
        <w:rPr>
          <w:sz w:val="20"/>
          <w:szCs w:val="20"/>
          <w:color w:val="auto"/>
        </w:rPr>
      </w:pPr>
      <w:r>
        <w:rPr>
          <w:rFonts w:ascii="Arial" w:cs="Arial" w:eastAsia="Arial" w:hAnsi="Arial"/>
          <w:sz w:val="17"/>
          <w:szCs w:val="17"/>
          <w:i w:val="1"/>
          <w:iCs w:val="1"/>
          <w:color w:val="auto"/>
        </w:rPr>
        <w:t>Executive Vice President and</w:t>
      </w:r>
    </w:p>
    <w:p>
      <w:pPr>
        <w:jc w:val="center"/>
        <w:ind w:right="939"/>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Steven Oakland</w:t>
      </w:r>
    </w:p>
    <w:p>
      <w:pPr>
        <w:ind w:lef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jc w:val="center"/>
        <w:ind w:right="939"/>
        <w:spacing w:after="0"/>
        <w:rPr>
          <w:sz w:val="20"/>
          <w:szCs w:val="20"/>
          <w:color w:val="auto"/>
        </w:rPr>
      </w:pPr>
      <w:r>
        <w:rPr>
          <w:rFonts w:ascii="Arial" w:cs="Arial" w:eastAsia="Arial" w:hAnsi="Arial"/>
          <w:sz w:val="17"/>
          <w:szCs w:val="17"/>
          <w:color w:val="auto"/>
        </w:rPr>
        <w:t>Ulice Payne, Jr.</w:t>
      </w:r>
    </w:p>
    <w:p>
      <w:pPr>
        <w:jc w:val="center"/>
        <w:ind w:right="939"/>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Kimberly K. Underhill</w:t>
      </w:r>
    </w:p>
    <w:p>
      <w:pPr>
        <w:ind w:left="860"/>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 TRISTAN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jc w:val="center"/>
        <w:ind w:right="939"/>
        <w:spacing w:after="0"/>
        <w:rPr>
          <w:sz w:val="20"/>
          <w:szCs w:val="20"/>
          <w:color w:val="auto"/>
        </w:rPr>
      </w:pPr>
      <w:r>
        <w:rPr>
          <w:rFonts w:ascii="Arial" w:cs="Arial" w:eastAsia="Arial" w:hAnsi="Arial"/>
          <w:sz w:val="17"/>
          <w:szCs w:val="17"/>
          <w:color w:val="auto"/>
        </w:rPr>
        <w:t>Tristan Walker</w:t>
      </w:r>
    </w:p>
    <w:p>
      <w:pPr>
        <w:jc w:val="center"/>
        <w:ind w:right="939"/>
        <w:spacing w:after="0"/>
        <w:rPr>
          <w:sz w:val="20"/>
          <w:szCs w:val="20"/>
          <w:color w:val="auto"/>
        </w:rPr>
      </w:pPr>
      <w:r>
        <w:rPr>
          <w:rFonts w:ascii="Arial" w:cs="Arial" w:eastAsia="Arial" w:hAnsi="Arial"/>
          <w:sz w:val="17"/>
          <w:szCs w:val="17"/>
          <w:i w:val="1"/>
          <w:iCs w:val="1"/>
          <w:color w:val="auto"/>
        </w:rPr>
        <w:t>Director</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0</wp:posOffset>
            </wp:positionV>
            <wp:extent cx="25800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7"/>
          <w:szCs w:val="17"/>
          <w:color w:val="auto"/>
        </w:rPr>
        <w:t>Dona D. Young</w:t>
      </w:r>
    </w:p>
    <w:p>
      <w:pPr>
        <w:ind w:left="640"/>
        <w:spacing w:after="0"/>
        <w:rPr>
          <w:sz w:val="20"/>
          <w:szCs w:val="20"/>
          <w:color w:val="auto"/>
        </w:rPr>
      </w:pPr>
      <w:r>
        <w:rPr>
          <w:rFonts w:ascii="Arial" w:cs="Arial" w:eastAsia="Arial" w:hAnsi="Arial"/>
          <w:sz w:val="17"/>
          <w:szCs w:val="17"/>
          <w:i w:val="1"/>
          <w:iCs w:val="1"/>
          <w:color w:val="auto"/>
        </w:rPr>
        <w:t>Lead Director</w:t>
      </w:r>
    </w:p>
    <w:p>
      <w:pPr>
        <w:spacing w:after="0" w:line="200" w:lineRule="exact"/>
        <w:rPr>
          <w:sz w:val="20"/>
          <w:szCs w:val="20"/>
          <w:color w:val="auto"/>
        </w:rPr>
      </w:pPr>
    </w:p>
    <w:p>
      <w:pPr>
        <w:sectPr>
          <w:pgSz w:w="11900" w:h="16838" w:orient="portrait"/>
          <w:cols w:equalWidth="0" w:num="2">
            <w:col w:w="5040" w:space="720"/>
            <w:col w:w="3259"/>
          </w:cols>
          <w:pgMar w:left="1440" w:top="7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2021 Form 10-K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type w:val="continuous"/>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2021 Form 10-K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471170</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jc w:val="right"/>
        <w:ind w:right="219"/>
        <w:spacing w:after="0"/>
        <w:rPr>
          <w:sz w:val="20"/>
          <w:szCs w:val="20"/>
          <w:color w:val="auto"/>
        </w:rPr>
      </w:pPr>
      <w:r>
        <w:rPr>
          <w:rFonts w:ascii="Arial" w:cs="Arial" w:eastAsia="Arial" w:hAnsi="Arial"/>
          <w:sz w:val="17"/>
          <w:szCs w:val="17"/>
          <w:b w:val="1"/>
          <w:bCs w:val="1"/>
          <w:color w:val="auto"/>
        </w:rPr>
        <w:t>Exhibit 4.1</w:t>
      </w:r>
    </w:p>
    <w:p>
      <w:pPr>
        <w:spacing w:after="0" w:line="200" w:lineRule="exact"/>
        <w:rPr>
          <w:sz w:val="20"/>
          <w:szCs w:val="20"/>
          <w:color w:val="auto"/>
        </w:rPr>
      </w:pPr>
    </w:p>
    <w:p>
      <w:pPr>
        <w:spacing w:after="0" w:line="295" w:lineRule="exact"/>
        <w:rPr>
          <w:sz w:val="20"/>
          <w:szCs w:val="20"/>
          <w:color w:val="auto"/>
        </w:rPr>
      </w:pPr>
    </w:p>
    <w:p>
      <w:pPr>
        <w:jc w:val="center"/>
        <w:ind w:left="1660" w:right="1700"/>
        <w:spacing w:after="0" w:line="249" w:lineRule="auto"/>
        <w:rPr>
          <w:sz w:val="20"/>
          <w:szCs w:val="20"/>
          <w:color w:val="auto"/>
        </w:rPr>
      </w:pPr>
      <w:r>
        <w:rPr>
          <w:rFonts w:ascii="Arial" w:cs="Arial" w:eastAsia="Arial" w:hAnsi="Arial"/>
          <w:sz w:val="17"/>
          <w:szCs w:val="17"/>
          <w:b w:val="1"/>
          <w:bCs w:val="1"/>
          <w:color w:val="auto"/>
        </w:rPr>
        <w:t>DESCRIPTION OF THE REGISTRANT’S SECURITIES REGISTERED PURSUANT TO SECTION 12 OF THE SECURITIES EXCHANGE ACT OF 1934</w:t>
      </w:r>
    </w:p>
    <w:p>
      <w:pPr>
        <w:spacing w:after="0" w:line="330" w:lineRule="exact"/>
        <w:rPr>
          <w:sz w:val="20"/>
          <w:szCs w:val="20"/>
          <w:color w:val="auto"/>
        </w:rPr>
      </w:pPr>
    </w:p>
    <w:p>
      <w:pPr>
        <w:jc w:val="both"/>
        <w:ind w:left="200" w:right="219"/>
        <w:spacing w:after="0" w:line="251" w:lineRule="auto"/>
        <w:rPr>
          <w:sz w:val="20"/>
          <w:szCs w:val="20"/>
          <w:color w:val="auto"/>
        </w:rPr>
      </w:pPr>
      <w:r>
        <w:rPr>
          <w:rFonts w:ascii="Arial" w:cs="Arial" w:eastAsia="Arial" w:hAnsi="Arial"/>
          <w:sz w:val="17"/>
          <w:szCs w:val="17"/>
          <w:color w:val="auto"/>
        </w:rPr>
        <w:t>The following description of the common stock of Foot Locker, Inc. (“Foot Locker,” the “Company,” “we,” “us” and “our”) is based on our Certificate of Incorporation, as amended (our “Certificate of Incorporation”) and our Bylaws (our “Bylaws”). This description is summarized from, and qualified in its entirety by reference to the New York Business Corporation Law and the complete text of our Certificate of Incorporation and our Bylaws, which are filed as Exhibits 3.1 and 3.2, respectively, to our Annual Report on Form 10-K.</w:t>
      </w:r>
    </w:p>
    <w:p>
      <w:pPr>
        <w:spacing w:after="0" w:line="186"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DESCRIPTION OF COMMON STOCK</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Authorized Shares of Capital Stock</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authorized capital stock consists of:</w:t>
      </w:r>
    </w:p>
    <w:p>
      <w:pPr>
        <w:spacing w:after="0" w:line="129" w:lineRule="exact"/>
        <w:rPr>
          <w:sz w:val="20"/>
          <w:szCs w:val="20"/>
          <w:color w:val="auto"/>
        </w:rPr>
      </w:pPr>
    </w:p>
    <w:p>
      <w:pPr>
        <w:ind w:left="860" w:hanging="327"/>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500,000,000 shares of common stock, $0.01 par value per share; and</w:t>
      </w:r>
    </w:p>
    <w:p>
      <w:pPr>
        <w:spacing w:after="0" w:line="236" w:lineRule="exact"/>
        <w:rPr>
          <w:rFonts w:ascii="Arial" w:cs="Arial" w:eastAsia="Arial" w:hAnsi="Arial"/>
          <w:sz w:val="17"/>
          <w:szCs w:val="17"/>
          <w:color w:val="auto"/>
        </w:rPr>
      </w:pPr>
    </w:p>
    <w:p>
      <w:pPr>
        <w:ind w:left="860" w:hanging="327"/>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7,000,000 shares of preferred stock, $1.00 par value per share.</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Voting Rights</w:t>
      </w:r>
    </w:p>
    <w:p>
      <w:pPr>
        <w:spacing w:after="0" w:line="243"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17"/>
          <w:szCs w:val="17"/>
          <w:color w:val="auto"/>
        </w:rPr>
        <w:t>The holders of our common stock are entitled to one vote for each share of stock held by such shareholder which has voting power upon the matter in question, including the election of directors. Except as otherwise provided by law, our Certificate of Incorporation or our Bylaws, matters will generally be decided by the holders of a majority of shares entitled to vote thereon. Our Bylaws provide that directors must be elected by a majority of the votes cast in elections for which the number of nominees for election does not exceed the number of directors to be elected. A plurality vote standard applies to contested elections where the number of nominees exceeds the number of directors to be elected. Our Corporate Governance Guidelines provide that any incumbent director who does not receive a majority of the votes cast in an uncontested election is required to tender his or her resignation for consideration by the Nominating and Corporate Governance Committee. The Nominating and Corporate Governance Committee will make a recommendation to the Board of Directors (“Board”) whether to accept or reject the resignation, or whether other action should be taken. The director who tenders his or her resignation will not participate in the Committee’s or the Board’s decision. In determining its recommendation to the Board, the Nominating and Corporate Governance Committee will consider all factors that it deems relevant. Following such determination, the Company will promptly disclose publicly the Board’s decision, including, if applicable, the reasons for rejecting the tendered resignation.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Dividends</w:t>
      </w:r>
    </w:p>
    <w:p>
      <w:pPr>
        <w:spacing w:after="0" w:line="24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7"/>
          <w:szCs w:val="17"/>
          <w:color w:val="auto"/>
        </w:rPr>
        <w:t>Subject to preferences that may apply to any preferred stock outstanding, holders of common stock are entitled to receive dividends out of assets legally available at the time and in the amounts that the Board may determine from time to time.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43" w:lineRule="exact"/>
        <w:rPr>
          <w:sz w:val="20"/>
          <w:szCs w:val="20"/>
          <w:color w:val="auto"/>
        </w:rPr>
      </w:pPr>
    </w:p>
    <w:p>
      <w:pPr>
        <w:ind w:left="200" w:right="299"/>
        <w:spacing w:after="0" w:line="254" w:lineRule="auto"/>
        <w:rPr>
          <w:sz w:val="20"/>
          <w:szCs w:val="20"/>
          <w:color w:val="auto"/>
        </w:rPr>
      </w:pPr>
      <w:r>
        <w:rPr>
          <w:rFonts w:ascii="Arial" w:cs="Arial" w:eastAsia="Arial" w:hAnsi="Arial"/>
          <w:sz w:val="17"/>
          <w:szCs w:val="17"/>
          <w:color w:val="auto"/>
        </w:rPr>
        <w:t>In the event of a liquidation, dissolution or winding-up of Foot Locker, the holders of common stock are entitled to share equally and ratably in the assets of Foot Locker, if any, remaining after the payment of all debts and liabilities of Foot Locker and the liquidation preference of any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338455</wp:posOffset>
            </wp:positionV>
            <wp:extent cx="545211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88" w:name="page89"/>
    <w:bookmarkEnd w:id="88"/>
    <w:p>
      <w:pPr>
        <w:ind w:left="200"/>
        <w:spacing w:after="0"/>
        <w:rPr>
          <w:sz w:val="20"/>
          <w:szCs w:val="20"/>
          <w:color w:val="auto"/>
        </w:rPr>
      </w:pPr>
      <w:r>
        <w:rPr>
          <w:rFonts w:ascii="Arial" w:cs="Arial" w:eastAsia="Arial" w:hAnsi="Arial"/>
          <w:sz w:val="17"/>
          <w:szCs w:val="17"/>
          <w:b w:val="1"/>
          <w:bCs w:val="1"/>
          <w:i w:val="1"/>
          <w:iCs w:val="1"/>
          <w:color w:val="auto"/>
        </w:rPr>
        <w:t>Other Rights and Preferences</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common stock has no sinking fund, redemption provisions, or preemptive, conversion, or exchange rights.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Listing</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Our common stock is listed on The New York Stock Exchange under the trading symbol “FL.”</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transfer agent and registrar for our common stock is Computershare Shareholder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625475</wp:posOffset>
            </wp:positionV>
            <wp:extent cx="5452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7"/>
          <w:szCs w:val="17"/>
          <w:b w:val="1"/>
          <w:bCs w:val="1"/>
          <w:color w:val="auto"/>
        </w:rPr>
        <w:t>ANTI-TAKEOVER EFFECTS OF CERTAIN PROVISIONS</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OF OUR CERTIFICATE OF INCORPORATION AND BYLAWS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Certain Effects of Authorized but Unissued Stock</w:t>
      </w:r>
    </w:p>
    <w:p>
      <w:pPr>
        <w:spacing w:after="0" w:line="243"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7"/>
          <w:szCs w:val="17"/>
          <w:color w:val="auto"/>
        </w:rPr>
        <w:t>Our Board may create and issue series of preferred stock with rights, privileges or restrictions, having the effect of discriminating against an existing or prospective holder of such securities as a result of such security holder beneficially owning or commencing a tender offer for a substantial amount of common stock. One of the effects of authorized but unissued and unreserved shares of capital stock may be to render more difficult or discourage an attempt by a potential acquiror to obtain control of Foot Locker by means of a merger, tender offer, proxy contest or otherwise, and thereby protect the continuity of Foot Locker’s management.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Advance Notice for Shareholder Proposals and Nominations</w:t>
      </w:r>
    </w:p>
    <w:p>
      <w:pPr>
        <w:spacing w:after="0" w:line="243" w:lineRule="exact"/>
        <w:rPr>
          <w:sz w:val="20"/>
          <w:szCs w:val="20"/>
          <w:color w:val="auto"/>
        </w:rPr>
      </w:pPr>
    </w:p>
    <w:p>
      <w:pPr>
        <w:jc w:val="both"/>
        <w:ind w:left="200" w:right="239"/>
        <w:spacing w:after="0" w:line="259" w:lineRule="auto"/>
        <w:rPr>
          <w:sz w:val="20"/>
          <w:szCs w:val="20"/>
          <w:color w:val="auto"/>
        </w:rPr>
      </w:pPr>
      <w:r>
        <w:rPr>
          <w:rFonts w:ascii="Arial" w:cs="Arial" w:eastAsia="Arial" w:hAnsi="Arial"/>
          <w:sz w:val="17"/>
          <w:szCs w:val="17"/>
          <w:color w:val="auto"/>
        </w:rPr>
        <w:t>Our Bylaws contain advance notice provisions with respect to shareholder nominations of candidates for election as directors and any other business that the shareholder intends to bring at a meeting of shareholders.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4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7"/>
          <w:szCs w:val="17"/>
          <w:color w:val="auto"/>
        </w:rPr>
        <w:t>Our Bylaws do not provide for cumulative voting in the election of directors. The absence of cumulative voting may make it more difficult for shareholders owning less than a majority of our common stock to elect any directors to our Board.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Power of Shareholders to Call Special Shareholders Meeting</w:t>
      </w:r>
    </w:p>
    <w:p>
      <w:pPr>
        <w:spacing w:after="0" w:line="243"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7"/>
          <w:szCs w:val="17"/>
          <w:color w:val="auto"/>
        </w:rPr>
        <w:t>Our Bylaws provide that special meetings of shareholders may be called only by the Chairman of our Board, the Chief Executive Officer, a Vice Chairman of the Board, the President or our Board pursuant to a resolution adopted by a majority of the total number of authorized directors.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Anti-Greenmail Provision</w:t>
      </w:r>
    </w:p>
    <w:p>
      <w:pPr>
        <w:spacing w:after="0" w:line="243"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7"/>
          <w:szCs w:val="17"/>
          <w:color w:val="auto"/>
        </w:rPr>
        <w:t>Our Certificate of Incorporation includes an “anti-greenmail” provision that prohibits us from repurchasing any shares of our capital stock at a price above the fair market value of such shares at the time of such repurchase from an Interested Shareholder (defined as any person, with certain exceptions, who is, or who has announced or publicly disclosed a plan or intention to become, a beneficial owner of five percent or more of our voting stock) or certain related parties who have not beneficially owned all of their shares for at least two years, unless such repurchase is approved by a majority vote of shareholders other than such Interested Shareholder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341630</wp:posOffset>
            </wp:positionV>
            <wp:extent cx="545211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0" w:name="page91"/>
    <w:bookmarkEnd w:id="90"/>
    <w:p>
      <w:pPr>
        <w:jc w:val="right"/>
        <w:ind w:right="219"/>
        <w:spacing w:after="0"/>
        <w:rPr>
          <w:sz w:val="20"/>
          <w:szCs w:val="20"/>
          <w:color w:val="auto"/>
        </w:rPr>
      </w:pPr>
      <w:r>
        <w:rPr>
          <w:rFonts w:ascii="Arial" w:cs="Arial" w:eastAsia="Arial" w:hAnsi="Arial"/>
          <w:sz w:val="17"/>
          <w:szCs w:val="17"/>
          <w:b w:val="1"/>
          <w:bCs w:val="1"/>
          <w:color w:val="auto"/>
        </w:rPr>
        <w:t>Exhibit 10.8</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NONSTATUTORY STOCK OPTION AWARD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FOOT LOCKER 2007 STOCK INCENTIVE PLAN</w:t>
      </w: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7"/>
          <w:szCs w:val="17"/>
          <w:b w:val="1"/>
          <w:bCs w:val="1"/>
          <w:u w:val="single" w:color="auto"/>
          <w:color w:val="auto"/>
        </w:rPr>
        <w:t>Stock Option Grant</w:t>
      </w:r>
    </w:p>
    <w:p>
      <w:pPr>
        <w:spacing w:after="0" w:line="200" w:lineRule="exact"/>
        <w:rPr>
          <w:sz w:val="20"/>
          <w:szCs w:val="20"/>
          <w:color w:val="auto"/>
        </w:rPr>
      </w:pPr>
    </w:p>
    <w:p>
      <w:pPr>
        <w:spacing w:after="0" w:line="340"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7"/>
          <w:szCs w:val="17"/>
          <w:color w:val="auto"/>
        </w:rPr>
        <w:t>The Human Capital and Compensation Committee of the Board of Directors of Foot Locker, Inc. (the “Company”), a New York corporation, granted you a Nonstatutory Stock Option (the “Option”) on __________ under the Foot</w:t>
      </w:r>
    </w:p>
    <w:p>
      <w:pPr>
        <w:spacing w:after="0" w:line="1"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7"/>
          <w:szCs w:val="17"/>
          <w:color w:val="auto"/>
        </w:rPr>
        <w:t>Locker 2007 Stock Incentive Plan (the “Plan”), to purchase shares of the Company’s common stock, as set forth below. Except as otherwise provided in the Plan, the Option will become exercisable in annual installments over a __________-year vesting period according to the vesting schedule specified below:</w:t>
      </w:r>
    </w:p>
    <w:p>
      <w:pPr>
        <w:sectPr>
          <w:pgSz w:w="11900" w:h="16838" w:orient="portrait"/>
          <w:cols w:equalWidth="0" w:num="1">
            <w:col w:w="9019"/>
          </w:cols>
          <w:pgMar w:left="1440" w:top="343"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Name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3380" w:space="720"/>
            <w:col w:w="4919"/>
          </w:cols>
          <w:pgMar w:left="1440" w:top="343" w:right="1440" w:bottom="1440" w:gutter="0" w:footer="0" w:header="0"/>
          <w:type w:val="continuous"/>
        </w:sect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Date of Grant:</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3380" w:space="720"/>
            <w:col w:w="4919"/>
          </w:cols>
          <w:pgMar w:left="1440" w:top="343" w:right="1440" w:bottom="1440" w:gutter="0" w:footer="0" w:header="0"/>
          <w:type w:val="continuous"/>
        </w:sect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3380" w:space="720"/>
            <w:col w:w="4919"/>
          </w:cols>
          <w:pgMar w:left="1440" w:top="343" w:right="1440" w:bottom="1440" w:gutter="0" w:footer="0" w:header="0"/>
          <w:type w:val="continuous"/>
        </w:sect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Number of Shares of Stock:</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3380" w:space="720"/>
            <w:col w:w="4919"/>
          </w:cols>
          <w:pgMar w:left="1440" w:top="343" w:right="1440" w:bottom="1440" w:gutter="0" w:footer="0" w:header="0"/>
          <w:type w:val="continuous"/>
        </w:sect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Vesting Schedule:</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7"/>
          <w:szCs w:val="17"/>
          <w:color w:val="auto"/>
        </w:rPr>
        <w:t>__________</w:t>
      </w:r>
    </w:p>
    <w:p>
      <w:pPr>
        <w:spacing w:after="0" w:line="200" w:lineRule="exact"/>
        <w:rPr>
          <w:sz w:val="20"/>
          <w:szCs w:val="20"/>
          <w:color w:val="auto"/>
        </w:rPr>
      </w:pPr>
    </w:p>
    <w:p>
      <w:pPr>
        <w:sectPr>
          <w:pgSz w:w="11900" w:h="16838" w:orient="portrait"/>
          <w:cols w:equalWidth="0" w:num="2">
            <w:col w:w="3360" w:space="720"/>
            <w:col w:w="4939"/>
          </w:cols>
          <w:pgMar w:left="1440" w:top="343" w:right="1440" w:bottom="1440" w:gutter="0" w:footer="0" w:header="0"/>
          <w:type w:val="continuous"/>
        </w:sect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Expiration Date: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3380" w:space="720"/>
            <w:col w:w="4919"/>
          </w:cols>
          <w:pgMar w:left="1440" w:top="343" w:right="1440" w:bottom="1440" w:gutter="0" w:footer="0" w:header="0"/>
          <w:type w:val="continuous"/>
        </w:sectPr>
      </w:pPr>
    </w:p>
    <w:p>
      <w:pPr>
        <w:spacing w:after="0" w:line="332"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17"/>
          <w:szCs w:val="17"/>
          <w:color w:val="auto"/>
        </w:rPr>
        <w:t>The Option will expire on the Expiration Date, unless, prior to that time, the Option is exercised in full, is cancelled, or expires due to your death, retirement, or other termination of employment, as provided under the terms of this Nonstatutory Stock Option Award Agreement (“Award Agreement”) and the Plan.</w:t>
      </w:r>
    </w:p>
    <w:p>
      <w:pPr>
        <w:spacing w:after="0" w:line="200" w:lineRule="exact"/>
        <w:rPr>
          <w:sz w:val="20"/>
          <w:szCs w:val="20"/>
          <w:color w:val="auto"/>
        </w:rPr>
      </w:pPr>
    </w:p>
    <w:p>
      <w:pPr>
        <w:spacing w:after="0" w:line="286"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7"/>
          <w:szCs w:val="17"/>
          <w:color w:val="auto"/>
        </w:rPr>
        <w:t>The Option is subject to the terms of the Plan, the Prospectus covering the Plan, dated March 31, 2017, any subsequently issued Prospectus or Appendix covering the Plan, and the terms and conditions set forth in this Award Agreement. All of these documents are incorporated herein by this reference and made a part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1265555</wp:posOffset>
            </wp:positionV>
            <wp:extent cx="545211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type w:val="continuous"/>
        </w:sectPr>
      </w:pPr>
    </w:p>
    <w:bookmarkStart w:id="91" w:name="page92"/>
    <w:bookmarkEnd w:id="91"/>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Non-Competition</w:t>
      </w:r>
    </w:p>
    <w:p>
      <w:pPr>
        <w:spacing w:after="0" w:line="200" w:lineRule="exact"/>
        <w:rPr>
          <w:sz w:val="20"/>
          <w:szCs w:val="20"/>
          <w:color w:val="auto"/>
        </w:rPr>
      </w:pPr>
    </w:p>
    <w:p>
      <w:pPr>
        <w:spacing w:after="0" w:line="307" w:lineRule="exact"/>
        <w:rPr>
          <w:sz w:val="20"/>
          <w:szCs w:val="20"/>
          <w:color w:val="auto"/>
        </w:rPr>
      </w:pPr>
    </w:p>
    <w:p>
      <w:pPr>
        <w:ind w:left="200" w:right="239"/>
        <w:spacing w:after="0" w:line="284" w:lineRule="auto"/>
        <w:rPr>
          <w:sz w:val="20"/>
          <w:szCs w:val="20"/>
          <w:color w:val="auto"/>
        </w:rPr>
      </w:pPr>
      <w:r>
        <w:rPr>
          <w:rFonts w:ascii="Arial" w:cs="Arial" w:eastAsia="Arial" w:hAnsi="Arial"/>
          <w:sz w:val="17"/>
          <w:szCs w:val="17"/>
          <w:b w:val="1"/>
          <w:bCs w:val="1"/>
          <w:color w:val="auto"/>
        </w:rPr>
        <w:t>By accepting this Option, you agree that during the “Non-Competition Period” you will not engage in “Competition” with the Company or any of its subsidiaries, divisions, or affiliates (the “Control Group”).</w:t>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used herein, “Competition” means:</w:t>
      </w:r>
    </w:p>
    <w:p>
      <w:pPr>
        <w:spacing w:after="0" w:line="200" w:lineRule="exact"/>
        <w:rPr>
          <w:sz w:val="20"/>
          <w:szCs w:val="20"/>
          <w:color w:val="auto"/>
        </w:rPr>
      </w:pPr>
    </w:p>
    <w:p>
      <w:pPr>
        <w:spacing w:after="0" w:line="320" w:lineRule="exact"/>
        <w:rPr>
          <w:sz w:val="20"/>
          <w:szCs w:val="20"/>
          <w:color w:val="auto"/>
        </w:rPr>
      </w:pPr>
    </w:p>
    <w:p>
      <w:pPr>
        <w:jc w:val="both"/>
        <w:ind w:left="200" w:right="219" w:firstLine="657"/>
        <w:spacing w:after="0" w:line="266" w:lineRule="auto"/>
        <w:tabs>
          <w:tab w:leader="none" w:pos="14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participating, directly or indirectly, as an individual proprietor, stockholder, officer, employee, director, joint venturer, investor, lender, consultant, or in any capacity whatsoever (within the United States of America, or in any country where your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 and</w:t>
      </w:r>
    </w:p>
    <w:p>
      <w:pPr>
        <w:spacing w:after="0" w:line="200" w:lineRule="exact"/>
        <w:rPr>
          <w:rFonts w:ascii="Arial" w:cs="Arial" w:eastAsia="Arial" w:hAnsi="Arial"/>
          <w:sz w:val="17"/>
          <w:szCs w:val="17"/>
          <w:color w:val="auto"/>
        </w:rPr>
      </w:pPr>
    </w:p>
    <w:p>
      <w:pPr>
        <w:spacing w:after="0" w:line="292" w:lineRule="exact"/>
        <w:rPr>
          <w:rFonts w:ascii="Arial" w:cs="Arial" w:eastAsia="Arial" w:hAnsi="Arial"/>
          <w:sz w:val="17"/>
          <w:szCs w:val="17"/>
          <w:color w:val="auto"/>
        </w:rPr>
      </w:pPr>
    </w:p>
    <w:p>
      <w:pPr>
        <w:jc w:val="both"/>
        <w:ind w:left="200" w:right="219" w:firstLine="657"/>
        <w:spacing w:after="0" w:line="270" w:lineRule="auto"/>
        <w:tabs>
          <w:tab w:leader="none" w:pos="14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200" w:lineRule="exact"/>
        <w:rPr>
          <w:sz w:val="20"/>
          <w:szCs w:val="20"/>
          <w:color w:val="auto"/>
        </w:rPr>
      </w:pPr>
    </w:p>
    <w:p>
      <w:pPr>
        <w:spacing w:after="0" w:line="288"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17"/>
          <w:szCs w:val="17"/>
          <w:color w:val="auto"/>
        </w:rPr>
        <w:t>As used herein, “Non-Competition” Period means: the period commencing on the Date of Grant and ending on the Vesting Date, or any part thereof, during which the Executive is employed by the Control Group and (ii) if the Executive's employment with the Control Group terminates for any reason during such period, the __________-</w:t>
      </w:r>
    </w:p>
    <w:p>
      <w:pPr>
        <w:spacing w:after="0" w:line="2" w:lineRule="exact"/>
        <w:rPr>
          <w:sz w:val="20"/>
          <w:szCs w:val="20"/>
          <w:color w:val="auto"/>
        </w:rPr>
      </w:pPr>
    </w:p>
    <w:p>
      <w:pPr>
        <w:jc w:val="both"/>
        <w:ind w:left="200" w:right="219"/>
        <w:spacing w:after="0" w:line="252" w:lineRule="auto"/>
        <w:rPr>
          <w:sz w:val="20"/>
          <w:szCs w:val="20"/>
          <w:color w:val="auto"/>
        </w:rPr>
      </w:pPr>
      <w:r>
        <w:rPr>
          <w:rFonts w:ascii="Arial" w:cs="Arial" w:eastAsia="Arial" w:hAnsi="Arial"/>
          <w:sz w:val="17"/>
          <w:szCs w:val="17"/>
          <w:color w:val="auto"/>
        </w:rPr>
        <w:t>year period commencing on the date his employment with the Control Group terminates. Notwithstanding the foregoing, the Non-Competition Period shall not extend beyond the date the Executive’s employment with the Control Group terminates if such termination of employment occurs following a “Change in Control” as defined in Attachment A hereto.</w:t>
      </w:r>
    </w:p>
    <w:p>
      <w:pPr>
        <w:spacing w:after="0" w:line="200" w:lineRule="exact"/>
        <w:rPr>
          <w:sz w:val="20"/>
          <w:szCs w:val="20"/>
          <w:color w:val="auto"/>
        </w:rPr>
      </w:pPr>
    </w:p>
    <w:p>
      <w:pPr>
        <w:spacing w:after="0" w:line="289" w:lineRule="exact"/>
        <w:rPr>
          <w:sz w:val="20"/>
          <w:szCs w:val="20"/>
          <w:color w:val="auto"/>
        </w:rPr>
      </w:pPr>
    </w:p>
    <w:p>
      <w:pPr>
        <w:jc w:val="both"/>
        <w:ind w:left="200" w:right="219"/>
        <w:spacing w:after="0" w:line="250" w:lineRule="auto"/>
        <w:rPr>
          <w:sz w:val="20"/>
          <w:szCs w:val="20"/>
          <w:color w:val="auto"/>
        </w:rPr>
      </w:pPr>
      <w:r>
        <w:rPr>
          <w:rFonts w:ascii="Arial" w:cs="Arial" w:eastAsia="Arial" w:hAnsi="Arial"/>
          <w:sz w:val="17"/>
          <w:szCs w:val="17"/>
          <w:color w:val="auto"/>
        </w:rPr>
        <w:t>You agree that the breach by you of the provisions included herein under the heading “Non-Competition” (the “Non-Competition Provision”) would result in irreparable injury and damage to the Company for which the Company would have no adequate remedy at law. You therefore agree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you,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 recovery of damages.</w:t>
      </w:r>
    </w:p>
    <w:p>
      <w:pPr>
        <w:spacing w:after="0" w:line="200" w:lineRule="exact"/>
        <w:rPr>
          <w:sz w:val="20"/>
          <w:szCs w:val="20"/>
          <w:color w:val="auto"/>
        </w:rPr>
      </w:pPr>
    </w:p>
    <w:p>
      <w:pPr>
        <w:spacing w:after="0" w:line="289" w:lineRule="exact"/>
        <w:rPr>
          <w:sz w:val="20"/>
          <w:szCs w:val="20"/>
          <w:color w:val="auto"/>
        </w:rPr>
      </w:pPr>
    </w:p>
    <w:p>
      <w:pPr>
        <w:jc w:val="both"/>
        <w:ind w:left="200" w:right="239"/>
        <w:spacing w:after="0" w:line="259" w:lineRule="auto"/>
        <w:rPr>
          <w:sz w:val="20"/>
          <w:szCs w:val="20"/>
          <w:color w:val="auto"/>
        </w:rPr>
      </w:pPr>
      <w:r>
        <w:rPr>
          <w:rFonts w:ascii="Arial" w:cs="Arial" w:eastAsia="Arial" w:hAnsi="Arial"/>
          <w:sz w:val="17"/>
          <w:szCs w:val="17"/>
          <w:color w:val="auto"/>
        </w:rPr>
        <w:t>In addition, in the event of your breach of the Non-Competition Provision, any Options that are then unexercised (whether or not vested) shall be immediately cancelled.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92" w:name="page93"/>
    <w:bookmarkEnd w:id="92"/>
    <w:p>
      <w:pPr>
        <w:jc w:val="both"/>
        <w:ind w:left="200" w:right="219"/>
        <w:spacing w:after="0" w:line="250" w:lineRule="auto"/>
        <w:rPr>
          <w:sz w:val="20"/>
          <w:szCs w:val="20"/>
          <w:color w:val="auto"/>
        </w:rPr>
      </w:pPr>
      <w:r>
        <w:rPr>
          <w:rFonts w:ascii="Arial" w:cs="Arial" w:eastAsia="Arial" w:hAnsi="Arial"/>
          <w:sz w:val="17"/>
          <w:szCs w:val="17"/>
          <w:color w:val="auto"/>
        </w:rPr>
        <w:t>You and the Company further agree that the Non-Competition Provision is reasonable and that the Company would not have granted the Options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w:t>
      </w:r>
    </w:p>
    <w:p>
      <w:pPr>
        <w:spacing w:after="0" w:line="200" w:lineRule="exact"/>
        <w:rPr>
          <w:sz w:val="20"/>
          <w:szCs w:val="20"/>
          <w:color w:val="auto"/>
        </w:rPr>
      </w:pPr>
    </w:p>
    <w:p>
      <w:pPr>
        <w:spacing w:after="0" w:line="292"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17"/>
          <w:szCs w:val="17"/>
          <w:color w:val="auto"/>
        </w:rPr>
        <w:t>For purposes of the Non-Competition Provision, you and the Company consent to the jurisdiction of state and federal courts in New York County.]</w:t>
      </w: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7"/>
          <w:szCs w:val="17"/>
          <w:b w:val="1"/>
          <w:bCs w:val="1"/>
          <w:u w:val="single" w:color="auto"/>
          <w:color w:val="auto"/>
        </w:rPr>
        <w:t>Acceptance of Option</w:t>
      </w: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accept this Option grant, please click “Accept Grant” no later than __________. Please ensure your home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address is accurate by reviewing your profile information.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93" w:name="page94"/>
    <w:bookmarkEnd w:id="93"/>
    <w:p>
      <w:pPr>
        <w:ind w:left="200" w:right="239" w:firstLine="648"/>
        <w:spacing w:after="0" w:line="259" w:lineRule="auto"/>
        <w:rPr>
          <w:sz w:val="20"/>
          <w:szCs w:val="20"/>
          <w:color w:val="auto"/>
        </w:rPr>
      </w:pPr>
      <w:r>
        <w:rPr>
          <w:rFonts w:ascii="Arial" w:cs="Arial" w:eastAsia="Arial" w:hAnsi="Arial"/>
          <w:sz w:val="17"/>
          <w:szCs w:val="17"/>
          <w:color w:val="auto"/>
        </w:rPr>
        <w:t>IN WITNESS WHEREOF, the parties hereto have caused this Award Agreement to be duly executed as of the day and year first above written.</w:t>
      </w:r>
    </w:p>
    <w:p>
      <w:pPr>
        <w:spacing w:after="0" w:line="200" w:lineRule="exact"/>
        <w:rPr>
          <w:sz w:val="20"/>
          <w:szCs w:val="20"/>
          <w:color w:val="auto"/>
        </w:rPr>
      </w:pPr>
    </w:p>
    <w:p>
      <w:pPr>
        <w:spacing w:after="0" w:line="28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334"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-16510</wp:posOffset>
            </wp:positionV>
            <wp:extent cx="14846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9">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3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1028700</wp:posOffset>
            </wp:positionV>
            <wp:extent cx="22485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0">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7"/>
          <w:szCs w:val="17"/>
          <w:b w:val="1"/>
          <w:bCs w:val="1"/>
          <w:color w:val="auto"/>
        </w:rPr>
        <w:t>ATTACHMENT A</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Change in Control shall mean any of the following:</w:t>
      </w:r>
    </w:p>
    <w:p>
      <w:pPr>
        <w:spacing w:after="0" w:line="115" w:lineRule="exact"/>
        <w:rPr>
          <w:sz w:val="20"/>
          <w:szCs w:val="20"/>
          <w:color w:val="auto"/>
        </w:rPr>
      </w:pPr>
    </w:p>
    <w:p>
      <w:pPr>
        <w:jc w:val="both"/>
        <w:ind w:left="200" w:right="219" w:firstLine="1305"/>
        <w:spacing w:after="0" w:line="250" w:lineRule="auto"/>
        <w:tabs>
          <w:tab w:leader="none" w:pos="21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97" w:lineRule="exact"/>
        <w:rPr>
          <w:rFonts w:ascii="Arial" w:cs="Arial" w:eastAsia="Arial" w:hAnsi="Arial"/>
          <w:sz w:val="17"/>
          <w:szCs w:val="17"/>
          <w:color w:val="auto"/>
        </w:rPr>
      </w:pPr>
    </w:p>
    <w:p>
      <w:pPr>
        <w:jc w:val="both"/>
        <w:ind w:left="200" w:right="219" w:firstLine="1305"/>
        <w:spacing w:after="0" w:line="250" w:lineRule="auto"/>
        <w:tabs>
          <w:tab w:leader="none" w:pos="21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Stock) acting in concert; or</w:t>
      </w:r>
    </w:p>
    <w:p>
      <w:pPr>
        <w:spacing w:after="0" w:line="100" w:lineRule="exact"/>
        <w:rPr>
          <w:rFonts w:ascii="Arial" w:cs="Arial" w:eastAsia="Arial" w:hAnsi="Arial"/>
          <w:sz w:val="17"/>
          <w:szCs w:val="17"/>
          <w:color w:val="auto"/>
        </w:rPr>
      </w:pPr>
    </w:p>
    <w:p>
      <w:pPr>
        <w:jc w:val="both"/>
        <w:ind w:left="200" w:right="219" w:firstLine="1305"/>
        <w:spacing w:after="0" w:line="251" w:lineRule="auto"/>
        <w:tabs>
          <w:tab w:leader="none" w:pos="21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95" w:name="page96"/>
    <w:bookmarkEnd w:id="95"/>
    <w:p>
      <w:pPr>
        <w:jc w:val="right"/>
        <w:ind w:right="219"/>
        <w:spacing w:after="0"/>
        <w:rPr>
          <w:sz w:val="20"/>
          <w:szCs w:val="20"/>
          <w:color w:val="auto"/>
        </w:rPr>
      </w:pPr>
      <w:r>
        <w:rPr>
          <w:rFonts w:ascii="Arial" w:cs="Arial" w:eastAsia="Arial" w:hAnsi="Arial"/>
          <w:sz w:val="17"/>
          <w:szCs w:val="17"/>
          <w:b w:val="1"/>
          <w:bCs w:val="1"/>
          <w:color w:val="auto"/>
        </w:rPr>
        <w:t>Exhibit 10.9</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FOOT LOCKER 2007 STOCK INCENTIVE PLAN</w:t>
      </w:r>
    </w:p>
    <w:p>
      <w:pPr>
        <w:spacing w:after="0" w:line="200" w:lineRule="exact"/>
        <w:rPr>
          <w:sz w:val="20"/>
          <w:szCs w:val="20"/>
          <w:color w:val="auto"/>
        </w:rPr>
      </w:pPr>
    </w:p>
    <w:p>
      <w:pPr>
        <w:spacing w:after="0" w:line="340"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7"/>
          <w:szCs w:val="17"/>
          <w:color w:val="auto"/>
        </w:rPr>
        <w:t>This Restricted Stock Unit Award Agreement (this "Agreement") is made under the Foot Locker 2007 Stock Incentive Plan, as amended and restated (the "Plan"), as of __________, by and between Foot Locker,</w:t>
      </w:r>
    </w:p>
    <w:p>
      <w:pPr>
        <w:ind w:left="200" w:right="219"/>
        <w:spacing w:after="0" w:line="276" w:lineRule="auto"/>
        <w:rPr>
          <w:sz w:val="20"/>
          <w:szCs w:val="20"/>
          <w:color w:val="auto"/>
        </w:rPr>
      </w:pPr>
      <w:r>
        <w:rPr>
          <w:rFonts w:ascii="Arial" w:cs="Arial" w:eastAsia="Arial" w:hAnsi="Arial"/>
          <w:sz w:val="17"/>
          <w:szCs w:val="17"/>
          <w:color w:val="auto"/>
        </w:rPr>
        <w:t>Inc., a New York corporation with its principal office located at 330 West 34th Street, New York, New York 10001 (the "Company"), and __________ (the "Executive").</w:t>
      </w:r>
    </w:p>
    <w:p>
      <w:pPr>
        <w:spacing w:after="0" w:line="200" w:lineRule="exact"/>
        <w:rPr>
          <w:sz w:val="20"/>
          <w:szCs w:val="20"/>
          <w:color w:val="auto"/>
        </w:rPr>
      </w:pPr>
    </w:p>
    <w:p>
      <w:pPr>
        <w:spacing w:after="0" w:line="295" w:lineRule="exact"/>
        <w:rPr>
          <w:sz w:val="20"/>
          <w:szCs w:val="20"/>
          <w:color w:val="auto"/>
        </w:rPr>
      </w:pPr>
    </w:p>
    <w:p>
      <w:pPr>
        <w:jc w:val="both"/>
        <w:ind w:left="200" w:right="219" w:firstLine="657"/>
        <w:spacing w:after="0" w:line="267" w:lineRule="auto"/>
        <w:tabs>
          <w:tab w:leader="none" w:pos="1496"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Grant of RSUs</w:t>
      </w:r>
      <w:r>
        <w:rPr>
          <w:rFonts w:ascii="Arial" w:cs="Arial" w:eastAsia="Arial" w:hAnsi="Arial"/>
          <w:sz w:val="17"/>
          <w:szCs w:val="17"/>
          <w:color w:val="auto"/>
        </w:rPr>
        <w:t>. On __________ (the "Date of Grant"), the Human Capital and Compensation Committee (the “Human Capital Committee”) of the Board of Directors of the Company granted the Executive an award of __________ restricted stock units ("RSUs") under the Plan, subject to the terms of the Plan and the restrictions set forth in this Agreement. The RSUs granted to the Executive are considered "Other Stock-Based Awards" under the Plan. Each RSU represents the right to receive one share of the Company's Common Stock, par value $.01 per share ("Common Stock"), upon the satisfaction of the terms and conditions set forth in this Agreement and the Plan.</w:t>
      </w: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1500" w:hanging="643"/>
        <w:spacing w:after="0"/>
        <w:tabs>
          <w:tab w:leader="none" w:pos="150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Vesting and Delivery</w:t>
      </w:r>
    </w:p>
    <w:p>
      <w:pPr>
        <w:spacing w:after="0" w:line="200" w:lineRule="exact"/>
        <w:rPr>
          <w:sz w:val="20"/>
          <w:szCs w:val="20"/>
          <w:color w:val="auto"/>
        </w:rPr>
      </w:pPr>
    </w:p>
    <w:p>
      <w:pPr>
        <w:spacing w:after="0" w:line="320" w:lineRule="exact"/>
        <w:rPr>
          <w:sz w:val="20"/>
          <w:szCs w:val="20"/>
          <w:color w:val="auto"/>
        </w:rPr>
      </w:pPr>
    </w:p>
    <w:p>
      <w:pPr>
        <w:jc w:val="both"/>
        <w:ind w:left="200" w:right="219" w:firstLine="657"/>
        <w:spacing w:after="0" w:line="268" w:lineRule="auto"/>
        <w:tabs>
          <w:tab w:leader="none" w:pos="14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RSUs shall become vested on __________ (the "Vesting Date") and, subject to the terms of this Agreement and the Plan, __________ shares of Common Stock shall be delivered to the Executive as described herein if the Executive has been continuously employed by the Company or its subsidiaries within the meaning of Section 424 of the Internal Revenue Code of 1986, as amended (the "Control Group") from the Date of Grant until the Vesting Date.</w:t>
      </w:r>
    </w:p>
    <w:p>
      <w:pPr>
        <w:spacing w:after="0" w:line="200" w:lineRule="exact"/>
        <w:rPr>
          <w:rFonts w:ascii="Arial" w:cs="Arial" w:eastAsia="Arial" w:hAnsi="Arial"/>
          <w:sz w:val="17"/>
          <w:szCs w:val="17"/>
          <w:color w:val="auto"/>
        </w:rPr>
      </w:pPr>
    </w:p>
    <w:p>
      <w:pPr>
        <w:spacing w:after="0" w:line="301" w:lineRule="exact"/>
        <w:rPr>
          <w:rFonts w:ascii="Arial" w:cs="Arial" w:eastAsia="Arial" w:hAnsi="Arial"/>
          <w:sz w:val="17"/>
          <w:szCs w:val="17"/>
          <w:color w:val="auto"/>
        </w:rPr>
      </w:pPr>
    </w:p>
    <w:p>
      <w:pPr>
        <w:jc w:val="both"/>
        <w:ind w:left="200" w:right="219" w:firstLine="657"/>
        <w:spacing w:after="0" w:line="270" w:lineRule="auto"/>
        <w:tabs>
          <w:tab w:leader="none" w:pos="14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than as may be specifically provided for herein, there shall be no proportionate or partial vesting in the periods prior to the Vesting Date and all vesting shall occur only on the Vesting Date, subject to the Executive's continued employment with the Control Group as described in Section 2(a).</w:t>
      </w: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both"/>
        <w:ind w:left="200" w:right="219" w:firstLine="657"/>
        <w:spacing w:after="0" w:line="267" w:lineRule="auto"/>
        <w:tabs>
          <w:tab w:leader="none" w:pos="1509"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the event of Executive’s termination of employment prior to the Vesting Date by reason of death, Disability, or Retirement, Executive (or in the event of his death, his estate) shall receive a pro rata portion of his RSU award. The pro rata portion shall be determined by multiplying the number of RSUs awarded by a fraction, the numerator of which is the number of days from the Date of Grant to the date of Executive’s termination of employment and the denominator of which is the number of days from the Date of Grant to the Vesting Date.</w:t>
      </w: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jc w:val="both"/>
        <w:ind w:left="200" w:right="219" w:firstLine="657"/>
        <w:spacing w:after="0" w:line="254" w:lineRule="auto"/>
        <w:tabs>
          <w:tab w:leader="none" w:pos="14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Company terminates Executive’s employment without Cause or Executive terminates his employment for Good Reason upon, or within twenty-four (24) months following, a Change in Control as defined in Appendix A hereto (“Section 2(d) Termination”), the RSUs shall become immediately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801370</wp:posOffset>
            </wp:positionV>
            <wp:extent cx="545211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sectPr>
      </w:pPr>
    </w:p>
    <w:bookmarkStart w:id="96" w:name="page97"/>
    <w:bookmarkEnd w:id="96"/>
    <w:p>
      <w:pPr>
        <w:jc w:val="both"/>
        <w:ind w:left="200" w:right="219" w:firstLine="657"/>
        <w:spacing w:after="0" w:line="252" w:lineRule="auto"/>
        <w:tabs>
          <w:tab w:leader="none" w:pos="14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the event the Executive ceases to be employed by the Company or any subsidiary or affiliate of the Company as a result of the closing, sale, spin-off or other divestiture of any operation of the Company, the Human Capital Committee, in its sole discretion, may, but shall not be obligated to, fully vest and not forfeit all or any portion of the Executive's RSU award.</w:t>
      </w: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jc w:val="both"/>
        <w:ind w:left="200" w:right="219" w:firstLine="657"/>
        <w:spacing w:after="0" w:line="250" w:lineRule="auto"/>
        <w:tabs>
          <w:tab w:leader="none" w:pos="14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Subject to Sections 7 and 11.12, when any RSUs become vested, the Company shall promptly issue and deliver to the Executive shares of the Company's Common Stock, net of shares withheld by the Company to cover applicable withholding taxes, within 30 days following the earlier of (i) a termination of employment by reason of death, Disability, or a Section 2(d) Termination or (ii) the Vesting Date. For the avoidance of doubt, payment of RSUs that are vested in connection with the Executive’s Retirement as provided under Section 2(c) shall be made within 30 days following the Vesting Date.</w:t>
      </w:r>
    </w:p>
    <w:p>
      <w:pPr>
        <w:spacing w:after="0" w:line="371" w:lineRule="exact"/>
        <w:rPr>
          <w:sz w:val="20"/>
          <w:szCs w:val="20"/>
          <w:color w:val="auto"/>
        </w:rPr>
      </w:pPr>
    </w:p>
    <w:p>
      <w:pPr>
        <w:jc w:val="both"/>
        <w:ind w:left="200" w:right="219" w:firstLine="657"/>
        <w:spacing w:after="0" w:line="268" w:lineRule="auto"/>
        <w:tabs>
          <w:tab w:leader="none" w:pos="149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Other than as specifically provided for herein, in the event of the Executive's termination of employment for any reason, including without limitation, resignation, termination with or without Cause, or the Executive's breach of the non-competition provision in Section 9, the Executive shall forfeit to the Company, without compensation, all unvested RSUs. The Human Capital Committee, or a sub-committee thereof, may, in its sole discretion, at any time fully vest and not forfeit all or any portion of the Executive's RSUs.</w:t>
      </w:r>
    </w:p>
    <w:p>
      <w:pPr>
        <w:spacing w:after="0" w:line="200" w:lineRule="exact"/>
        <w:rPr>
          <w:rFonts w:ascii="Arial" w:cs="Arial" w:eastAsia="Arial" w:hAnsi="Arial"/>
          <w:sz w:val="17"/>
          <w:szCs w:val="17"/>
          <w:color w:val="auto"/>
        </w:rPr>
      </w:pPr>
    </w:p>
    <w:p>
      <w:pPr>
        <w:spacing w:after="0" w:line="288" w:lineRule="exact"/>
        <w:rPr>
          <w:rFonts w:ascii="Arial" w:cs="Arial" w:eastAsia="Arial" w:hAnsi="Arial"/>
          <w:sz w:val="17"/>
          <w:szCs w:val="17"/>
          <w:color w:val="auto"/>
        </w:rPr>
      </w:pPr>
    </w:p>
    <w:p>
      <w:pPr>
        <w:jc w:val="both"/>
        <w:ind w:left="200" w:right="219" w:firstLine="657"/>
        <w:spacing w:after="0" w:line="270" w:lineRule="auto"/>
        <w:tabs>
          <w:tab w:leader="none" w:pos="149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RSUs shall be subject to the adjustment provisions included in Section 5(e) of the Plan. In the event of any such adjustment, the adjusted award shall be subject to the same vesting schedule as the RSUs, as set forth in Section 2.</w:t>
      </w:r>
    </w:p>
    <w:p>
      <w:pPr>
        <w:spacing w:after="0" w:line="200" w:lineRule="exact"/>
        <w:rPr>
          <w:rFonts w:ascii="Arial" w:cs="Arial" w:eastAsia="Arial" w:hAnsi="Arial"/>
          <w:sz w:val="17"/>
          <w:szCs w:val="17"/>
          <w:color w:val="auto"/>
        </w:rPr>
      </w:pPr>
    </w:p>
    <w:p>
      <w:pPr>
        <w:spacing w:after="0" w:line="301" w:lineRule="exact"/>
        <w:rPr>
          <w:rFonts w:ascii="Arial" w:cs="Arial" w:eastAsia="Arial" w:hAnsi="Arial"/>
          <w:sz w:val="17"/>
          <w:szCs w:val="17"/>
          <w:color w:val="auto"/>
        </w:rPr>
      </w:pPr>
    </w:p>
    <w:p>
      <w:pPr>
        <w:ind w:left="1500" w:hanging="643"/>
        <w:spacing w:after="0"/>
        <w:tabs>
          <w:tab w:leader="none" w:pos="150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Executive agrees that:</w:t>
      </w:r>
    </w:p>
    <w:p>
      <w:pPr>
        <w:spacing w:after="0" w:line="200" w:lineRule="exact"/>
        <w:rPr>
          <w:rFonts w:ascii="Arial" w:cs="Arial" w:eastAsia="Arial" w:hAnsi="Arial"/>
          <w:sz w:val="17"/>
          <w:szCs w:val="17"/>
          <w:color w:val="auto"/>
        </w:rPr>
      </w:pPr>
    </w:p>
    <w:p>
      <w:pPr>
        <w:spacing w:after="0" w:line="320" w:lineRule="exact"/>
        <w:rPr>
          <w:rFonts w:ascii="Arial" w:cs="Arial" w:eastAsia="Arial" w:hAnsi="Arial"/>
          <w:sz w:val="17"/>
          <w:szCs w:val="17"/>
          <w:color w:val="auto"/>
        </w:rPr>
      </w:pPr>
    </w:p>
    <w:p>
      <w:pPr>
        <w:jc w:val="both"/>
        <w:ind w:left="200" w:right="219" w:firstLine="1305"/>
        <w:spacing w:after="0" w:line="270" w:lineRule="auto"/>
        <w:tabs>
          <w:tab w:leader="none" w:pos="2144"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Company shall have the right to withhold the number of shares of stock from the award sufficient to satisfy any federal, state, international, or local taxes of any kind required by law to be withheld with respect to the vesting of any RSUs which shall have become so vested, as calculated by the Company.</w:t>
      </w:r>
    </w:p>
    <w:p>
      <w:pPr>
        <w:spacing w:after="0" w:line="200" w:lineRule="exact"/>
        <w:rPr>
          <w:rFonts w:ascii="Arial" w:cs="Arial" w:eastAsia="Arial" w:hAnsi="Arial"/>
          <w:sz w:val="17"/>
          <w:szCs w:val="17"/>
          <w:color w:val="auto"/>
        </w:rPr>
      </w:pPr>
    </w:p>
    <w:p>
      <w:pPr>
        <w:spacing w:after="0" w:line="287" w:lineRule="exact"/>
        <w:rPr>
          <w:rFonts w:ascii="Arial" w:cs="Arial" w:eastAsia="Arial" w:hAnsi="Arial"/>
          <w:sz w:val="17"/>
          <w:szCs w:val="17"/>
          <w:color w:val="auto"/>
        </w:rPr>
      </w:pPr>
    </w:p>
    <w:p>
      <w:pPr>
        <w:jc w:val="both"/>
        <w:ind w:left="200" w:right="219" w:firstLine="1305"/>
        <w:spacing w:after="0" w:line="270" w:lineRule="auto"/>
        <w:tabs>
          <w:tab w:leader="none" w:pos="2144"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Company shall, to the extent permitted by law, have the right to deduct from any payment of any kind otherwise due to the Executive any federal, state, international or local taxes of any kind required by law to be withheld with respect to any RSUs which shall have become so vested.</w:t>
      </w:r>
    </w:p>
    <w:p>
      <w:pPr>
        <w:spacing w:after="0" w:line="200" w:lineRule="exact"/>
        <w:rPr>
          <w:rFonts w:ascii="Arial" w:cs="Arial" w:eastAsia="Arial" w:hAnsi="Arial"/>
          <w:sz w:val="17"/>
          <w:szCs w:val="17"/>
          <w:color w:val="auto"/>
        </w:rPr>
      </w:pPr>
    </w:p>
    <w:p>
      <w:pPr>
        <w:spacing w:after="0" w:line="301" w:lineRule="exact"/>
        <w:rPr>
          <w:rFonts w:ascii="Arial" w:cs="Arial" w:eastAsia="Arial" w:hAnsi="Arial"/>
          <w:sz w:val="17"/>
          <w:szCs w:val="17"/>
          <w:color w:val="auto"/>
        </w:rPr>
      </w:pPr>
    </w:p>
    <w:p>
      <w:pPr>
        <w:jc w:val="both"/>
        <w:ind w:left="200" w:right="219" w:firstLine="657"/>
        <w:spacing w:after="0" w:line="269" w:lineRule="auto"/>
        <w:tabs>
          <w:tab w:leader="none" w:pos="149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Special Incentive Compensation</w:t>
      </w:r>
      <w:r>
        <w:rPr>
          <w:rFonts w:ascii="Arial" w:cs="Arial" w:eastAsia="Arial" w:hAnsi="Arial"/>
          <w:sz w:val="17"/>
          <w:szCs w:val="17"/>
          <w:color w:val="auto"/>
        </w:rPr>
        <w:t>. The Executive agrees that the award of the RSUs is special incentive compensation and that the RSUs will not be taken into account as "salary" or "compensation" or "bonus" in determining the amount of any payment under any pension, retirement or profit-sharing plan of the Company or any life insurance, disability or other benefit plan of the Company, except as specifically provided in any such plan.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jc w:val="both"/>
        <w:ind w:left="200" w:right="219" w:firstLine="657"/>
        <w:spacing w:after="0" w:line="267" w:lineRule="auto"/>
        <w:tabs>
          <w:tab w:leader="none" w:pos="149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Delivery Delay</w:t>
      </w:r>
      <w:r>
        <w:rPr>
          <w:rFonts w:ascii="Arial" w:cs="Arial" w:eastAsia="Arial" w:hAnsi="Arial"/>
          <w:sz w:val="17"/>
          <w:szCs w:val="17"/>
          <w:color w:val="auto"/>
        </w:rPr>
        <w:t>. Notwithstanding anything herein, the delivery of any shares of Common Stock for vested RSUs may be postponed by the Company for such period as may be required for it to comply with any applicable federal or state securities law, or any national securities exchange listing requirements and the Company is not obligated to issue or deliver any securities if, in the opinion of counsel for the Company, the issuance of such shares shall constitute a violation by the Executive or the Company of any provisions of any law or of any regulations of any governmental authority or any national securities exchange.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sectPr>
      </w:pPr>
    </w:p>
    <w:bookmarkStart w:id="97" w:name="page98"/>
    <w:bookmarkEnd w:id="97"/>
    <w:p>
      <w:pPr>
        <w:jc w:val="both"/>
        <w:ind w:left="200" w:right="219" w:firstLine="657"/>
        <w:spacing w:after="0" w:line="268" w:lineRule="auto"/>
        <w:tabs>
          <w:tab w:leader="none" w:pos="149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Restriction on Transfer of RSUs</w:t>
      </w:r>
      <w:r>
        <w:rPr>
          <w:rFonts w:ascii="Arial" w:cs="Arial" w:eastAsia="Arial" w:hAnsi="Arial"/>
          <w:sz w:val="17"/>
          <w:szCs w:val="17"/>
          <w:color w:val="auto"/>
        </w:rPr>
        <w:t>. The Executive shall not sell, negotiate, transfer, pledge, hypothecate, assign, or otherwise dispose of the RSUs. Any attempted sale, negotiation, transfer, pledge, hypothecation, assignment or other disposition of the RSUs in violation of the Plan or this Agreement shall be null and void.</w:t>
      </w:r>
    </w:p>
    <w:p>
      <w:pPr>
        <w:spacing w:after="0" w:line="200" w:lineRule="exact"/>
        <w:rPr>
          <w:sz w:val="20"/>
          <w:szCs w:val="20"/>
          <w:color w:val="auto"/>
        </w:rPr>
      </w:pPr>
    </w:p>
    <w:p>
      <w:pPr>
        <w:spacing w:after="0" w:line="290"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7"/>
          <w:szCs w:val="17"/>
          <w:u w:val="single" w:color="auto"/>
          <w:color w:val="auto"/>
        </w:rPr>
        <w:t>Non-Competition</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Competition.</w:t>
      </w:r>
      <w:r>
        <w:rPr>
          <w:rFonts w:ascii="Arial" w:cs="Arial" w:eastAsia="Arial" w:hAnsi="Arial"/>
          <w:sz w:val="17"/>
          <w:szCs w:val="17"/>
          <w:color w:val="auto"/>
        </w:rPr>
        <w:t xml:space="preserve"> By accepting this award of RSUs, as provided below, the Executive agrees that during the "Non-Competition Period" he will not engage in "Competition" with the Company or any of its subsidiaries, divisions, or affiliates (the "Control Group"). As used herein, "Competition" means:</w:t>
      </w:r>
    </w:p>
    <w:p>
      <w:pPr>
        <w:spacing w:after="0" w:line="200" w:lineRule="exact"/>
        <w:rPr>
          <w:sz w:val="20"/>
          <w:szCs w:val="20"/>
          <w:color w:val="auto"/>
        </w:rPr>
      </w:pPr>
    </w:p>
    <w:p>
      <w:pPr>
        <w:spacing w:after="0" w:line="301" w:lineRule="exact"/>
        <w:rPr>
          <w:sz w:val="20"/>
          <w:szCs w:val="20"/>
          <w:color w:val="auto"/>
        </w:rPr>
      </w:pPr>
    </w:p>
    <w:p>
      <w:pPr>
        <w:jc w:val="both"/>
        <w:ind w:left="200" w:right="219" w:firstLine="1953"/>
        <w:spacing w:after="0" w:line="265" w:lineRule="auto"/>
        <w:tabs>
          <w:tab w:leader="none" w:pos="2792" w:val="left"/>
        </w:tabs>
        <w:numPr>
          <w:ilvl w:val="1"/>
          <w:numId w:val="45"/>
        </w:numPr>
        <w:rPr>
          <w:rFonts w:ascii="Arial" w:cs="Arial" w:eastAsia="Arial" w:hAnsi="Arial"/>
          <w:sz w:val="17"/>
          <w:szCs w:val="17"/>
          <w:color w:val="auto"/>
        </w:rPr>
      </w:pPr>
      <w:r>
        <w:rPr>
          <w:rFonts w:ascii="Arial" w:cs="Arial" w:eastAsia="Arial" w:hAnsi="Arial"/>
          <w:sz w:val="17"/>
          <w:szCs w:val="17"/>
          <w:color w:val="auto"/>
        </w:rPr>
        <w:t>participating, directly or indirectly, as an individual proprietor, stockholder, officer, employee, director, joint venturer, investor, lender, or in any capacity whatsoever within __________ or in any other country where any of the Executive's former employing members of the Control Group does business in</w:t>
      </w:r>
    </w:p>
    <w:p>
      <w:pPr>
        <w:jc w:val="both"/>
        <w:ind w:left="200" w:right="219" w:firstLine="9"/>
        <w:spacing w:after="0" w:line="266" w:lineRule="auto"/>
        <w:tabs>
          <w:tab w:leader="none" w:pos="5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 or</w:t>
      </w:r>
    </w:p>
    <w:p>
      <w:pPr>
        <w:spacing w:after="0" w:line="200" w:lineRule="exact"/>
        <w:rPr>
          <w:rFonts w:ascii="Arial" w:cs="Arial" w:eastAsia="Arial" w:hAnsi="Arial"/>
          <w:sz w:val="17"/>
          <w:szCs w:val="17"/>
          <w:color w:val="auto"/>
        </w:rPr>
      </w:pPr>
    </w:p>
    <w:p>
      <w:pPr>
        <w:spacing w:after="0" w:line="294" w:lineRule="exact"/>
        <w:rPr>
          <w:rFonts w:ascii="Arial" w:cs="Arial" w:eastAsia="Arial" w:hAnsi="Arial"/>
          <w:sz w:val="17"/>
          <w:szCs w:val="17"/>
          <w:color w:val="auto"/>
        </w:rPr>
      </w:pPr>
    </w:p>
    <w:p>
      <w:pPr>
        <w:jc w:val="both"/>
        <w:ind w:left="200" w:right="219" w:firstLine="1953"/>
        <w:spacing w:after="0" w:line="268" w:lineRule="auto"/>
        <w:tabs>
          <w:tab w:leader="none" w:pos="2792"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200" w:lineRule="exact"/>
        <w:rPr>
          <w:sz w:val="20"/>
          <w:szCs w:val="20"/>
          <w:color w:val="auto"/>
        </w:rPr>
      </w:pPr>
    </w:p>
    <w:p>
      <w:pPr>
        <w:spacing w:after="0" w:line="290" w:lineRule="exact"/>
        <w:rPr>
          <w:sz w:val="20"/>
          <w:szCs w:val="20"/>
          <w:color w:val="auto"/>
        </w:rPr>
      </w:pPr>
    </w:p>
    <w:p>
      <w:pPr>
        <w:jc w:val="both"/>
        <w:ind w:left="200" w:right="219" w:firstLine="1296"/>
        <w:spacing w:after="0" w:line="265"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"Non-Competition Period."</w:t>
      </w:r>
      <w:r>
        <w:rPr>
          <w:rFonts w:ascii="Arial" w:cs="Arial" w:eastAsia="Arial" w:hAnsi="Arial"/>
          <w:sz w:val="17"/>
          <w:szCs w:val="17"/>
          <w:color w:val="auto"/>
        </w:rPr>
        <w:t xml:space="preserve"> As used herein, "Non-Competition" Period means: the period commencing on the Date of Grant and ending on the Vesting Date, or any part thereof, during which the Executive is employed by the Control Group, and (ii) if the Executive's employment with the Control Group terminates for any reason during such period, the __________-year period commencing on the date his</w:t>
      </w:r>
    </w:p>
    <w:p>
      <w:pPr>
        <w:spacing w:after="0" w:line="1" w:lineRule="exact"/>
        <w:rPr>
          <w:sz w:val="20"/>
          <w:szCs w:val="20"/>
          <w:color w:val="auto"/>
        </w:rPr>
      </w:pPr>
    </w:p>
    <w:p>
      <w:pPr>
        <w:jc w:val="both"/>
        <w:ind w:left="200" w:right="219"/>
        <w:spacing w:after="0" w:line="270" w:lineRule="auto"/>
        <w:rPr>
          <w:sz w:val="20"/>
          <w:szCs w:val="20"/>
          <w:color w:val="auto"/>
        </w:rPr>
      </w:pPr>
      <w:r>
        <w:rPr>
          <w:rFonts w:ascii="Arial" w:cs="Arial" w:eastAsia="Arial" w:hAnsi="Arial"/>
          <w:sz w:val="17"/>
          <w:szCs w:val="17"/>
          <w:color w:val="auto"/>
        </w:rPr>
        <w:t>employment with the Control Group terminates. Notwithstanding the foregoing, the Non-Competition Period shall not extend beyond the date the Executive's employment with the Control Group terminates if such termination of employment occurs following a "Change in Control" as defined in Attachment A hereto.</w:t>
      </w:r>
    </w:p>
    <w:p>
      <w:pPr>
        <w:spacing w:after="0" w:line="200" w:lineRule="exact"/>
        <w:rPr>
          <w:sz w:val="20"/>
          <w:szCs w:val="20"/>
          <w:color w:val="auto"/>
        </w:rPr>
      </w:pPr>
    </w:p>
    <w:p>
      <w:pPr>
        <w:spacing w:after="0" w:line="301" w:lineRule="exact"/>
        <w:rPr>
          <w:sz w:val="20"/>
          <w:szCs w:val="20"/>
          <w:color w:val="auto"/>
        </w:rPr>
      </w:pPr>
    </w:p>
    <w:p>
      <w:pPr>
        <w:jc w:val="both"/>
        <w:ind w:left="200" w:right="219" w:firstLine="1296"/>
        <w:spacing w:after="0" w:line="26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Breach of Non-Competition Provision</w:t>
      </w:r>
      <w:r>
        <w:rPr>
          <w:rFonts w:ascii="Arial" w:cs="Arial" w:eastAsia="Arial" w:hAnsi="Arial"/>
          <w:sz w:val="17"/>
          <w:szCs w:val="17"/>
          <w:color w:val="auto"/>
        </w:rPr>
        <w:t>. The Executive agrees that the breach by him of the provisions included herein under Section 9 under the heading "Non-Competition" (the "Non-Competition Provision") would result in irreparable injury and damage to the Company for which the Company would have no adequate remedy at law. The Executive therefore agrees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him,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81" w:right="1440" w:bottom="1440" w:gutter="0" w:footer="0" w:header="0"/>
        </w:sectPr>
      </w:pPr>
    </w:p>
    <w:bookmarkStart w:id="98" w:name="page99"/>
    <w:bookmarkEnd w:id="98"/>
    <w:p>
      <w:pPr>
        <w:jc w:val="both"/>
        <w:ind w:left="200" w:right="219"/>
        <w:spacing w:after="0" w:line="266" w:lineRule="auto"/>
        <w:rPr>
          <w:sz w:val="20"/>
          <w:szCs w:val="20"/>
          <w:color w:val="auto"/>
        </w:rPr>
      </w:pPr>
      <w:r>
        <w:rPr>
          <w:rFonts w:ascii="Arial" w:cs="Arial" w:eastAsia="Arial" w:hAnsi="Arial"/>
          <w:sz w:val="17"/>
          <w:szCs w:val="17"/>
          <w:color w:val="auto"/>
        </w:rPr>
        <w:t>recovery of damages. In addition, in the event of the Executive's breach of the Non-Competition Provision, the RSUs covered by this Agreement that are then unvested shall be immediately forfeited. The Executive and the Company further agree that the Non-Competition Provision is reasonable and that the Company would not have granted the award of RSUs provided for in this Agreement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 For purposes of the Non-Competition Provision, the Executive and the Company consent to the jurisdiction of state and federal courts in New York County.]</w:t>
      </w:r>
    </w:p>
    <w:p>
      <w:pPr>
        <w:spacing w:after="0" w:line="200" w:lineRule="exact"/>
        <w:rPr>
          <w:sz w:val="20"/>
          <w:szCs w:val="20"/>
          <w:color w:val="auto"/>
        </w:rPr>
      </w:pPr>
    </w:p>
    <w:p>
      <w:pPr>
        <w:spacing w:after="0" w:line="292" w:lineRule="exact"/>
        <w:rPr>
          <w:sz w:val="20"/>
          <w:szCs w:val="20"/>
          <w:color w:val="auto"/>
        </w:rPr>
      </w:pPr>
    </w:p>
    <w:p>
      <w:pPr>
        <w:ind w:left="1500" w:hanging="643"/>
        <w:spacing w:after="0"/>
        <w:tabs>
          <w:tab w:leader="none" w:pos="1500"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Not an Employment Agreement</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The award of RSUs hereunder does not constitute an agreement by the Company to continue to employ the Executive during the entire, or any portion of the, term of this Agreement, including but not limited to any period during which the RSUs are outstanding.</w:t>
      </w:r>
    </w:p>
    <w:p>
      <w:pPr>
        <w:spacing w:after="0" w:line="200" w:lineRule="exact"/>
        <w:rPr>
          <w:sz w:val="20"/>
          <w:szCs w:val="20"/>
          <w:color w:val="auto"/>
        </w:rPr>
      </w:pPr>
    </w:p>
    <w:p>
      <w:pPr>
        <w:spacing w:after="0" w:line="300" w:lineRule="exact"/>
        <w:rPr>
          <w:sz w:val="20"/>
          <w:szCs w:val="20"/>
          <w:color w:val="auto"/>
        </w:rPr>
      </w:pPr>
    </w:p>
    <w:p>
      <w:pPr>
        <w:ind w:left="1500" w:hanging="643"/>
        <w:spacing w:after="0"/>
        <w:tabs>
          <w:tab w:leader="none" w:pos="1500"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7"/>
          <w:szCs w:val="17"/>
          <w:color w:val="auto"/>
        </w:rPr>
        <w:t>11.1    In no event shall any dividend equivalents accrue or be paid on any RSUs.</w:t>
      </w:r>
    </w:p>
    <w:p>
      <w:pPr>
        <w:spacing w:after="0" w:line="237" w:lineRule="exact"/>
        <w:rPr>
          <w:sz w:val="20"/>
          <w:szCs w:val="20"/>
          <w:color w:val="auto"/>
        </w:rPr>
      </w:pPr>
    </w:p>
    <w:p>
      <w:pPr>
        <w:jc w:val="both"/>
        <w:ind w:left="200" w:right="219" w:firstLine="1296"/>
        <w:spacing w:after="0" w:line="276" w:lineRule="auto"/>
        <w:rPr>
          <w:sz w:val="20"/>
          <w:szCs w:val="20"/>
          <w:color w:val="auto"/>
        </w:rPr>
      </w:pPr>
      <w:r>
        <w:rPr>
          <w:rFonts w:ascii="Arial" w:cs="Arial" w:eastAsia="Arial" w:hAnsi="Arial"/>
          <w:sz w:val="17"/>
          <w:szCs w:val="17"/>
          <w:color w:val="auto"/>
        </w:rPr>
        <w:t>11.2 This Agreement shall inure to the benefit of and be binding upon all parties hereto and their respective heirs, legal representatives, successors, and assigns.</w:t>
      </w:r>
    </w:p>
    <w:p>
      <w:pPr>
        <w:spacing w:after="0" w:line="200" w:lineRule="exact"/>
        <w:rPr>
          <w:sz w:val="20"/>
          <w:szCs w:val="20"/>
          <w:color w:val="auto"/>
        </w:rPr>
      </w:pPr>
    </w:p>
    <w:p>
      <w:pPr>
        <w:spacing w:after="0" w:line="282" w:lineRule="exact"/>
        <w:rPr>
          <w:sz w:val="20"/>
          <w:szCs w:val="20"/>
          <w:color w:val="auto"/>
        </w:rPr>
      </w:pPr>
    </w:p>
    <w:p>
      <w:pPr>
        <w:jc w:val="both"/>
        <w:ind w:left="200" w:right="219" w:firstLine="1296"/>
        <w:spacing w:after="0" w:line="259" w:lineRule="auto"/>
        <w:rPr>
          <w:sz w:val="20"/>
          <w:szCs w:val="20"/>
          <w:color w:val="auto"/>
        </w:rPr>
      </w:pPr>
      <w:r>
        <w:rPr>
          <w:rFonts w:ascii="Arial" w:cs="Arial" w:eastAsia="Arial" w:hAnsi="Arial"/>
          <w:sz w:val="17"/>
          <w:szCs w:val="17"/>
          <w:color w:val="auto"/>
        </w:rPr>
        <w:t>11.3 This Agreement shall be subject to any compensation recoupment policy that the Company may adopt.</w:t>
      </w:r>
    </w:p>
    <w:p>
      <w:pPr>
        <w:spacing w:after="0" w:line="213"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11.4 This Agreement constitutes the entire agreement between the parties and cannot be changed or terminated orally. No modification or waiver of any of the provisions hereof shall be effective unless in writing and signed by the party against whom it is sought to be enforced.</w:t>
      </w:r>
    </w:p>
    <w:p>
      <w:pPr>
        <w:spacing w:after="0" w:line="200" w:lineRule="exact"/>
        <w:rPr>
          <w:sz w:val="20"/>
          <w:szCs w:val="20"/>
          <w:color w:val="auto"/>
        </w:rPr>
      </w:pPr>
    </w:p>
    <w:p>
      <w:pPr>
        <w:spacing w:after="0" w:line="288" w:lineRule="exact"/>
        <w:rPr>
          <w:sz w:val="20"/>
          <w:szCs w:val="20"/>
          <w:color w:val="auto"/>
        </w:rPr>
      </w:pPr>
    </w:p>
    <w:p>
      <w:pPr>
        <w:jc w:val="both"/>
        <w:ind w:left="200" w:right="219" w:firstLine="1296"/>
        <w:spacing w:after="0" w:line="276" w:lineRule="auto"/>
        <w:rPr>
          <w:sz w:val="20"/>
          <w:szCs w:val="20"/>
          <w:color w:val="auto"/>
        </w:rPr>
      </w:pPr>
      <w:r>
        <w:rPr>
          <w:rFonts w:ascii="Arial" w:cs="Arial" w:eastAsia="Arial" w:hAnsi="Arial"/>
          <w:sz w:val="17"/>
          <w:szCs w:val="17"/>
          <w:color w:val="auto"/>
        </w:rPr>
        <w:t>11.5 This Agreement may be executed in one or more counterparts, all of which taken together shall constitute one contract.</w:t>
      </w:r>
    </w:p>
    <w:p>
      <w:pPr>
        <w:spacing w:after="0" w:line="200" w:lineRule="exact"/>
        <w:rPr>
          <w:sz w:val="20"/>
          <w:szCs w:val="20"/>
          <w:color w:val="auto"/>
        </w:rPr>
      </w:pPr>
    </w:p>
    <w:p>
      <w:pPr>
        <w:spacing w:after="0" w:line="282" w:lineRule="exact"/>
        <w:rPr>
          <w:sz w:val="20"/>
          <w:szCs w:val="20"/>
          <w:color w:val="auto"/>
        </w:rPr>
      </w:pPr>
    </w:p>
    <w:p>
      <w:pPr>
        <w:jc w:val="both"/>
        <w:ind w:left="200" w:right="219" w:firstLine="1296"/>
        <w:spacing w:after="0" w:line="251" w:lineRule="auto"/>
        <w:rPr>
          <w:sz w:val="20"/>
          <w:szCs w:val="20"/>
          <w:color w:val="auto"/>
        </w:rPr>
      </w:pPr>
      <w:r>
        <w:rPr>
          <w:rFonts w:ascii="Arial" w:cs="Arial" w:eastAsia="Arial" w:hAnsi="Arial"/>
          <w:sz w:val="17"/>
          <w:szCs w:val="17"/>
          <w:color w:val="auto"/>
        </w:rPr>
        <w:t>11.6 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200" w:lineRule="exact"/>
        <w:rPr>
          <w:sz w:val="20"/>
          <w:szCs w:val="20"/>
          <w:color w:val="auto"/>
        </w:rPr>
      </w:pPr>
    </w:p>
    <w:p>
      <w:pPr>
        <w:spacing w:after="0" w:line="317"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11.7 This Agreement is subject, in all respects, to the provisions of the Plan, and to the extent any provision of this Agreement contravenes or is inconsistent with any provision of the Plan, the provisions of the Plan shall govern.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sectPr>
      </w:pPr>
    </w:p>
    <w:bookmarkStart w:id="99" w:name="page100"/>
    <w:bookmarkEnd w:id="99"/>
    <w:p>
      <w:pPr>
        <w:jc w:val="both"/>
        <w:ind w:left="200" w:right="239" w:firstLine="1296"/>
        <w:spacing w:after="0" w:line="276" w:lineRule="auto"/>
        <w:rPr>
          <w:sz w:val="20"/>
          <w:szCs w:val="20"/>
          <w:color w:val="auto"/>
        </w:rPr>
      </w:pPr>
      <w:r>
        <w:rPr>
          <w:rFonts w:ascii="Arial" w:cs="Arial" w:eastAsia="Arial" w:hAnsi="Arial"/>
          <w:sz w:val="17"/>
          <w:szCs w:val="17"/>
          <w:color w:val="auto"/>
        </w:rPr>
        <w:t>11.8 The headings of the sections of this Agreement have been inserted for convenience of reference only and shall in no way restrict or modify any of the terms or provisions hereof.</w:t>
      </w:r>
    </w:p>
    <w:p>
      <w:pPr>
        <w:spacing w:after="0" w:line="200" w:lineRule="exact"/>
        <w:rPr>
          <w:sz w:val="20"/>
          <w:szCs w:val="20"/>
          <w:color w:val="auto"/>
        </w:rPr>
      </w:pPr>
    </w:p>
    <w:p>
      <w:pPr>
        <w:spacing w:after="0" w:line="282" w:lineRule="exact"/>
        <w:rPr>
          <w:sz w:val="20"/>
          <w:szCs w:val="20"/>
          <w:color w:val="auto"/>
        </w:rPr>
      </w:pPr>
    </w:p>
    <w:p>
      <w:pPr>
        <w:jc w:val="both"/>
        <w:ind w:left="200" w:right="239" w:firstLine="1296"/>
        <w:spacing w:after="0" w:line="276" w:lineRule="auto"/>
        <w:rPr>
          <w:sz w:val="20"/>
          <w:szCs w:val="20"/>
          <w:color w:val="auto"/>
        </w:rPr>
      </w:pPr>
      <w:r>
        <w:rPr>
          <w:rFonts w:ascii="Arial" w:cs="Arial" w:eastAsia="Arial" w:hAnsi="Arial"/>
          <w:sz w:val="17"/>
          <w:szCs w:val="17"/>
          <w:color w:val="auto"/>
        </w:rPr>
        <w:t>11.9 Capitalized terms used herein that are not defined in this Agreement shall have the meanings provided for such terms under the Plan.</w:t>
      </w:r>
    </w:p>
    <w:p>
      <w:pPr>
        <w:spacing w:after="0" w:line="200" w:lineRule="exact"/>
        <w:rPr>
          <w:sz w:val="20"/>
          <w:szCs w:val="20"/>
          <w:color w:val="auto"/>
        </w:rPr>
      </w:pPr>
    </w:p>
    <w:p>
      <w:pPr>
        <w:spacing w:after="0" w:line="282" w:lineRule="exact"/>
        <w:rPr>
          <w:sz w:val="20"/>
          <w:szCs w:val="20"/>
          <w:color w:val="auto"/>
        </w:rPr>
      </w:pPr>
    </w:p>
    <w:p>
      <w:pPr>
        <w:jc w:val="both"/>
        <w:ind w:left="200" w:right="219" w:firstLine="1296"/>
        <w:spacing w:after="0" w:line="267" w:lineRule="auto"/>
        <w:rPr>
          <w:sz w:val="20"/>
          <w:szCs w:val="20"/>
          <w:color w:val="auto"/>
        </w:rPr>
      </w:pPr>
      <w:r>
        <w:rPr>
          <w:rFonts w:ascii="Arial" w:cs="Arial" w:eastAsia="Arial" w:hAnsi="Arial"/>
          <w:sz w:val="17"/>
          <w:szCs w:val="17"/>
          <w:color w:val="auto"/>
        </w:rPr>
        <w:t>11.10 All notices, consents, requests, approvals, instructions, and other communications provided for herein shall be in writing and validly given or made when delivered, or on the second succeeding business day after being mailed by registered or certified mail, whichever is earlier, to the persons entitled or required to receive the same. In the case of the Company, notices shall be addressed to the General Counsel at the address set forth at the heading of this Agreement. In the case of the Executive, notices shall be addressed to his principal residence address as shown in the records of the Company, or to such other address as either party may designate by like notice.</w:t>
      </w:r>
    </w:p>
    <w:p>
      <w:pPr>
        <w:spacing w:after="0" w:line="200" w:lineRule="exact"/>
        <w:rPr>
          <w:sz w:val="20"/>
          <w:szCs w:val="20"/>
          <w:color w:val="auto"/>
        </w:rPr>
      </w:pPr>
    </w:p>
    <w:p>
      <w:pPr>
        <w:spacing w:after="0" w:line="303" w:lineRule="exact"/>
        <w:rPr>
          <w:sz w:val="20"/>
          <w:szCs w:val="20"/>
          <w:color w:val="auto"/>
        </w:rPr>
      </w:pPr>
    </w:p>
    <w:p>
      <w:pPr>
        <w:jc w:val="both"/>
        <w:ind w:left="200" w:right="219" w:firstLine="1296"/>
        <w:spacing w:after="0" w:line="281" w:lineRule="auto"/>
        <w:rPr>
          <w:sz w:val="20"/>
          <w:szCs w:val="20"/>
          <w:color w:val="auto"/>
        </w:rPr>
      </w:pPr>
      <w:r>
        <w:rPr>
          <w:rFonts w:ascii="Arial" w:cs="Arial" w:eastAsia="Arial" w:hAnsi="Arial"/>
          <w:sz w:val="17"/>
          <w:szCs w:val="17"/>
          <w:color w:val="auto"/>
        </w:rPr>
        <w:t>11.11 This Agreement shall be governed and construed and the legal relationships of the parties determined in accordance with the laws of the State of New York without regard to its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200" w:right="219" w:firstLine="1296"/>
        <w:spacing w:after="0" w:line="250" w:lineRule="auto"/>
        <w:rPr>
          <w:sz w:val="20"/>
          <w:szCs w:val="20"/>
          <w:color w:val="auto"/>
        </w:rPr>
      </w:pPr>
      <w:r>
        <w:rPr>
          <w:rFonts w:ascii="Arial" w:cs="Arial" w:eastAsia="Arial" w:hAnsi="Arial"/>
          <w:sz w:val="17"/>
          <w:szCs w:val="17"/>
          <w:color w:val="auto"/>
        </w:rPr>
        <w:t>11.12 Although the Company does not guarantee the tax treatment of the RSUs, this Agreement is intended to comply with, or be exempt from, the applicable requirements of Code Section 409A and shall be limited, construed and interpreted in accordance with such intent. Accordingly, in the event that you are a “specified employee” within the meaning of Code Section 409A as of the date of your separation from service (as determined pursuant to Code Section 409A and any procedure set by the Company), any award of RSUs payable as a result of such separation from service, if any, shall be settled no earlier than the day following the six-month anniversary of your separation from service, or, if earlier, your death.</w:t>
      </w:r>
    </w:p>
    <w:p>
      <w:pPr>
        <w:spacing w:after="0" w:line="208" w:lineRule="exact"/>
        <w:rPr>
          <w:sz w:val="20"/>
          <w:szCs w:val="20"/>
          <w:color w:val="auto"/>
        </w:rPr>
      </w:pPr>
    </w:p>
    <w:p>
      <w:pPr>
        <w:ind w:left="1500"/>
        <w:spacing w:after="0"/>
        <w:tabs>
          <w:tab w:leader="none" w:pos="2140" w:val="left"/>
        </w:tabs>
        <w:rPr>
          <w:sz w:val="20"/>
          <w:szCs w:val="20"/>
          <w:color w:val="auto"/>
        </w:rPr>
      </w:pPr>
      <w:r>
        <w:rPr>
          <w:rFonts w:ascii="Arial" w:cs="Arial" w:eastAsia="Arial" w:hAnsi="Arial"/>
          <w:sz w:val="17"/>
          <w:szCs w:val="17"/>
          <w:color w:val="auto"/>
        </w:rPr>
        <w:t>11.13</w:t>
        <w:tab/>
        <w:t>To accept this RSU grant, please click “Accept Grant” no later than __________. Please</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ensure your home address is accurate by reviewing your profile information.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81" w:right="1440" w:bottom="1440" w:gutter="0" w:footer="0" w:header="0"/>
        </w:sectPr>
      </w:pPr>
    </w:p>
    <w:bookmarkStart w:id="100" w:name="page101"/>
    <w:bookmarkEnd w:id="100"/>
    <w:p>
      <w:pPr>
        <w:ind w:left="200" w:right="399" w:firstLine="648"/>
        <w:spacing w:after="0" w:line="259" w:lineRule="auto"/>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334"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-16510</wp:posOffset>
            </wp:positionV>
            <wp:extent cx="14846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3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1028700</wp:posOffset>
            </wp:positionV>
            <wp:extent cx="22485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9">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7"/>
          <w:szCs w:val="17"/>
          <w:b w:val="1"/>
          <w:bCs w:val="1"/>
          <w:u w:val="single" w:color="auto"/>
          <w:color w:val="auto"/>
        </w:rPr>
        <w:t>APPENDIX A</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Change in Control shall mean any of the following:</w:t>
      </w:r>
    </w:p>
    <w:p>
      <w:pPr>
        <w:spacing w:after="0" w:line="115" w:lineRule="exact"/>
        <w:rPr>
          <w:sz w:val="20"/>
          <w:szCs w:val="20"/>
          <w:color w:val="auto"/>
        </w:rPr>
      </w:pPr>
    </w:p>
    <w:p>
      <w:pPr>
        <w:jc w:val="both"/>
        <w:ind w:left="200" w:right="219" w:firstLine="1305"/>
        <w:spacing w:after="0" w:line="250" w:lineRule="auto"/>
        <w:tabs>
          <w:tab w:leader="none" w:pos="21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97" w:lineRule="exact"/>
        <w:rPr>
          <w:rFonts w:ascii="Arial" w:cs="Arial" w:eastAsia="Arial" w:hAnsi="Arial"/>
          <w:sz w:val="17"/>
          <w:szCs w:val="17"/>
          <w:color w:val="auto"/>
        </w:rPr>
      </w:pPr>
    </w:p>
    <w:p>
      <w:pPr>
        <w:jc w:val="both"/>
        <w:ind w:left="200" w:right="219" w:firstLine="1305"/>
        <w:spacing w:after="0" w:line="250" w:lineRule="auto"/>
        <w:tabs>
          <w:tab w:leader="none" w:pos="21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Stock) acting in concert; or</w:t>
      </w:r>
    </w:p>
    <w:p>
      <w:pPr>
        <w:spacing w:after="0" w:line="100" w:lineRule="exact"/>
        <w:rPr>
          <w:rFonts w:ascii="Arial" w:cs="Arial" w:eastAsia="Arial" w:hAnsi="Arial"/>
          <w:sz w:val="17"/>
          <w:szCs w:val="17"/>
          <w:color w:val="auto"/>
        </w:rPr>
      </w:pPr>
    </w:p>
    <w:p>
      <w:pPr>
        <w:jc w:val="both"/>
        <w:ind w:left="200" w:right="219" w:firstLine="1305"/>
        <w:spacing w:after="0" w:line="251" w:lineRule="auto"/>
        <w:tabs>
          <w:tab w:leader="none" w:pos="2144"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sz w:val="20"/>
          <w:szCs w:val="20"/>
          <w:color w:val="auto"/>
        </w:rPr>
      </w:pPr>
    </w:p>
    <w:p>
      <w:pPr>
        <w:spacing w:after="0" w:line="263" w:lineRule="exact"/>
        <w:rPr>
          <w:sz w:val="20"/>
          <w:szCs w:val="20"/>
          <w:color w:val="auto"/>
        </w:rPr>
      </w:pPr>
    </w:p>
    <w:p>
      <w:pPr>
        <w:ind w:left="200" w:right="239"/>
        <w:spacing w:after="0" w:line="259" w:lineRule="auto"/>
        <w:rPr>
          <w:sz w:val="20"/>
          <w:szCs w:val="20"/>
          <w:color w:val="auto"/>
        </w:rPr>
      </w:pPr>
      <w:r>
        <w:rPr>
          <w:rFonts w:ascii="Arial" w:cs="Arial" w:eastAsia="Arial" w:hAnsi="Arial"/>
          <w:sz w:val="17"/>
          <w:szCs w:val="17"/>
          <w:color w:val="auto"/>
        </w:rPr>
        <w:t xml:space="preserve">This definition of Change in Control is intended to be construed as defined in the Plan and shall be interpreted in a manner consistent with Treasury Regulation </w:t>
      </w:r>
      <w:r>
        <w:rPr>
          <w:rFonts w:ascii="Arial" w:cs="Arial" w:eastAsia="Arial" w:hAnsi="Arial"/>
          <w:sz w:val="17"/>
          <w:szCs w:val="17"/>
          <w:color w:val="222222"/>
        </w:rPr>
        <w:t>§ 1.409A-3(i)(5).</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102" w:name="page103"/>
    <w:bookmarkEnd w:id="102"/>
    <w:p>
      <w:pPr>
        <w:jc w:val="right"/>
        <w:ind w:right="219"/>
        <w:spacing w:after="0"/>
        <w:rPr>
          <w:sz w:val="20"/>
          <w:szCs w:val="20"/>
          <w:color w:val="auto"/>
        </w:rPr>
      </w:pPr>
      <w:r>
        <w:rPr>
          <w:rFonts w:ascii="Arial" w:cs="Arial" w:eastAsia="Arial" w:hAnsi="Arial"/>
          <w:sz w:val="17"/>
          <w:szCs w:val="17"/>
          <w:b w:val="1"/>
          <w:bCs w:val="1"/>
          <w:color w:val="auto"/>
        </w:rPr>
        <w:t>Exhibit 10.10</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FOOT LOCKER 2007 STOCK INCENTIVE PLAN</w:t>
      </w:r>
    </w:p>
    <w:p>
      <w:pPr>
        <w:spacing w:after="0" w:line="200" w:lineRule="exact"/>
        <w:rPr>
          <w:sz w:val="20"/>
          <w:szCs w:val="20"/>
          <w:color w:val="auto"/>
        </w:rPr>
      </w:pPr>
    </w:p>
    <w:p>
      <w:pPr>
        <w:spacing w:after="0" w:line="340"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7"/>
          <w:szCs w:val="17"/>
          <w:color w:val="auto"/>
        </w:rPr>
        <w:t>This Restricted Stock Unit Award Agreement (this “Agreement”) is made under the Foot Locker 2007 Stock Incentive Plan (the “Plan”), as of __________, by and between Foot Locker, Inc., a New York corporation, with its principal office located at 330 West 34th Street, New York, New York 10001 (the “Company”), and</w:t>
      </w:r>
    </w:p>
    <w:p>
      <w:pPr>
        <w:ind w:left="200"/>
        <w:spacing w:after="0"/>
        <w:rPr>
          <w:sz w:val="20"/>
          <w:szCs w:val="20"/>
          <w:color w:val="auto"/>
        </w:rPr>
      </w:pPr>
      <w:r>
        <w:rPr>
          <w:rFonts w:ascii="Arial" w:cs="Arial" w:eastAsia="Arial" w:hAnsi="Arial"/>
          <w:sz w:val="17"/>
          <w:szCs w:val="17"/>
          <w:color w:val="auto"/>
        </w:rPr>
        <w:t>__________ (the “Non-Employee Director”).</w:t>
      </w:r>
    </w:p>
    <w:p>
      <w:pPr>
        <w:spacing w:after="0" w:line="200" w:lineRule="exact"/>
        <w:rPr>
          <w:sz w:val="20"/>
          <w:szCs w:val="20"/>
          <w:color w:val="auto"/>
        </w:rPr>
      </w:pPr>
    </w:p>
    <w:p>
      <w:pPr>
        <w:spacing w:after="0" w:line="334" w:lineRule="exact"/>
        <w:rPr>
          <w:sz w:val="20"/>
          <w:szCs w:val="20"/>
          <w:color w:val="auto"/>
        </w:rPr>
      </w:pPr>
    </w:p>
    <w:p>
      <w:pPr>
        <w:jc w:val="both"/>
        <w:ind w:left="200" w:right="219" w:firstLine="657"/>
        <w:spacing w:after="0" w:line="267" w:lineRule="auto"/>
        <w:tabs>
          <w:tab w:leader="none" w:pos="1496"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Grant of RSUs</w:t>
      </w:r>
      <w:r>
        <w:rPr>
          <w:rFonts w:ascii="Arial" w:cs="Arial" w:eastAsia="Arial" w:hAnsi="Arial"/>
          <w:sz w:val="17"/>
          <w:szCs w:val="17"/>
          <w:color w:val="auto"/>
        </w:rPr>
        <w:t>. Effective __________ (the “Date of Grant”), the Board of Directors of the Company granted the Non-Employee Director an award of __________ restricted stock units (“RSUs”) under the Plan, subject to the terms of the Plan and the restrictions set forth in this Agreement. The RSUs granted to the Non-Employee Director are considered “Other Stock-Based Awards” under the Plan. Each RSU represents the right to receive one share of the Company's Common Stock, par value $.01 per share (“Common Stock”), upon the satisfaction of the terms and conditions set forth in this Agreement and the Plan.</w:t>
      </w: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ind w:left="1500" w:hanging="643"/>
        <w:spacing w:after="0"/>
        <w:tabs>
          <w:tab w:leader="none" w:pos="1500"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Vesting and Delivery</w:t>
      </w:r>
    </w:p>
    <w:p>
      <w:pPr>
        <w:spacing w:after="0" w:line="200" w:lineRule="exact"/>
        <w:rPr>
          <w:sz w:val="20"/>
          <w:szCs w:val="20"/>
          <w:color w:val="auto"/>
        </w:rPr>
      </w:pPr>
    </w:p>
    <w:p>
      <w:pPr>
        <w:spacing w:after="0" w:line="320" w:lineRule="exact"/>
        <w:rPr>
          <w:sz w:val="20"/>
          <w:szCs w:val="20"/>
          <w:color w:val="auto"/>
        </w:rPr>
      </w:pPr>
    </w:p>
    <w:p>
      <w:pPr>
        <w:jc w:val="both"/>
        <w:ind w:left="200" w:right="219" w:firstLine="657"/>
        <w:spacing w:after="0" w:line="265"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RSUs shall be payable in stock on __________ (the “Vesting Date”) provided you are a non-employee director of the Company on such date. Subject to the terms of this Agreement and the Plan,</w:t>
      </w:r>
    </w:p>
    <w:p>
      <w:pPr>
        <w:jc w:val="both"/>
        <w:ind w:left="200" w:right="219"/>
        <w:spacing w:after="0" w:line="268" w:lineRule="auto"/>
        <w:rPr>
          <w:rFonts w:ascii="Arial" w:cs="Arial" w:eastAsia="Arial" w:hAnsi="Arial"/>
          <w:sz w:val="17"/>
          <w:szCs w:val="17"/>
          <w:color w:val="auto"/>
        </w:rPr>
      </w:pPr>
      <w:r>
        <w:rPr>
          <w:rFonts w:ascii="Arial" w:cs="Arial" w:eastAsia="Arial" w:hAnsi="Arial"/>
          <w:sz w:val="17"/>
          <w:szCs w:val="17"/>
          <w:color w:val="auto"/>
        </w:rPr>
        <w:t>__________ shares of Common Stock shall be delivered to the Non-Employee Director on such date as described below. Notwithstanding the foregoing, if the RSUs have been deferred in accordance with an individual election made in compliance with Code Section 409A, the RSUs, to the extent vested, shall be paid in accordance with such election.</w:t>
      </w:r>
    </w:p>
    <w:p>
      <w:pPr>
        <w:spacing w:after="0" w:line="200" w:lineRule="exact"/>
        <w:rPr>
          <w:rFonts w:ascii="Arial" w:cs="Arial" w:eastAsia="Arial" w:hAnsi="Arial"/>
          <w:sz w:val="17"/>
          <w:szCs w:val="17"/>
          <w:color w:val="auto"/>
        </w:rPr>
      </w:pPr>
    </w:p>
    <w:p>
      <w:pPr>
        <w:spacing w:after="0" w:line="303" w:lineRule="exact"/>
        <w:rPr>
          <w:rFonts w:ascii="Arial" w:cs="Arial" w:eastAsia="Arial" w:hAnsi="Arial"/>
          <w:sz w:val="17"/>
          <w:szCs w:val="17"/>
          <w:color w:val="auto"/>
        </w:rPr>
      </w:pPr>
    </w:p>
    <w:p>
      <w:pPr>
        <w:ind w:left="200" w:right="219" w:firstLine="657"/>
        <w:spacing w:after="0" w:line="276"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than as may be provided for herein, there shall be no proportionate or partial vesting in the periods prior to the Vesting Date.</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00" w:right="219" w:firstLine="657"/>
        <w:spacing w:after="0" w:line="276"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Subject to Section 4, when the RSUs become payable, the Company shall issue and deliver to the Non-Employee Director shares of the Company's Common Stock.</w:t>
      </w: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200" w:right="239" w:firstLine="657"/>
        <w:spacing w:after="0" w:line="276" w:lineRule="auto"/>
        <w:tabs>
          <w:tab w:leader="none" w:pos="149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addition, all RSUs shall become immediately vested upon any Change in Control as defined in Appendix A hereto.</w:t>
      </w:r>
    </w:p>
    <w:p>
      <w:pPr>
        <w:spacing w:after="0" w:line="200" w:lineRule="exact"/>
        <w:rPr>
          <w:sz w:val="20"/>
          <w:szCs w:val="20"/>
          <w:color w:val="auto"/>
        </w:rPr>
      </w:pPr>
    </w:p>
    <w:p>
      <w:pPr>
        <w:spacing w:after="0" w:line="282" w:lineRule="exact"/>
        <w:rPr>
          <w:sz w:val="20"/>
          <w:szCs w:val="20"/>
          <w:color w:val="auto"/>
        </w:rPr>
      </w:pPr>
    </w:p>
    <w:p>
      <w:pPr>
        <w:jc w:val="both"/>
        <w:ind w:left="200" w:right="219" w:firstLine="657"/>
        <w:spacing w:after="0" w:line="267" w:lineRule="auto"/>
        <w:tabs>
          <w:tab w:leader="none" w:pos="149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any stock dividend, split up, split-off, spin-off, distribution, recapitalization, combination, or exchange of shares, merger, consolidation, reorganization or liquidation or the like, the Board of Directors shall adjust this RSU award in accordance with the terms of the Plan consistent with any distribution or adjustment being made with respect to shares of Common Stock. In any such event, the determination made by the Board of Directors shall be conclusive. In the event of any such adjustment, the adjusted award shall be subject to the same vesting schedule as the RSUs, as set forth in Section 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572770</wp:posOffset>
            </wp:positionV>
            <wp:extent cx="545211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sectPr>
      </w:pPr>
    </w:p>
    <w:bookmarkStart w:id="103" w:name="page104"/>
    <w:bookmarkEnd w:id="103"/>
    <w:p>
      <w:pPr>
        <w:jc w:val="both"/>
        <w:ind w:left="200" w:right="219" w:firstLine="657"/>
        <w:spacing w:after="0" w:line="267" w:lineRule="auto"/>
        <w:tabs>
          <w:tab w:leader="none" w:pos="149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Delivery Delay</w:t>
      </w:r>
      <w:r>
        <w:rPr>
          <w:rFonts w:ascii="Arial" w:cs="Arial" w:eastAsia="Arial" w:hAnsi="Arial"/>
          <w:sz w:val="17"/>
          <w:szCs w:val="17"/>
          <w:color w:val="auto"/>
        </w:rPr>
        <w:t>. Notwithstanding anything herein, the delivery of any shares of Common Stock for vested RSUs may be postponed by the Company for such period as may be required for it to comply with any applicable federal or state securities law, or any national securities exchange listing requirements and the Company is not obligated to issue or deliver any securities if, in the opinion of counsel for the Company, the issuance of such shares shall constitute a violation by the Non-Employee Director or the Company of any provisions of any law or of any regulations of any governmental authority or any national securities exchange.</w:t>
      </w: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jc w:val="both"/>
        <w:ind w:left="200" w:right="219" w:firstLine="657"/>
        <w:spacing w:after="0" w:line="268" w:lineRule="auto"/>
        <w:tabs>
          <w:tab w:leader="none" w:pos="149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Restriction on Transfer of RSUs</w:t>
      </w:r>
      <w:r>
        <w:rPr>
          <w:rFonts w:ascii="Arial" w:cs="Arial" w:eastAsia="Arial" w:hAnsi="Arial"/>
          <w:sz w:val="17"/>
          <w:szCs w:val="17"/>
          <w:color w:val="auto"/>
        </w:rPr>
        <w:t>. The Non-Employee Director shall not sell, negotiate, transfer, pledge, hypothecate, assign, or otherwise dispose of the RSUs. Any attempted sale, negotiation, transfer, pledge, hypothecation, assignment, or other disposition of the RSUs in violation of the Plan or this Agreement shall be null and void.</w:t>
      </w:r>
    </w:p>
    <w:p>
      <w:pPr>
        <w:spacing w:after="0" w:line="200" w:lineRule="exact"/>
        <w:rPr>
          <w:rFonts w:ascii="Arial" w:cs="Arial" w:eastAsia="Arial" w:hAnsi="Arial"/>
          <w:sz w:val="17"/>
          <w:szCs w:val="17"/>
          <w:color w:val="auto"/>
        </w:rPr>
      </w:pPr>
    </w:p>
    <w:p>
      <w:pPr>
        <w:spacing w:after="0" w:line="290" w:lineRule="exact"/>
        <w:rPr>
          <w:rFonts w:ascii="Arial" w:cs="Arial" w:eastAsia="Arial" w:hAnsi="Arial"/>
          <w:sz w:val="17"/>
          <w:szCs w:val="17"/>
          <w:color w:val="auto"/>
        </w:rPr>
      </w:pPr>
    </w:p>
    <w:p>
      <w:pPr>
        <w:ind w:left="1500" w:hanging="643"/>
        <w:spacing w:after="0"/>
        <w:tabs>
          <w:tab w:leader="none" w:pos="150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00" w:lineRule="exact"/>
        <w:rPr>
          <w:sz w:val="20"/>
          <w:szCs w:val="20"/>
          <w:color w:val="auto"/>
        </w:rPr>
      </w:pPr>
    </w:p>
    <w:p>
      <w:pPr>
        <w:spacing w:after="0" w:line="334" w:lineRule="exact"/>
        <w:rPr>
          <w:sz w:val="20"/>
          <w:szCs w:val="20"/>
          <w:color w:val="auto"/>
        </w:rPr>
      </w:pPr>
    </w:p>
    <w:p>
      <w:pPr>
        <w:jc w:val="both"/>
        <w:ind w:left="200" w:right="219" w:firstLine="1296"/>
        <w:spacing w:after="0" w:line="276" w:lineRule="auto"/>
        <w:rPr>
          <w:sz w:val="20"/>
          <w:szCs w:val="20"/>
          <w:color w:val="auto"/>
        </w:rPr>
      </w:pPr>
      <w:r>
        <w:rPr>
          <w:rFonts w:ascii="Arial" w:cs="Arial" w:eastAsia="Arial" w:hAnsi="Arial"/>
          <w:sz w:val="17"/>
          <w:szCs w:val="17"/>
          <w:color w:val="auto"/>
        </w:rPr>
        <w:t>6.1 This Agreement shall inure to the benefit of and be binding upon all parties hereto and their respective heirs, legal representatives, successors, and assigns.</w:t>
      </w:r>
    </w:p>
    <w:p>
      <w:pPr>
        <w:spacing w:after="0" w:line="200" w:lineRule="exact"/>
        <w:rPr>
          <w:sz w:val="20"/>
          <w:szCs w:val="20"/>
          <w:color w:val="auto"/>
        </w:rPr>
      </w:pPr>
    </w:p>
    <w:p>
      <w:pPr>
        <w:spacing w:after="0" w:line="282"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6.2 This Agreement constitutes the entire agreement between the parties and cannot be changed or terminated orally. No modification or waiver of any of the provisions hereof shall be effective unless in writing and signed by the party against whom it is sought to be enforced.</w:t>
      </w:r>
    </w:p>
    <w:p>
      <w:pPr>
        <w:spacing w:after="0" w:line="200" w:lineRule="exact"/>
        <w:rPr>
          <w:sz w:val="20"/>
          <w:szCs w:val="20"/>
          <w:color w:val="auto"/>
        </w:rPr>
      </w:pPr>
    </w:p>
    <w:p>
      <w:pPr>
        <w:spacing w:after="0" w:line="288" w:lineRule="exact"/>
        <w:rPr>
          <w:sz w:val="20"/>
          <w:szCs w:val="20"/>
          <w:color w:val="auto"/>
        </w:rPr>
      </w:pPr>
    </w:p>
    <w:p>
      <w:pPr>
        <w:jc w:val="both"/>
        <w:ind w:left="200" w:right="219" w:firstLine="1296"/>
        <w:spacing w:after="0" w:line="276" w:lineRule="auto"/>
        <w:rPr>
          <w:sz w:val="20"/>
          <w:szCs w:val="20"/>
          <w:color w:val="auto"/>
        </w:rPr>
      </w:pPr>
      <w:r>
        <w:rPr>
          <w:rFonts w:ascii="Arial" w:cs="Arial" w:eastAsia="Arial" w:hAnsi="Arial"/>
          <w:sz w:val="17"/>
          <w:szCs w:val="17"/>
          <w:color w:val="auto"/>
        </w:rPr>
        <w:t>6.3 This Agreement may be executed in one or more counterparts, all of which taken together shall constitute one contract.</w:t>
      </w:r>
    </w:p>
    <w:p>
      <w:pPr>
        <w:spacing w:after="0" w:line="200" w:lineRule="exact"/>
        <w:rPr>
          <w:sz w:val="20"/>
          <w:szCs w:val="20"/>
          <w:color w:val="auto"/>
        </w:rPr>
      </w:pPr>
    </w:p>
    <w:p>
      <w:pPr>
        <w:spacing w:after="0" w:line="295" w:lineRule="exact"/>
        <w:rPr>
          <w:sz w:val="20"/>
          <w:szCs w:val="20"/>
          <w:color w:val="auto"/>
        </w:rPr>
      </w:pPr>
    </w:p>
    <w:p>
      <w:pPr>
        <w:jc w:val="both"/>
        <w:ind w:left="200" w:right="219" w:firstLine="1296"/>
        <w:spacing w:after="0" w:line="251" w:lineRule="auto"/>
        <w:rPr>
          <w:sz w:val="20"/>
          <w:szCs w:val="20"/>
          <w:color w:val="auto"/>
        </w:rPr>
      </w:pPr>
      <w:r>
        <w:rPr>
          <w:rFonts w:ascii="Arial" w:cs="Arial" w:eastAsia="Arial" w:hAnsi="Arial"/>
          <w:sz w:val="17"/>
          <w:szCs w:val="17"/>
          <w:color w:val="auto"/>
        </w:rPr>
        <w:t>6.4 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200" w:lineRule="exact"/>
        <w:rPr>
          <w:sz w:val="20"/>
          <w:szCs w:val="20"/>
          <w:color w:val="auto"/>
        </w:rPr>
      </w:pPr>
    </w:p>
    <w:p>
      <w:pPr>
        <w:spacing w:after="0" w:line="303"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6.5 This Agreement is subject, in all respects, to the provisions of the Plan, and to the extent any provision of this Agreement contravenes or is inconsistent with any provision of the Plan, the provisions of the Plan shall govern.</w:t>
      </w:r>
    </w:p>
    <w:p>
      <w:pPr>
        <w:spacing w:after="0" w:line="200" w:lineRule="exact"/>
        <w:rPr>
          <w:sz w:val="20"/>
          <w:szCs w:val="20"/>
          <w:color w:val="auto"/>
        </w:rPr>
      </w:pPr>
    </w:p>
    <w:p>
      <w:pPr>
        <w:spacing w:after="0" w:line="288" w:lineRule="exact"/>
        <w:rPr>
          <w:sz w:val="20"/>
          <w:szCs w:val="20"/>
          <w:color w:val="auto"/>
        </w:rPr>
      </w:pPr>
    </w:p>
    <w:p>
      <w:pPr>
        <w:jc w:val="both"/>
        <w:ind w:left="200" w:right="239" w:firstLine="1296"/>
        <w:spacing w:after="0" w:line="276" w:lineRule="auto"/>
        <w:rPr>
          <w:sz w:val="20"/>
          <w:szCs w:val="20"/>
          <w:color w:val="auto"/>
        </w:rPr>
      </w:pPr>
      <w:r>
        <w:rPr>
          <w:rFonts w:ascii="Arial" w:cs="Arial" w:eastAsia="Arial" w:hAnsi="Arial"/>
          <w:sz w:val="17"/>
          <w:szCs w:val="17"/>
          <w:color w:val="auto"/>
        </w:rPr>
        <w:t>6.6 The headings of the sections of this Agreement have been inserted for convenience of reference only and shall in no way restrict or modify any of the terms or provisions hereof.</w:t>
      </w:r>
    </w:p>
    <w:p>
      <w:pPr>
        <w:spacing w:after="0" w:line="200" w:lineRule="exact"/>
        <w:rPr>
          <w:sz w:val="20"/>
          <w:szCs w:val="20"/>
          <w:color w:val="auto"/>
        </w:rPr>
      </w:pPr>
    </w:p>
    <w:p>
      <w:pPr>
        <w:spacing w:after="0" w:line="282" w:lineRule="exact"/>
        <w:rPr>
          <w:sz w:val="20"/>
          <w:szCs w:val="20"/>
          <w:color w:val="auto"/>
        </w:rPr>
      </w:pPr>
    </w:p>
    <w:p>
      <w:pPr>
        <w:jc w:val="both"/>
        <w:ind w:left="200" w:right="219" w:firstLine="1296"/>
        <w:spacing w:after="0" w:line="268" w:lineRule="auto"/>
        <w:rPr>
          <w:sz w:val="20"/>
          <w:szCs w:val="20"/>
          <w:color w:val="auto"/>
        </w:rPr>
      </w:pPr>
      <w:r>
        <w:rPr>
          <w:rFonts w:ascii="Arial" w:cs="Arial" w:eastAsia="Arial" w:hAnsi="Arial"/>
          <w:sz w:val="17"/>
          <w:szCs w:val="17"/>
          <w:color w:val="auto"/>
        </w:rPr>
        <w:t>6.7 All notices, consents, requests, approvals, instructions and other communications provided for herein shall be in writing and validly given or made when delivered, or on the second succeeding business day after being mailed by registered or certified mail, whichever is earlier, to the persons entitled or required to receive the same, at, in the case of the Company, the address set forth at the heading of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81" w:right="1440" w:bottom="1440" w:gutter="0" w:footer="0" w:header="0"/>
        </w:sectPr>
      </w:pPr>
    </w:p>
    <w:bookmarkStart w:id="104" w:name="page105"/>
    <w:bookmarkEnd w:id="104"/>
    <w:p>
      <w:pPr>
        <w:jc w:val="both"/>
        <w:ind w:left="200" w:right="219"/>
        <w:spacing w:after="0" w:line="270" w:lineRule="auto"/>
        <w:rPr>
          <w:sz w:val="20"/>
          <w:szCs w:val="20"/>
          <w:color w:val="auto"/>
        </w:rPr>
      </w:pPr>
      <w:r>
        <w:rPr>
          <w:rFonts w:ascii="Arial" w:cs="Arial" w:eastAsia="Arial" w:hAnsi="Arial"/>
          <w:sz w:val="17"/>
          <w:szCs w:val="17"/>
          <w:color w:val="auto"/>
        </w:rPr>
        <w:t>Agreement and, in the case of the Non-Employee Director, his or her principal residence address as shown in the records of the Company, or to such other address as either party may designate by like notice. Notices to the Company shall be addressed to the General Counsel.</w:t>
      </w:r>
    </w:p>
    <w:p>
      <w:pPr>
        <w:spacing w:after="0" w:line="200" w:lineRule="exact"/>
        <w:rPr>
          <w:sz w:val="20"/>
          <w:szCs w:val="20"/>
          <w:color w:val="auto"/>
        </w:rPr>
      </w:pPr>
    </w:p>
    <w:p>
      <w:pPr>
        <w:spacing w:after="0" w:line="288" w:lineRule="exact"/>
        <w:rPr>
          <w:sz w:val="20"/>
          <w:szCs w:val="20"/>
          <w:color w:val="auto"/>
        </w:rPr>
      </w:pPr>
    </w:p>
    <w:p>
      <w:pPr>
        <w:jc w:val="both"/>
        <w:ind w:left="200" w:right="219" w:firstLine="1296"/>
        <w:spacing w:after="0" w:line="281" w:lineRule="auto"/>
        <w:rPr>
          <w:sz w:val="20"/>
          <w:szCs w:val="20"/>
          <w:color w:val="auto"/>
        </w:rPr>
      </w:pPr>
      <w:r>
        <w:rPr>
          <w:rFonts w:ascii="Arial" w:cs="Arial" w:eastAsia="Arial" w:hAnsi="Arial"/>
          <w:sz w:val="17"/>
          <w:szCs w:val="17"/>
          <w:color w:val="auto"/>
        </w:rPr>
        <w:t>6.8 This Agreement shall be governed and construed and the legal relationships of the parties determined in accordance with the laws of the State of New York without regard to its conflicts of laws principles.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200" w:right="219" w:firstLine="1296"/>
        <w:spacing w:after="0" w:line="270" w:lineRule="auto"/>
        <w:rPr>
          <w:sz w:val="20"/>
          <w:szCs w:val="20"/>
          <w:color w:val="auto"/>
        </w:rPr>
      </w:pPr>
      <w:r>
        <w:rPr>
          <w:rFonts w:ascii="Arial" w:cs="Arial" w:eastAsia="Arial" w:hAnsi="Arial"/>
          <w:sz w:val="17"/>
          <w:szCs w:val="17"/>
          <w:color w:val="auto"/>
        </w:rPr>
        <w:t>6.9 Although the Company does not guarantee the tax treatment of the RSUs, this Agreement is intended to comply with, or be exempt from, the applicable requirements of Code Section 409A and shall be limited, construed and interpreted in accordance with such intent.</w:t>
      </w:r>
    </w:p>
    <w:p>
      <w:pPr>
        <w:spacing w:after="0" w:line="200" w:lineRule="exact"/>
        <w:rPr>
          <w:sz w:val="20"/>
          <w:szCs w:val="20"/>
          <w:color w:val="auto"/>
        </w:rPr>
      </w:pPr>
    </w:p>
    <w:p>
      <w:pPr>
        <w:spacing w:after="0" w:line="274"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[SIGNATURE PAGE FOLLOWS]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16" w:right="1440" w:bottom="1440" w:gutter="0" w:footer="0" w:header="0"/>
        </w:sectPr>
      </w:pPr>
    </w:p>
    <w:bookmarkStart w:id="105" w:name="page106"/>
    <w:bookmarkEnd w:id="105"/>
    <w:p>
      <w:pPr>
        <w:ind w:left="200" w:right="279" w:firstLine="760"/>
        <w:spacing w:after="0" w:line="259" w:lineRule="auto"/>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-16510</wp:posOffset>
            </wp:positionV>
            <wp:extent cx="14846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5">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49"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1482725</wp:posOffset>
            </wp:positionV>
            <wp:extent cx="22485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6">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7"/>
          <w:szCs w:val="17"/>
          <w:b w:val="1"/>
          <w:bCs w:val="1"/>
          <w:u w:val="single" w:color="auto"/>
          <w:color w:val="auto"/>
        </w:rPr>
        <w:t>APPENDIX A</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Change in Control</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Change in Control shall mean any of the following:</w:t>
      </w:r>
    </w:p>
    <w:p>
      <w:pPr>
        <w:spacing w:after="0" w:line="115" w:lineRule="exact"/>
        <w:rPr>
          <w:sz w:val="20"/>
          <w:szCs w:val="20"/>
          <w:color w:val="auto"/>
        </w:rPr>
      </w:pPr>
    </w:p>
    <w:p>
      <w:pPr>
        <w:jc w:val="both"/>
        <w:ind w:left="200" w:right="219" w:firstLine="1305"/>
        <w:spacing w:after="0" w:line="250" w:lineRule="auto"/>
        <w:tabs>
          <w:tab w:leader="none" w:pos="21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97" w:lineRule="exact"/>
        <w:rPr>
          <w:rFonts w:ascii="Arial" w:cs="Arial" w:eastAsia="Arial" w:hAnsi="Arial"/>
          <w:sz w:val="17"/>
          <w:szCs w:val="17"/>
          <w:color w:val="auto"/>
        </w:rPr>
      </w:pPr>
    </w:p>
    <w:p>
      <w:pPr>
        <w:jc w:val="both"/>
        <w:ind w:left="200" w:right="219" w:firstLine="1305"/>
        <w:spacing w:after="0" w:line="250" w:lineRule="auto"/>
        <w:tabs>
          <w:tab w:leader="none" w:pos="21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Stock) acting in concert; or</w:t>
      </w:r>
    </w:p>
    <w:p>
      <w:pPr>
        <w:spacing w:after="0" w:line="100" w:lineRule="exact"/>
        <w:rPr>
          <w:rFonts w:ascii="Arial" w:cs="Arial" w:eastAsia="Arial" w:hAnsi="Arial"/>
          <w:sz w:val="17"/>
          <w:szCs w:val="17"/>
          <w:color w:val="auto"/>
        </w:rPr>
      </w:pPr>
    </w:p>
    <w:p>
      <w:pPr>
        <w:jc w:val="both"/>
        <w:ind w:left="200" w:right="219" w:firstLine="1305"/>
        <w:spacing w:after="0" w:line="251" w:lineRule="auto"/>
        <w:tabs>
          <w:tab w:leader="none" w:pos="21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sz w:val="20"/>
          <w:szCs w:val="20"/>
          <w:color w:val="auto"/>
        </w:rPr>
      </w:pPr>
    </w:p>
    <w:p>
      <w:pPr>
        <w:spacing w:after="0" w:line="249"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This definition is intended to constitute a change in ownership or effective control of a corporation or change in the ownership of a substantial portion of the assets of a corporation, in each case, as defined under Code Section 409A, and shall be construed in a manner consistent with such intent.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107" w:name="page108"/>
    <w:bookmarkEnd w:id="107"/>
    <w:p>
      <w:pPr>
        <w:jc w:val="right"/>
        <w:ind w:right="219"/>
        <w:spacing w:after="0"/>
        <w:rPr>
          <w:sz w:val="20"/>
          <w:szCs w:val="20"/>
          <w:color w:val="auto"/>
        </w:rPr>
      </w:pPr>
      <w:r>
        <w:rPr>
          <w:rFonts w:ascii="Arial" w:cs="Arial" w:eastAsia="Arial" w:hAnsi="Arial"/>
          <w:sz w:val="17"/>
          <w:szCs w:val="17"/>
          <w:b w:val="1"/>
          <w:bCs w:val="1"/>
          <w:color w:val="auto"/>
        </w:rPr>
        <w:t>Exhibit 10.11</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PERFORMANCE STOCK UNIT AWARD AGREEMENT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UNDER THE FOOT LOCKER 2007 STOCK INCENTIVE PLAN</w:t>
      </w:r>
    </w:p>
    <w:p>
      <w:pPr>
        <w:spacing w:after="0" w:line="200" w:lineRule="exact"/>
        <w:rPr>
          <w:sz w:val="20"/>
          <w:szCs w:val="20"/>
          <w:color w:val="auto"/>
        </w:rPr>
      </w:pPr>
    </w:p>
    <w:p>
      <w:pPr>
        <w:spacing w:after="0" w:line="307"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 xml:space="preserve">__________ </w:t>
      </w:r>
      <w:r>
        <w:rPr>
          <w:rFonts w:ascii="Arial" w:cs="Arial" w:eastAsia="Arial" w:hAnsi="Arial"/>
          <w:sz w:val="17"/>
          <w:szCs w:val="17"/>
          <w:b w:val="1"/>
          <w:bCs w:val="1"/>
          <w:color w:val="auto"/>
        </w:rPr>
        <w:t>Performance Period</w:t>
      </w:r>
    </w:p>
    <w:p>
      <w:pPr>
        <w:spacing w:after="0" w:line="200" w:lineRule="exact"/>
        <w:rPr>
          <w:sz w:val="20"/>
          <w:szCs w:val="20"/>
          <w:color w:val="auto"/>
        </w:rPr>
      </w:pPr>
    </w:p>
    <w:p>
      <w:pPr>
        <w:spacing w:after="0" w:line="354" w:lineRule="exact"/>
        <w:rPr>
          <w:sz w:val="20"/>
          <w:szCs w:val="20"/>
          <w:color w:val="auto"/>
        </w:rPr>
      </w:pPr>
    </w:p>
    <w:p>
      <w:pPr>
        <w:jc w:val="both"/>
        <w:ind w:left="200" w:right="219" w:firstLine="648"/>
        <w:spacing w:after="0" w:line="265" w:lineRule="auto"/>
        <w:rPr>
          <w:sz w:val="20"/>
          <w:szCs w:val="20"/>
          <w:color w:val="auto"/>
        </w:rPr>
      </w:pPr>
      <w:r>
        <w:rPr>
          <w:rFonts w:ascii="Arial" w:cs="Arial" w:eastAsia="Arial" w:hAnsi="Arial"/>
          <w:sz w:val="17"/>
          <w:szCs w:val="17"/>
          <w:color w:val="auto"/>
        </w:rPr>
        <w:t>This Performance Stock Unit Award Agreement (this “Agreement”) is made under the Foot Locker 2007 Stock Incentive Plan (the “Plan”), as of __________, by and between Foot Locker, Inc., a New York corporation with its principal office located at 330 West 34th Street, New York, New York 10001 (the “Company”), and</w:t>
      </w:r>
    </w:p>
    <w:p>
      <w:pPr>
        <w:ind w:left="200"/>
        <w:spacing w:after="0"/>
        <w:rPr>
          <w:sz w:val="20"/>
          <w:szCs w:val="20"/>
          <w:color w:val="auto"/>
        </w:rPr>
      </w:pPr>
      <w:r>
        <w:rPr>
          <w:rFonts w:ascii="Arial" w:cs="Arial" w:eastAsia="Arial" w:hAnsi="Arial"/>
          <w:sz w:val="17"/>
          <w:szCs w:val="17"/>
          <w:color w:val="auto"/>
        </w:rPr>
        <w:t>__________.</w:t>
      </w:r>
    </w:p>
    <w:p>
      <w:pPr>
        <w:spacing w:after="0" w:line="200" w:lineRule="exact"/>
        <w:rPr>
          <w:sz w:val="20"/>
          <w:szCs w:val="20"/>
          <w:color w:val="auto"/>
        </w:rPr>
      </w:pPr>
    </w:p>
    <w:p>
      <w:pPr>
        <w:spacing w:after="0" w:line="310" w:lineRule="exact"/>
        <w:rPr>
          <w:sz w:val="20"/>
          <w:szCs w:val="20"/>
          <w:color w:val="auto"/>
        </w:rPr>
      </w:pPr>
    </w:p>
    <w:p>
      <w:pPr>
        <w:ind w:left="1500" w:hanging="643"/>
        <w:spacing w:after="0"/>
        <w:tabs>
          <w:tab w:leader="none" w:pos="1500" w:val="left"/>
        </w:tabs>
        <w:numPr>
          <w:ilvl w:val="0"/>
          <w:numId w:val="55"/>
        </w:numPr>
        <w:rPr>
          <w:rFonts w:ascii="Arial" w:cs="Arial" w:eastAsia="Arial" w:hAnsi="Arial"/>
          <w:sz w:val="22"/>
          <w:szCs w:val="22"/>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As a participant in the Company’s long-term incentive (“LTI”) program for the</w:t>
      </w:r>
    </w:p>
    <w:p>
      <w:pPr>
        <w:jc w:val="both"/>
        <w:ind w:left="200" w:right="219"/>
        <w:spacing w:after="0" w:line="250" w:lineRule="auto"/>
        <w:rPr>
          <w:rFonts w:ascii="Arial" w:cs="Arial" w:eastAsia="Arial" w:hAnsi="Arial"/>
          <w:sz w:val="22"/>
          <w:szCs w:val="22"/>
          <w:color w:val="auto"/>
        </w:rPr>
      </w:pPr>
      <w:r>
        <w:rPr>
          <w:rFonts w:ascii="Arial" w:cs="Arial" w:eastAsia="Arial" w:hAnsi="Arial"/>
          <w:sz w:val="17"/>
          <w:szCs w:val="17"/>
          <w:color w:val="auto"/>
        </w:rPr>
        <w:t>__________Performance Period, which covers the fiscal years beginning __________and __________ (the “Performance Period”), you were granted a LTI award that will be payable following the end of the Performance Period, provided the performance goals set by the Human Capital and Compensation Committee (the “Human Capital Committee”) of the Board of Directors of the Company on __________ for the Performance Period are achieved. The award is payable in performance stock units (“PSUs”) under the Plan, as provided herein. The PSUs are intended to constitute “Other Stock-Based Awards” under the Plan. Each PSU represents the right to receive one share of the Company’s Common Stock, par value $.01 per share (“Common Stock”), upon the satisfaction of the terms and conditions set forth in this Agreement and the Plan.</w:t>
      </w:r>
    </w:p>
    <w:p>
      <w:pPr>
        <w:spacing w:after="0" w:line="207" w:lineRule="exact"/>
        <w:rPr>
          <w:sz w:val="20"/>
          <w:szCs w:val="20"/>
          <w:color w:val="auto"/>
        </w:rPr>
      </w:pPr>
    </w:p>
    <w:p>
      <w:pPr>
        <w:ind w:left="200" w:right="219" w:firstLine="1296"/>
        <w:spacing w:after="0" w:line="248" w:lineRule="auto"/>
        <w:rPr>
          <w:sz w:val="20"/>
          <w:szCs w:val="20"/>
          <w:color w:val="auto"/>
        </w:rPr>
      </w:pPr>
      <w:r>
        <w:rPr>
          <w:rFonts w:ascii="Arial" w:cs="Arial" w:eastAsia="Arial" w:hAnsi="Arial"/>
          <w:sz w:val="17"/>
          <w:szCs w:val="17"/>
          <w:color w:val="auto"/>
        </w:rPr>
        <w:t>This Agreement sets forth the terms and conditions with regard to your LTI award, which is payable in PSUs. You have been granted __________ PSUs, subject to the conditions set forth herein. Unless</w:t>
      </w:r>
    </w:p>
    <w:p>
      <w:pPr>
        <w:spacing w:after="0" w:line="1" w:lineRule="exact"/>
        <w:rPr>
          <w:sz w:val="20"/>
          <w:szCs w:val="20"/>
          <w:color w:val="auto"/>
        </w:rPr>
      </w:pPr>
    </w:p>
    <w:p>
      <w:pPr>
        <w:ind w:left="200" w:right="219"/>
        <w:spacing w:after="0" w:line="259" w:lineRule="auto"/>
        <w:rPr>
          <w:sz w:val="20"/>
          <w:szCs w:val="20"/>
          <w:color w:val="auto"/>
        </w:rPr>
      </w:pPr>
      <w:r>
        <w:rPr>
          <w:rFonts w:ascii="Arial" w:cs="Arial" w:eastAsia="Arial" w:hAnsi="Arial"/>
          <w:sz w:val="17"/>
          <w:szCs w:val="17"/>
          <w:color w:val="auto"/>
        </w:rPr>
        <w:t>otherwise indicated, any capitalized term used but not defined herein shall have the meaning ascribed to such term in the Plan.</w:t>
      </w:r>
    </w:p>
    <w:p>
      <w:pPr>
        <w:spacing w:after="0" w:line="200" w:lineRule="exact"/>
        <w:rPr>
          <w:sz w:val="20"/>
          <w:szCs w:val="20"/>
          <w:color w:val="auto"/>
        </w:rPr>
      </w:pPr>
    </w:p>
    <w:p>
      <w:pPr>
        <w:spacing w:after="0" w:line="337" w:lineRule="exact"/>
        <w:rPr>
          <w:sz w:val="20"/>
          <w:szCs w:val="20"/>
          <w:color w:val="auto"/>
        </w:rPr>
      </w:pPr>
    </w:p>
    <w:p>
      <w:pPr>
        <w:jc w:val="both"/>
        <w:ind w:left="200" w:right="219" w:firstLine="657"/>
        <w:spacing w:after="0" w:line="241" w:lineRule="auto"/>
        <w:tabs>
          <w:tab w:leader="none" w:pos="1496" w:val="left"/>
        </w:tabs>
        <w:numPr>
          <w:ilvl w:val="0"/>
          <w:numId w:val="56"/>
        </w:numPr>
        <w:rPr>
          <w:rFonts w:ascii="Arial" w:cs="Arial" w:eastAsia="Arial" w:hAnsi="Arial"/>
          <w:sz w:val="22"/>
          <w:szCs w:val="22"/>
          <w:color w:val="auto"/>
        </w:rPr>
      </w:pPr>
      <w:r>
        <w:rPr>
          <w:rFonts w:ascii="Arial" w:cs="Arial" w:eastAsia="Arial" w:hAnsi="Arial"/>
          <w:sz w:val="17"/>
          <w:szCs w:val="17"/>
          <w:u w:val="single" w:color="auto"/>
          <w:color w:val="auto"/>
        </w:rPr>
        <w:t>Earning of PSUs</w:t>
      </w:r>
      <w:r>
        <w:rPr>
          <w:rFonts w:ascii="Arial" w:cs="Arial" w:eastAsia="Arial" w:hAnsi="Arial"/>
          <w:sz w:val="17"/>
          <w:szCs w:val="17"/>
          <w:color w:val="auto"/>
        </w:rPr>
        <w:t>. Subject to the terms and conditions of the Plan and this Agreement, you shall be entitled to receive, for each PSU earned in accordance with this Section 2 and Appendix A hereto, one share of Common Stock. You shall earn the number of PSUs set forth above for achievement at the maximum performance goal as specified in Appendix A attached hereto, subject to adjustment for achievement below the maximum performance goal in accordance with the provisions of Appendix A attached hereto. If the threshold performance level set forth in Appendix A is not achieved, none of the PSUs granted to you shall be earned. The Human Capital Committee shall certify the level of achievement of the performance goals during the Company’s first fiscal quarter in __________ and at such time shall determine the number of PSUs you are eligible to receive, subject to the provisions of Section 3 below.</w:t>
      </w:r>
    </w:p>
    <w:p>
      <w:pPr>
        <w:spacing w:after="0" w:line="219" w:lineRule="exact"/>
        <w:rPr>
          <w:rFonts w:ascii="Arial" w:cs="Arial" w:eastAsia="Arial" w:hAnsi="Arial"/>
          <w:sz w:val="22"/>
          <w:szCs w:val="22"/>
          <w:color w:val="auto"/>
        </w:rPr>
      </w:pPr>
    </w:p>
    <w:p>
      <w:pPr>
        <w:ind w:left="1500" w:hanging="643"/>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17"/>
          <w:szCs w:val="17"/>
          <w:u w:val="single" w:color="auto"/>
          <w:color w:val="auto"/>
        </w:rPr>
        <w:t>Vesting and Delivery</w:t>
      </w:r>
      <w:r>
        <w:rPr>
          <w:rFonts w:ascii="Arial" w:cs="Arial" w:eastAsia="Arial" w:hAnsi="Arial"/>
          <w:sz w:val="17"/>
          <w:szCs w:val="17"/>
          <w:color w:val="auto"/>
        </w:rPr>
        <w:t>.</w:t>
      </w:r>
    </w:p>
    <w:p>
      <w:pPr>
        <w:spacing w:after="0" w:line="217" w:lineRule="exact"/>
        <w:rPr>
          <w:rFonts w:ascii="Arial" w:cs="Arial" w:eastAsia="Arial" w:hAnsi="Arial"/>
          <w:sz w:val="22"/>
          <w:szCs w:val="22"/>
          <w:color w:val="auto"/>
        </w:rPr>
      </w:pPr>
    </w:p>
    <w:p>
      <w:pPr>
        <w:ind w:left="2160" w:hanging="655"/>
        <w:spacing w:after="0"/>
        <w:tabs>
          <w:tab w:leader="none" w:pos="2160" w:val="left"/>
        </w:tabs>
        <w:numPr>
          <w:ilvl w:val="1"/>
          <w:numId w:val="56"/>
        </w:numPr>
        <w:rPr>
          <w:rFonts w:ascii="Arial" w:cs="Arial" w:eastAsia="Arial" w:hAnsi="Arial"/>
          <w:sz w:val="22"/>
          <w:szCs w:val="22"/>
          <w:color w:val="auto"/>
        </w:rPr>
      </w:pPr>
      <w:r>
        <w:rPr>
          <w:rFonts w:ascii="Arial" w:cs="Arial" w:eastAsia="Arial" w:hAnsi="Arial"/>
          <w:sz w:val="17"/>
          <w:szCs w:val="17"/>
          <w:color w:val="auto"/>
        </w:rPr>
        <w:t>The PSUs you are eligible to receive as described in Section 2 shall be subject to a</w:t>
      </w:r>
    </w:p>
    <w:p>
      <w:pPr>
        <w:ind w:left="200"/>
        <w:spacing w:after="0"/>
        <w:rPr>
          <w:rFonts w:ascii="Arial" w:cs="Arial" w:eastAsia="Arial" w:hAnsi="Arial"/>
          <w:sz w:val="22"/>
          <w:szCs w:val="22"/>
          <w:color w:val="auto"/>
        </w:rPr>
      </w:pPr>
      <w:r>
        <w:rPr>
          <w:rFonts w:ascii="Arial" w:cs="Arial" w:eastAsia="Arial" w:hAnsi="Arial"/>
          <w:sz w:val="17"/>
          <w:szCs w:val="17"/>
          <w:color w:val="auto"/>
        </w:rPr>
        <w:t>__________ -year vesting period following the end of the Performance Period and shall become vested on</w:t>
      </w:r>
    </w:p>
    <w:p>
      <w:pPr>
        <w:spacing w:after="0" w:line="7" w:lineRule="exact"/>
        <w:rPr>
          <w:rFonts w:ascii="Arial" w:cs="Arial" w:eastAsia="Arial" w:hAnsi="Arial"/>
          <w:sz w:val="22"/>
          <w:szCs w:val="22"/>
          <w:color w:val="auto"/>
        </w:rPr>
      </w:pPr>
    </w:p>
    <w:p>
      <w:pPr>
        <w:jc w:val="both"/>
        <w:ind w:left="200" w:right="219"/>
        <w:spacing w:after="0" w:line="252" w:lineRule="auto"/>
        <w:rPr>
          <w:rFonts w:ascii="Arial" w:cs="Arial" w:eastAsia="Arial" w:hAnsi="Arial"/>
          <w:sz w:val="22"/>
          <w:szCs w:val="22"/>
          <w:color w:val="auto"/>
        </w:rPr>
      </w:pPr>
      <w:r>
        <w:rPr>
          <w:rFonts w:ascii="Arial" w:cs="Arial" w:eastAsia="Arial" w:hAnsi="Arial"/>
          <w:sz w:val="17"/>
          <w:szCs w:val="17"/>
          <w:color w:val="auto"/>
        </w:rPr>
        <w:t>__________ (the “Vesting Date”). Subject to the terms of this Agreement and the Plan, shares of Common Stock equal to the number of PSUs you earn shall be delivered to you as described below if you have been continuously employed by the Company or its subsidiaries within the meaning of Section 424 of the Code (the “Control Group”) from the Date of Grant until the Vesting Date.</w:t>
      </w:r>
    </w:p>
    <w:p>
      <w:pPr>
        <w:spacing w:after="0" w:line="259"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56"/>
        </w:numPr>
        <w:rPr>
          <w:rFonts w:ascii="Arial" w:cs="Arial" w:eastAsia="Arial" w:hAnsi="Arial"/>
          <w:sz w:val="22"/>
          <w:szCs w:val="22"/>
          <w:color w:val="auto"/>
        </w:rPr>
      </w:pPr>
      <w:r>
        <w:rPr>
          <w:rFonts w:ascii="Arial" w:cs="Arial" w:eastAsia="Arial" w:hAnsi="Arial"/>
          <w:sz w:val="17"/>
          <w:szCs w:val="17"/>
          <w:color w:val="auto"/>
        </w:rPr>
        <w:t>Other than as specifically provided herein, there shall be no proportionate or partial vesting in the periods prior to the Vesting Date, and all vesting shall occur only on the Vesting Date, subject to your continued employment with the Control Group as described in Section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628650</wp:posOffset>
            </wp:positionV>
            <wp:extent cx="545211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sectPr>
      </w:pPr>
    </w:p>
    <w:bookmarkStart w:id="108" w:name="page109"/>
    <w:bookmarkEnd w:id="108"/>
    <w:p>
      <w:pPr>
        <w:jc w:val="both"/>
        <w:ind w:left="200" w:right="219" w:firstLine="1305"/>
        <w:spacing w:after="0" w:line="235" w:lineRule="auto"/>
        <w:tabs>
          <w:tab w:leader="none" w:pos="2144" w:val="left"/>
        </w:tabs>
        <w:numPr>
          <w:ilvl w:val="1"/>
          <w:numId w:val="57"/>
        </w:numPr>
        <w:rPr>
          <w:rFonts w:ascii="Arial" w:cs="Arial" w:eastAsia="Arial" w:hAnsi="Arial"/>
          <w:sz w:val="22"/>
          <w:szCs w:val="22"/>
          <w:color w:val="auto"/>
        </w:rPr>
      </w:pPr>
      <w:r>
        <w:rPr>
          <w:rFonts w:ascii="Arial" w:cs="Arial" w:eastAsia="Arial" w:hAnsi="Arial"/>
          <w:sz w:val="17"/>
          <w:szCs w:val="17"/>
          <w:color w:val="auto"/>
        </w:rPr>
        <w:t>If the Company terminates your employment without Cause or you terminate your employment for Good Reason upon or following a Change in Control as defined in Appendix B hereto and such Change in Control occurs following the end of the Performance Period and the certification by the Human Capital Committee of the achievement of the performance goal, all unvested PSUs shall become immediately vested and shall be paid in accordance with Section 3(f).</w:t>
      </w:r>
    </w:p>
    <w:p>
      <w:pPr>
        <w:spacing w:after="0" w:line="269" w:lineRule="exact"/>
        <w:rPr>
          <w:rFonts w:ascii="Arial" w:cs="Arial" w:eastAsia="Arial" w:hAnsi="Arial"/>
          <w:sz w:val="22"/>
          <w:szCs w:val="22"/>
          <w:color w:val="auto"/>
        </w:rPr>
      </w:pPr>
    </w:p>
    <w:p>
      <w:pPr>
        <w:jc w:val="both"/>
        <w:ind w:left="200" w:right="219" w:firstLine="1305"/>
        <w:spacing w:after="0" w:line="243" w:lineRule="auto"/>
        <w:tabs>
          <w:tab w:leader="none" w:pos="2144" w:val="left"/>
        </w:tabs>
        <w:numPr>
          <w:ilvl w:val="1"/>
          <w:numId w:val="57"/>
        </w:numPr>
        <w:rPr>
          <w:rFonts w:ascii="Arial" w:cs="Arial" w:eastAsia="Arial" w:hAnsi="Arial"/>
          <w:sz w:val="22"/>
          <w:szCs w:val="22"/>
          <w:color w:val="auto"/>
        </w:rPr>
      </w:pPr>
      <w:r>
        <w:rPr>
          <w:rFonts w:ascii="Arial" w:cs="Arial" w:eastAsia="Arial" w:hAnsi="Arial"/>
          <w:sz w:val="17"/>
          <w:szCs w:val="17"/>
          <w:color w:val="auto"/>
        </w:rPr>
        <w:t>If the Company terminates your employment without Cause or you terminate your employment for Good Reason upon, or within twenty-four (24) months following, a Change in Control as defined in Appendix B hereto and your Termination occurs prior to the end of the Performance Period, or coincident with or following the end of the Performance Period and prior to the certification by the Human Capital Committee of the achievement of the performance goal, you shall be entitled to receive a pro rata portion of the PSUs that you would have been entitled to receive based on the actual performance level achieved for any completed year in the Performance Period and the achievement of a target performance level for the remainder of the Performance Period, as set forth in Appendix A, such PSUs shall become immediately vested upon your Termination and shall be paid in accordance with Section 3(f). The pro rated portion shall be determined by multiplying the number of PSUs you would have been entitled to receive if you had not incurred such Termination by a fraction, the numerator of which is the number of days from __________ to the earlier of your date of Termination or the last day of the Performance Period and the denominator of which is the total number of days in the Performance Period.</w:t>
      </w:r>
    </w:p>
    <w:p>
      <w:pPr>
        <w:spacing w:after="0" w:line="271" w:lineRule="exact"/>
        <w:rPr>
          <w:rFonts w:ascii="Arial" w:cs="Arial" w:eastAsia="Arial" w:hAnsi="Arial"/>
          <w:sz w:val="22"/>
          <w:szCs w:val="22"/>
          <w:color w:val="auto"/>
        </w:rPr>
      </w:pPr>
    </w:p>
    <w:p>
      <w:pPr>
        <w:jc w:val="both"/>
        <w:ind w:left="200" w:right="219" w:firstLine="1305"/>
        <w:spacing w:after="0" w:line="241" w:lineRule="auto"/>
        <w:tabs>
          <w:tab w:leader="none" w:pos="2144" w:val="left"/>
        </w:tabs>
        <w:numPr>
          <w:ilvl w:val="1"/>
          <w:numId w:val="57"/>
        </w:numPr>
        <w:rPr>
          <w:rFonts w:ascii="Arial" w:cs="Arial" w:eastAsia="Arial" w:hAnsi="Arial"/>
          <w:sz w:val="22"/>
          <w:szCs w:val="22"/>
          <w:color w:val="auto"/>
        </w:rPr>
      </w:pPr>
      <w:r>
        <w:rPr>
          <w:rFonts w:ascii="Arial" w:cs="Arial" w:eastAsia="Arial" w:hAnsi="Arial"/>
          <w:sz w:val="17"/>
          <w:szCs w:val="17"/>
          <w:color w:val="auto"/>
        </w:rPr>
        <w:t>In the event of your Termination by reason of death, Disability (within the meaning of Code Section 409A(a)(2)(C)(i) or (ii)) or Retirement prior to the Vesting Date, on the Vesting Date you (or in the event of your death, your estate) shall receive a pro rata portion of the PSUs that you would have received if you had been employed by the Company on the Vesting Date, based on the actual level of achievement of the performance goals set forth in Appendix A. The pro rated portion shall be determined by multiplying the number of PSUs you would have been entitled to receive if you had not incurred such Termination by a fraction, the numerator of which is the number of days from __________ to the date of your Termination and the denominator of which is the total number of days in the Performance Period, and shall vest on the Vesting Date and shall be paid in accordance with Section 3(f).</w:t>
      </w:r>
    </w:p>
    <w:p>
      <w:pPr>
        <w:spacing w:after="0" w:line="268"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57"/>
        </w:numPr>
        <w:rPr>
          <w:rFonts w:ascii="Arial" w:cs="Arial" w:eastAsia="Arial" w:hAnsi="Arial"/>
          <w:sz w:val="22"/>
          <w:szCs w:val="22"/>
          <w:color w:val="auto"/>
        </w:rPr>
      </w:pPr>
      <w:r>
        <w:rPr>
          <w:rFonts w:ascii="Arial" w:cs="Arial" w:eastAsia="Arial" w:hAnsi="Arial"/>
          <w:sz w:val="17"/>
          <w:szCs w:val="17"/>
          <w:color w:val="auto"/>
        </w:rPr>
        <w:t>Subject to Sections 8 and 12(k), the Company shall issue and deliver to you shares of the Company’s Common Stock equal to the number of vested PSUs you earn within 30 days following the earlier of a Termination described in Section 3(d) or the Vesting Date.</w:t>
      </w:r>
    </w:p>
    <w:p>
      <w:pPr>
        <w:spacing w:after="0" w:line="368" w:lineRule="exact"/>
        <w:rPr>
          <w:rFonts w:ascii="Arial" w:cs="Arial" w:eastAsia="Arial" w:hAnsi="Arial"/>
          <w:sz w:val="22"/>
          <w:szCs w:val="22"/>
          <w:color w:val="auto"/>
        </w:rPr>
      </w:pPr>
    </w:p>
    <w:p>
      <w:pPr>
        <w:ind w:left="1500" w:hanging="643"/>
        <w:spacing w:after="0"/>
        <w:tabs>
          <w:tab w:leader="none" w:pos="1500" w:val="left"/>
        </w:tabs>
        <w:numPr>
          <w:ilvl w:val="0"/>
          <w:numId w:val="58"/>
        </w:numPr>
        <w:rPr>
          <w:rFonts w:ascii="Arial" w:cs="Arial" w:eastAsia="Arial" w:hAnsi="Arial"/>
          <w:sz w:val="22"/>
          <w:szCs w:val="22"/>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w:t>
      </w:r>
    </w:p>
    <w:p>
      <w:pPr>
        <w:spacing w:after="0" w:line="267"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58"/>
        </w:numPr>
        <w:rPr>
          <w:rFonts w:ascii="Arial" w:cs="Arial" w:eastAsia="Arial" w:hAnsi="Arial"/>
          <w:sz w:val="22"/>
          <w:szCs w:val="22"/>
          <w:color w:val="auto"/>
        </w:rPr>
      </w:pPr>
      <w:r>
        <w:rPr>
          <w:rFonts w:ascii="Arial" w:cs="Arial" w:eastAsia="Arial" w:hAnsi="Arial"/>
          <w:sz w:val="17"/>
          <w:szCs w:val="17"/>
          <w:color w:val="auto"/>
        </w:rPr>
        <w:t>Any PSUs that are not earned in accordance with Section 2 or vested in accordance with Section 3 of this Agreement shall be forfeited without compensation following the Human Capital Committee’s certification of the goals for the Performance Period.</w:t>
      </w:r>
    </w:p>
    <w:p>
      <w:pPr>
        <w:spacing w:after="0" w:line="268" w:lineRule="exact"/>
        <w:rPr>
          <w:rFonts w:ascii="Arial" w:cs="Arial" w:eastAsia="Arial" w:hAnsi="Arial"/>
          <w:sz w:val="22"/>
          <w:szCs w:val="22"/>
          <w:color w:val="auto"/>
        </w:rPr>
      </w:pPr>
    </w:p>
    <w:p>
      <w:pPr>
        <w:jc w:val="both"/>
        <w:ind w:left="200" w:right="239" w:firstLine="1305"/>
        <w:spacing w:after="0" w:line="227" w:lineRule="auto"/>
        <w:tabs>
          <w:tab w:leader="none" w:pos="2144" w:val="left"/>
        </w:tabs>
        <w:numPr>
          <w:ilvl w:val="1"/>
          <w:numId w:val="58"/>
        </w:numPr>
        <w:rPr>
          <w:rFonts w:ascii="Arial" w:cs="Arial" w:eastAsia="Arial" w:hAnsi="Arial"/>
          <w:sz w:val="22"/>
          <w:szCs w:val="22"/>
          <w:color w:val="auto"/>
        </w:rPr>
      </w:pPr>
      <w:r>
        <w:rPr>
          <w:rFonts w:ascii="Arial" w:cs="Arial" w:eastAsia="Arial" w:hAnsi="Arial"/>
          <w:sz w:val="17"/>
          <w:szCs w:val="17"/>
          <w:color w:val="auto"/>
        </w:rPr>
        <w:t>Except as expressly set forth in Section 3(e), in the event of your Termination prior to the Vesting Date or your breach of the Non-Competition Provision in Section 10, all unvested PSUs shall be forfeited to the Company, without compensation.</w:t>
      </w:r>
    </w:p>
    <w:p>
      <w:pPr>
        <w:spacing w:after="0" w:line="268" w:lineRule="exact"/>
        <w:rPr>
          <w:rFonts w:ascii="Arial" w:cs="Arial" w:eastAsia="Arial" w:hAnsi="Arial"/>
          <w:sz w:val="22"/>
          <w:szCs w:val="22"/>
          <w:color w:val="auto"/>
        </w:rPr>
      </w:pPr>
    </w:p>
    <w:p>
      <w:pPr>
        <w:jc w:val="both"/>
        <w:ind w:left="200" w:right="219" w:firstLine="657"/>
        <w:spacing w:after="0" w:line="227" w:lineRule="auto"/>
        <w:tabs>
          <w:tab w:leader="none" w:pos="1496" w:val="left"/>
        </w:tabs>
        <w:numPr>
          <w:ilvl w:val="0"/>
          <w:numId w:val="58"/>
        </w:numPr>
        <w:rPr>
          <w:rFonts w:ascii="Arial" w:cs="Arial" w:eastAsia="Arial" w:hAnsi="Arial"/>
          <w:sz w:val="22"/>
          <w:szCs w:val="22"/>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PSUs shall be subject to the adjustment provisions included in Section 5(e) of the Plan. In the event of any such adjustment, the adjusted award shall be subject to the same vesting schedule as the PSUs, as set forth in Section 3.</w:t>
      </w:r>
    </w:p>
    <w:p>
      <w:pPr>
        <w:spacing w:after="0" w:line="355" w:lineRule="exact"/>
        <w:rPr>
          <w:rFonts w:ascii="Arial" w:cs="Arial" w:eastAsia="Arial" w:hAnsi="Arial"/>
          <w:sz w:val="22"/>
          <w:szCs w:val="22"/>
          <w:color w:val="auto"/>
        </w:rPr>
      </w:pPr>
    </w:p>
    <w:p>
      <w:pPr>
        <w:ind w:left="1500" w:hanging="643"/>
        <w:spacing w:after="0"/>
        <w:tabs>
          <w:tab w:leader="none" w:pos="1500" w:val="left"/>
        </w:tabs>
        <w:numPr>
          <w:ilvl w:val="0"/>
          <w:numId w:val="58"/>
        </w:numPr>
        <w:rPr>
          <w:rFonts w:ascii="Arial" w:cs="Arial" w:eastAsia="Arial" w:hAnsi="Arial"/>
          <w:sz w:val="22"/>
          <w:szCs w:val="22"/>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You agree that:</w:t>
      </w:r>
    </w:p>
    <w:p>
      <w:pPr>
        <w:spacing w:after="0" w:line="267"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58"/>
        </w:numPr>
        <w:rPr>
          <w:rFonts w:ascii="Arial" w:cs="Arial" w:eastAsia="Arial" w:hAnsi="Arial"/>
          <w:sz w:val="22"/>
          <w:szCs w:val="22"/>
          <w:color w:val="auto"/>
        </w:rPr>
      </w:pPr>
      <w:r>
        <w:rPr>
          <w:rFonts w:ascii="Arial" w:cs="Arial" w:eastAsia="Arial" w:hAnsi="Arial"/>
          <w:sz w:val="17"/>
          <w:szCs w:val="17"/>
          <w:color w:val="auto"/>
        </w:rPr>
        <w:t>The Company shall have the right to withhold the number of shares of stock from the award sufficient to satisfy any federal, state, international, or local taxes of any kind required by law to be withheld with respect to the vesting of any PSUs which shall have become so vested, as calculated by the Company; and</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09" w:name="page110"/>
    <w:bookmarkEnd w:id="109"/>
    <w:p>
      <w:pPr>
        <w:jc w:val="both"/>
        <w:ind w:left="200" w:right="219" w:firstLine="1386"/>
        <w:spacing w:after="0" w:line="227" w:lineRule="auto"/>
        <w:tabs>
          <w:tab w:leader="none" w:pos="2225" w:val="left"/>
        </w:tabs>
        <w:numPr>
          <w:ilvl w:val="2"/>
          <w:numId w:val="59"/>
        </w:numPr>
        <w:rPr>
          <w:rFonts w:ascii="Arial" w:cs="Arial" w:eastAsia="Arial" w:hAnsi="Arial"/>
          <w:sz w:val="22"/>
          <w:szCs w:val="22"/>
          <w:color w:val="auto"/>
        </w:rPr>
      </w:pPr>
      <w:r>
        <w:rPr>
          <w:rFonts w:ascii="Arial" w:cs="Arial" w:eastAsia="Arial" w:hAnsi="Arial"/>
          <w:sz w:val="17"/>
          <w:szCs w:val="17"/>
          <w:color w:val="auto"/>
        </w:rPr>
        <w:t>The Company shall, to the extent permitted by law, have the right to deduct from any payment of any kind otherwise due to you any federal, state, foreign, or local taxes of any kind required by law to be withheld with respect to any PSUs which shall have become so vested.</w:t>
      </w:r>
    </w:p>
    <w:p>
      <w:pPr>
        <w:spacing w:after="0" w:line="268" w:lineRule="exact"/>
        <w:rPr>
          <w:rFonts w:ascii="Arial" w:cs="Arial" w:eastAsia="Arial" w:hAnsi="Arial"/>
          <w:sz w:val="22"/>
          <w:szCs w:val="22"/>
          <w:color w:val="auto"/>
        </w:rPr>
      </w:pPr>
    </w:p>
    <w:p>
      <w:pPr>
        <w:jc w:val="both"/>
        <w:ind w:left="200" w:right="219" w:firstLine="657"/>
        <w:spacing w:after="0" w:line="235" w:lineRule="auto"/>
        <w:tabs>
          <w:tab w:leader="none" w:pos="1496" w:val="left"/>
        </w:tabs>
        <w:numPr>
          <w:ilvl w:val="0"/>
          <w:numId w:val="60"/>
        </w:numPr>
        <w:rPr>
          <w:rFonts w:ascii="Arial" w:cs="Arial" w:eastAsia="Arial" w:hAnsi="Arial"/>
          <w:sz w:val="22"/>
          <w:szCs w:val="22"/>
          <w:color w:val="auto"/>
        </w:rPr>
      </w:pPr>
      <w:r>
        <w:rPr>
          <w:rFonts w:ascii="Arial" w:cs="Arial" w:eastAsia="Arial" w:hAnsi="Arial"/>
          <w:sz w:val="17"/>
          <w:szCs w:val="17"/>
          <w:u w:val="single" w:color="auto"/>
          <w:color w:val="auto"/>
        </w:rPr>
        <w:t>Special Incentive Compensation</w:t>
      </w:r>
      <w:r>
        <w:rPr>
          <w:rFonts w:ascii="Arial" w:cs="Arial" w:eastAsia="Arial" w:hAnsi="Arial"/>
          <w:sz w:val="17"/>
          <w:szCs w:val="17"/>
          <w:color w:val="auto"/>
        </w:rPr>
        <w:t>. You agree that the award of the PSUs is special incentive compensation and that the PSUs will not be taken into account as “salary” or “compensation” or “bonus” in determining the amount of any payment under any pension, retirement, or profit-sharing plan of the Company or any life insurance, disability, or other benefit plan of the Company, except as specifically provided in any such plan.</w:t>
      </w:r>
    </w:p>
    <w:p>
      <w:pPr>
        <w:spacing w:after="0" w:line="269" w:lineRule="exact"/>
        <w:rPr>
          <w:rFonts w:ascii="Arial" w:cs="Arial" w:eastAsia="Arial" w:hAnsi="Arial"/>
          <w:sz w:val="22"/>
          <w:szCs w:val="22"/>
          <w:color w:val="auto"/>
        </w:rPr>
      </w:pPr>
    </w:p>
    <w:p>
      <w:pPr>
        <w:jc w:val="both"/>
        <w:ind w:left="200" w:right="219" w:firstLine="657"/>
        <w:spacing w:after="0" w:line="237" w:lineRule="auto"/>
        <w:tabs>
          <w:tab w:leader="none" w:pos="1496" w:val="left"/>
        </w:tabs>
        <w:numPr>
          <w:ilvl w:val="0"/>
          <w:numId w:val="60"/>
        </w:numPr>
        <w:rPr>
          <w:rFonts w:ascii="Arial" w:cs="Arial" w:eastAsia="Arial" w:hAnsi="Arial"/>
          <w:sz w:val="22"/>
          <w:szCs w:val="22"/>
          <w:color w:val="auto"/>
        </w:rPr>
      </w:pPr>
      <w:r>
        <w:rPr>
          <w:rFonts w:ascii="Arial" w:cs="Arial" w:eastAsia="Arial" w:hAnsi="Arial"/>
          <w:sz w:val="17"/>
          <w:szCs w:val="17"/>
          <w:u w:val="single" w:color="auto"/>
          <w:color w:val="auto"/>
        </w:rPr>
        <w:t>Delivery Delay</w:t>
      </w:r>
      <w:r>
        <w:rPr>
          <w:rFonts w:ascii="Arial" w:cs="Arial" w:eastAsia="Arial" w:hAnsi="Arial"/>
          <w:sz w:val="17"/>
          <w:szCs w:val="17"/>
          <w:color w:val="auto"/>
        </w:rPr>
        <w:t>. Notwithstanding anything herein, the delivery of any shares of Common Stock for vested PSUs may be postponed by the Company for such period as may be required for it to comply with any applicable federal or state securities law, or any national securities exchange listing requirements and the Company is not obligated to issue or deliver any securities if, in the opinion of counsel for the Company, the issuance of such shares shall constitute a violation by you or the Company of any provisions of any law or of any regulations of any governmental authority or any national securities exchange.</w:t>
      </w:r>
    </w:p>
    <w:p>
      <w:pPr>
        <w:spacing w:after="0" w:line="270" w:lineRule="exact"/>
        <w:rPr>
          <w:rFonts w:ascii="Arial" w:cs="Arial" w:eastAsia="Arial" w:hAnsi="Arial"/>
          <w:sz w:val="22"/>
          <w:szCs w:val="22"/>
          <w:color w:val="auto"/>
        </w:rPr>
      </w:pPr>
    </w:p>
    <w:p>
      <w:pPr>
        <w:jc w:val="both"/>
        <w:ind w:left="200" w:right="219" w:firstLine="657"/>
        <w:spacing w:after="0" w:line="232" w:lineRule="auto"/>
        <w:tabs>
          <w:tab w:leader="none" w:pos="1496" w:val="left"/>
        </w:tabs>
        <w:numPr>
          <w:ilvl w:val="0"/>
          <w:numId w:val="60"/>
        </w:numPr>
        <w:rPr>
          <w:rFonts w:ascii="Arial" w:cs="Arial" w:eastAsia="Arial" w:hAnsi="Arial"/>
          <w:sz w:val="22"/>
          <w:szCs w:val="22"/>
          <w:color w:val="auto"/>
        </w:rPr>
      </w:pPr>
      <w:r>
        <w:rPr>
          <w:rFonts w:ascii="Arial" w:cs="Arial" w:eastAsia="Arial" w:hAnsi="Arial"/>
          <w:sz w:val="17"/>
          <w:szCs w:val="17"/>
          <w:u w:val="single" w:color="auto"/>
          <w:color w:val="auto"/>
        </w:rPr>
        <w:t>Restriction on Transfer of PSUs</w:t>
      </w:r>
      <w:r>
        <w:rPr>
          <w:rFonts w:ascii="Arial" w:cs="Arial" w:eastAsia="Arial" w:hAnsi="Arial"/>
          <w:sz w:val="17"/>
          <w:szCs w:val="17"/>
          <w:color w:val="auto"/>
        </w:rPr>
        <w:t>. You shall not sell, negotiate, transfer, pledge, hypothecate, assign, or otherwise dispose of the PSUs. Any attempted sale, negotiation, transfer, pledge, hypothecation, assignment or other disposition of the PSUs or unvested shares in violation of the Plan or this Agreement shall be null and void.</w:t>
      </w:r>
    </w:p>
    <w:p>
      <w:pPr>
        <w:spacing w:after="0" w:line="220" w:lineRule="exact"/>
        <w:rPr>
          <w:rFonts w:ascii="Arial" w:cs="Arial" w:eastAsia="Arial" w:hAnsi="Arial"/>
          <w:sz w:val="22"/>
          <w:szCs w:val="22"/>
          <w:color w:val="auto"/>
        </w:rPr>
      </w:pPr>
    </w:p>
    <w:p>
      <w:pPr>
        <w:ind w:left="1500" w:hanging="643"/>
        <w:spacing w:after="0"/>
        <w:tabs>
          <w:tab w:leader="none" w:pos="1500" w:val="left"/>
        </w:tabs>
        <w:numPr>
          <w:ilvl w:val="0"/>
          <w:numId w:val="60"/>
        </w:numPr>
        <w:rPr>
          <w:rFonts w:ascii="Arial" w:cs="Arial" w:eastAsia="Arial" w:hAnsi="Arial"/>
          <w:sz w:val="22"/>
          <w:szCs w:val="22"/>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Non-Competition</w:t>
      </w:r>
      <w:r>
        <w:rPr>
          <w:rFonts w:ascii="Arial" w:cs="Arial" w:eastAsia="Arial" w:hAnsi="Arial"/>
          <w:sz w:val="17"/>
          <w:szCs w:val="17"/>
          <w:color w:val="auto"/>
        </w:rPr>
        <w:t>.</w:t>
      </w:r>
    </w:p>
    <w:p>
      <w:pPr>
        <w:spacing w:after="0" w:line="267"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60"/>
        </w:numPr>
        <w:rPr>
          <w:rFonts w:ascii="Arial" w:cs="Arial" w:eastAsia="Arial" w:hAnsi="Arial"/>
          <w:sz w:val="22"/>
          <w:szCs w:val="22"/>
          <w:color w:val="auto"/>
        </w:rPr>
      </w:pPr>
      <w:r>
        <w:rPr>
          <w:rFonts w:ascii="Arial" w:cs="Arial" w:eastAsia="Arial" w:hAnsi="Arial"/>
          <w:sz w:val="17"/>
          <w:szCs w:val="17"/>
          <w:u w:val="single" w:color="auto"/>
          <w:color w:val="auto"/>
        </w:rPr>
        <w:t>Competition.</w:t>
      </w:r>
      <w:r>
        <w:rPr>
          <w:rFonts w:ascii="Arial" w:cs="Arial" w:eastAsia="Arial" w:hAnsi="Arial"/>
          <w:sz w:val="17"/>
          <w:szCs w:val="17"/>
          <w:color w:val="auto"/>
        </w:rPr>
        <w:t xml:space="preserve"> By accepting this award of PSUs, as provided below, you agree that during the “Non-Competition Period” you will not engage in “Competition” with the Control Group. As used herein, “Competition” means:</w:t>
      </w:r>
    </w:p>
    <w:p>
      <w:pPr>
        <w:spacing w:after="0" w:line="227" w:lineRule="exact"/>
        <w:rPr>
          <w:rFonts w:ascii="Arial" w:cs="Arial" w:eastAsia="Arial" w:hAnsi="Arial"/>
          <w:sz w:val="22"/>
          <w:szCs w:val="22"/>
          <w:color w:val="auto"/>
        </w:rPr>
      </w:pPr>
    </w:p>
    <w:p>
      <w:pPr>
        <w:jc w:val="both"/>
        <w:ind w:left="200" w:right="219" w:firstLine="1953"/>
        <w:spacing w:after="0" w:line="266" w:lineRule="auto"/>
        <w:tabs>
          <w:tab w:leader="none" w:pos="2792" w:val="left"/>
        </w:tabs>
        <w:numPr>
          <w:ilvl w:val="3"/>
          <w:numId w:val="60"/>
        </w:numPr>
        <w:rPr>
          <w:rFonts w:ascii="Arial" w:cs="Arial" w:eastAsia="Arial" w:hAnsi="Arial"/>
          <w:sz w:val="17"/>
          <w:szCs w:val="17"/>
          <w:color w:val="auto"/>
        </w:rPr>
      </w:pPr>
      <w:r>
        <w:rPr>
          <w:rFonts w:ascii="Arial" w:cs="Arial" w:eastAsia="Arial" w:hAnsi="Arial"/>
          <w:sz w:val="17"/>
          <w:szCs w:val="17"/>
          <w:color w:val="auto"/>
        </w:rPr>
        <w:t>participating, directly or indirectly, as an individual proprietor, stockholder, officer, employee, director, joint venturer, investor, lender, or in any capacity whatsoever within the United States of America or in any other country where any of your former employing members of the Control Group does business, in (A) a business in competition with the retail, catalog, or on-line sale of athletic footwear, athletic apparel and sporting goods conducted by the Control Group (the “Athletic Business”), or (B) a business that in the prior fiscal year supplied product to the Control Group for the Athletic Business having a value of $20 million or more at cost to the Control Group; provided, however, that such participation shall not include (X) the mere ownership of not more than 1 percent of the total outstanding stock of a publicly held company; (Y) the performance of services for any enterprise to the extent such services are not performed, directly or indirectly, for a business in competition with the Athletic Business or for a business which supplies product to the Control Group for the Athletic Business; or (Z) any activity engaged in with the prior written approval of the Chief Executive Officer of the Company; or</w:t>
      </w:r>
    </w:p>
    <w:p>
      <w:pPr>
        <w:spacing w:after="0" w:line="200" w:lineRule="exact"/>
        <w:rPr>
          <w:rFonts w:ascii="Arial" w:cs="Arial" w:eastAsia="Arial" w:hAnsi="Arial"/>
          <w:sz w:val="17"/>
          <w:szCs w:val="17"/>
          <w:color w:val="auto"/>
        </w:rPr>
      </w:pPr>
    </w:p>
    <w:p>
      <w:pPr>
        <w:spacing w:after="0" w:line="291" w:lineRule="exact"/>
        <w:rPr>
          <w:rFonts w:ascii="Arial" w:cs="Arial" w:eastAsia="Arial" w:hAnsi="Arial"/>
          <w:sz w:val="17"/>
          <w:szCs w:val="17"/>
          <w:color w:val="auto"/>
        </w:rPr>
      </w:pPr>
    </w:p>
    <w:p>
      <w:pPr>
        <w:jc w:val="both"/>
        <w:ind w:left="200" w:right="219" w:firstLine="1953"/>
        <w:spacing w:after="0" w:line="270" w:lineRule="auto"/>
        <w:tabs>
          <w:tab w:leader="none" w:pos="2792" w:val="left"/>
        </w:tabs>
        <w:numPr>
          <w:ilvl w:val="3"/>
          <w:numId w:val="60"/>
        </w:numPr>
        <w:rPr>
          <w:rFonts w:ascii="Arial" w:cs="Arial" w:eastAsia="Arial" w:hAnsi="Arial"/>
          <w:sz w:val="17"/>
          <w:szCs w:val="17"/>
          <w:color w:val="auto"/>
        </w:rPr>
      </w:pPr>
      <w:r>
        <w:rPr>
          <w:rFonts w:ascii="Arial" w:cs="Arial" w:eastAsia="Arial" w:hAnsi="Arial"/>
          <w:sz w:val="17"/>
          <w:szCs w:val="17"/>
          <w:color w:val="auto"/>
        </w:rPr>
        <w:t>intentionally recruiting, soliciting or inducing, any employee or employees of the Control Group to terminate their employment with, or otherwise cease their relationship with the former employing members of the Control Group where such employee or employees do in fact so terminate their employment.</w:t>
      </w:r>
    </w:p>
    <w:p>
      <w:pPr>
        <w:spacing w:after="0" w:line="200" w:lineRule="exact"/>
        <w:rPr>
          <w:rFonts w:ascii="Arial" w:cs="Arial" w:eastAsia="Arial" w:hAnsi="Arial"/>
          <w:sz w:val="17"/>
          <w:szCs w:val="17"/>
          <w:color w:val="auto"/>
        </w:rPr>
      </w:pPr>
    </w:p>
    <w:p>
      <w:pPr>
        <w:spacing w:after="0" w:line="341" w:lineRule="exact"/>
        <w:rPr>
          <w:rFonts w:ascii="Arial" w:cs="Arial" w:eastAsia="Arial" w:hAnsi="Arial"/>
          <w:sz w:val="17"/>
          <w:szCs w:val="17"/>
          <w:color w:val="auto"/>
        </w:rPr>
      </w:pPr>
    </w:p>
    <w:p>
      <w:pPr>
        <w:jc w:val="both"/>
        <w:ind w:left="200" w:right="219" w:firstLine="1305"/>
        <w:spacing w:after="0" w:line="238" w:lineRule="auto"/>
        <w:tabs>
          <w:tab w:leader="none" w:pos="2144" w:val="left"/>
        </w:tabs>
        <w:numPr>
          <w:ilvl w:val="1"/>
          <w:numId w:val="60"/>
        </w:numPr>
        <w:rPr>
          <w:rFonts w:ascii="Arial" w:cs="Arial" w:eastAsia="Arial" w:hAnsi="Arial"/>
          <w:sz w:val="22"/>
          <w:szCs w:val="22"/>
          <w:color w:val="auto"/>
        </w:rPr>
      </w:pPr>
      <w:r>
        <w:rPr>
          <w:rFonts w:ascii="Arial" w:cs="Arial" w:eastAsia="Arial" w:hAnsi="Arial"/>
          <w:sz w:val="17"/>
          <w:szCs w:val="17"/>
          <w:u w:val="single" w:color="auto"/>
          <w:color w:val="auto"/>
        </w:rPr>
        <w:t>“Non-Competition Period”</w:t>
      </w:r>
      <w:r>
        <w:rPr>
          <w:rFonts w:ascii="Arial" w:cs="Arial" w:eastAsia="Arial" w:hAnsi="Arial"/>
          <w:sz w:val="17"/>
          <w:szCs w:val="17"/>
          <w:color w:val="auto"/>
        </w:rPr>
        <w:t>. As used herein, “Non-Competition Period” means: the period commencing on the Date of Grant and ending on the Vesting Date, or any part thereof, during which you are employed by the Control Group, and (ii) if your employment with the Control Group terminates for any reason during such period, the _____-year period commencing on the date your employment with the Control Group terminates. Notwithstanding the foregoing, the Non-Competition Period shall not extend beyond the date your employment with the Control Group terminates if such termination of employment occurs following a “Change in Control” as defined in Attachment B hereto.</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10" w:name="page111"/>
    <w:bookmarkEnd w:id="110"/>
    <w:p>
      <w:pPr>
        <w:jc w:val="both"/>
        <w:ind w:left="200" w:right="219" w:firstLine="1305"/>
        <w:spacing w:after="0" w:line="245" w:lineRule="auto"/>
        <w:tabs>
          <w:tab w:leader="none" w:pos="2144" w:val="left"/>
        </w:tabs>
        <w:numPr>
          <w:ilvl w:val="1"/>
          <w:numId w:val="61"/>
        </w:numPr>
        <w:rPr>
          <w:rFonts w:ascii="Arial" w:cs="Arial" w:eastAsia="Arial" w:hAnsi="Arial"/>
          <w:sz w:val="22"/>
          <w:szCs w:val="22"/>
          <w:color w:val="auto"/>
        </w:rPr>
      </w:pPr>
      <w:r>
        <w:rPr>
          <w:rFonts w:ascii="Arial" w:cs="Arial" w:eastAsia="Arial" w:hAnsi="Arial"/>
          <w:sz w:val="17"/>
          <w:szCs w:val="17"/>
          <w:u w:val="single" w:color="auto"/>
          <w:color w:val="auto"/>
        </w:rPr>
        <w:t>Breach of Non-Competition Provision</w:t>
      </w:r>
      <w:r>
        <w:rPr>
          <w:rFonts w:ascii="Arial" w:cs="Arial" w:eastAsia="Arial" w:hAnsi="Arial"/>
          <w:sz w:val="17"/>
          <w:szCs w:val="17"/>
          <w:color w:val="auto"/>
        </w:rPr>
        <w:t>. You agree that your breach of the provisions included herein under Section 10 under the heading “Non-Competition” (the “Non-Competition Provision”) would result in irreparable injury and damage to the Company for which the Company would have no adequate remedy at law. You agree, therefore, that in the event of a breach or a threatened breach of the Non-Competition Provision, the Company shall be entitled to (i) an immediate injunction and restraining order to prevent such breach, threatened breach, or continued breach, including by any and all persons acting for or with you, without having to prove damages, and (ii) any other remedies to which the Company may be entitled at law or in equity. The terms of this paragraph shall not prevent the Company from pursuing any other available remedies for any breach or threatened breach of the Non-Competition Provision, including, but not limited to, recovery of damages. In addition, in the event of your breach of the Non-Competition Provision, the PSUs covered by this Agreement that are then unvested shall be immediately forfeited. You and the Company further agree that the Non-Competition Provision is reasonable and that the Company would not have granted the award of PSUs provided for in this Agreement but for the inclusion of the Non-Competition Provision herein. If any provision of the Non-Competition Provision is found by any court of competent jurisdiction to be unenforceable because it extends for too long a period of time or over too great a range of activities or in too broad a geographic area, it shall be interpreted to extend over the maximum period of time, range of activities, or geographic area as to which it may be enforceable. The validity, construction, and performance of the Non-Competition Provision shall be governed by the laws of the State of New York without regard to its conflicts of laws principles. For purposes of the Non-Competition Provision, you and the Company consent to the jurisdiction of state and federal courts in New York County, New York.]</w:t>
      </w:r>
    </w:p>
    <w:p>
      <w:pPr>
        <w:spacing w:after="0" w:line="222" w:lineRule="exact"/>
        <w:rPr>
          <w:rFonts w:ascii="Arial" w:cs="Arial" w:eastAsia="Arial" w:hAnsi="Arial"/>
          <w:sz w:val="22"/>
          <w:szCs w:val="22"/>
          <w:color w:val="auto"/>
        </w:rPr>
      </w:pPr>
    </w:p>
    <w:p>
      <w:pPr>
        <w:ind w:left="1500" w:hanging="643"/>
        <w:spacing w:after="0"/>
        <w:tabs>
          <w:tab w:leader="none" w:pos="1500" w:val="left"/>
        </w:tabs>
        <w:numPr>
          <w:ilvl w:val="0"/>
          <w:numId w:val="62"/>
        </w:numPr>
        <w:rPr>
          <w:rFonts w:ascii="Arial" w:cs="Arial" w:eastAsia="Arial" w:hAnsi="Arial"/>
          <w:sz w:val="22"/>
          <w:szCs w:val="22"/>
          <w:color w:val="auto"/>
        </w:rPr>
      </w:pPr>
      <w:r>
        <w:rPr>
          <w:rFonts w:ascii="Arial" w:cs="Arial" w:eastAsia="Arial" w:hAnsi="Arial"/>
          <w:sz w:val="17"/>
          <w:szCs w:val="17"/>
          <w:u w:val="single" w:color="auto"/>
          <w:color w:val="auto"/>
        </w:rPr>
        <w:t>Not an Employment Agreement</w:t>
      </w:r>
      <w:r>
        <w:rPr>
          <w:rFonts w:ascii="Arial" w:cs="Arial" w:eastAsia="Arial" w:hAnsi="Arial"/>
          <w:sz w:val="17"/>
          <w:szCs w:val="17"/>
          <w:color w:val="auto"/>
        </w:rPr>
        <w:t>.</w:t>
      </w:r>
    </w:p>
    <w:p>
      <w:pPr>
        <w:spacing w:after="0" w:line="214" w:lineRule="exact"/>
        <w:rPr>
          <w:sz w:val="20"/>
          <w:szCs w:val="20"/>
          <w:color w:val="auto"/>
        </w:rPr>
      </w:pPr>
    </w:p>
    <w:p>
      <w:pPr>
        <w:jc w:val="both"/>
        <w:ind w:left="200" w:right="219" w:firstLine="648"/>
        <w:spacing w:after="0" w:line="254" w:lineRule="auto"/>
        <w:rPr>
          <w:sz w:val="20"/>
          <w:szCs w:val="20"/>
          <w:color w:val="auto"/>
        </w:rPr>
      </w:pPr>
      <w:r>
        <w:rPr>
          <w:rFonts w:ascii="Arial" w:cs="Arial" w:eastAsia="Arial" w:hAnsi="Arial"/>
          <w:sz w:val="17"/>
          <w:szCs w:val="17"/>
          <w:color w:val="auto"/>
        </w:rPr>
        <w:t>The award of PSUs hereunder does not constitute an agreement by the Company to continue to employ you during the entire, or any portion of the term of this Agreement, including but not limited to any period during which the PSUs are outstanding.</w:t>
      </w:r>
    </w:p>
    <w:p>
      <w:pPr>
        <w:spacing w:after="0" w:line="200" w:lineRule="exact"/>
        <w:rPr>
          <w:sz w:val="20"/>
          <w:szCs w:val="20"/>
          <w:color w:val="auto"/>
        </w:rPr>
      </w:pPr>
    </w:p>
    <w:p>
      <w:pPr>
        <w:spacing w:after="0" w:line="292" w:lineRule="exact"/>
        <w:rPr>
          <w:sz w:val="20"/>
          <w:szCs w:val="20"/>
          <w:color w:val="auto"/>
        </w:rPr>
      </w:pPr>
    </w:p>
    <w:p>
      <w:pPr>
        <w:ind w:left="1500" w:hanging="643"/>
        <w:spacing w:after="0"/>
        <w:tabs>
          <w:tab w:leader="none" w:pos="1500" w:val="left"/>
        </w:tabs>
        <w:numPr>
          <w:ilvl w:val="0"/>
          <w:numId w:val="63"/>
        </w:numPr>
        <w:rPr>
          <w:rFonts w:ascii="Arial" w:cs="Arial" w:eastAsia="Arial" w:hAnsi="Arial"/>
          <w:sz w:val="22"/>
          <w:szCs w:val="22"/>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1"/>
          <w:numId w:val="63"/>
        </w:numPr>
        <w:rPr>
          <w:rFonts w:ascii="Arial" w:cs="Arial" w:eastAsia="Arial" w:hAnsi="Arial"/>
          <w:sz w:val="22"/>
          <w:szCs w:val="22"/>
          <w:color w:val="auto"/>
        </w:rPr>
      </w:pPr>
      <w:r>
        <w:rPr>
          <w:rFonts w:ascii="Arial" w:cs="Arial" w:eastAsia="Arial" w:hAnsi="Arial"/>
          <w:sz w:val="17"/>
          <w:szCs w:val="17"/>
          <w:color w:val="auto"/>
        </w:rPr>
        <w:t>In no event shall any dividend equivalents accrue or be paid on any PSUs.</w:t>
      </w:r>
    </w:p>
    <w:p>
      <w:pPr>
        <w:spacing w:after="0" w:line="267" w:lineRule="exact"/>
        <w:rPr>
          <w:rFonts w:ascii="Arial" w:cs="Arial" w:eastAsia="Arial" w:hAnsi="Arial"/>
          <w:sz w:val="22"/>
          <w:szCs w:val="22"/>
          <w:color w:val="auto"/>
        </w:rPr>
      </w:pPr>
    </w:p>
    <w:p>
      <w:pPr>
        <w:ind w:left="200" w:right="219" w:firstLine="1305"/>
        <w:spacing w:after="0" w:line="217"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This Agreement shall inure to the benefit of and be binding upon all parties hereto and their respective heirs, legal representatives, successors, and assigns.</w:t>
      </w:r>
    </w:p>
    <w:p>
      <w:pPr>
        <w:spacing w:after="0" w:line="219" w:lineRule="exact"/>
        <w:rPr>
          <w:rFonts w:ascii="Arial" w:cs="Arial" w:eastAsia="Arial" w:hAnsi="Arial"/>
          <w:sz w:val="22"/>
          <w:szCs w:val="22"/>
          <w:color w:val="auto"/>
        </w:rPr>
      </w:pPr>
    </w:p>
    <w:p>
      <w:pPr>
        <w:ind w:left="2160" w:hanging="655"/>
        <w:spacing w:after="0"/>
        <w:tabs>
          <w:tab w:leader="none" w:pos="2160"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This Agreement shall be subject to any compensation recoupment policy that the</w:t>
      </w:r>
    </w:p>
    <w:p>
      <w:pPr>
        <w:ind w:left="200"/>
        <w:spacing w:after="0"/>
        <w:rPr>
          <w:rFonts w:ascii="Arial" w:cs="Arial" w:eastAsia="Arial" w:hAnsi="Arial"/>
          <w:sz w:val="22"/>
          <w:szCs w:val="22"/>
          <w:color w:val="auto"/>
        </w:rPr>
      </w:pPr>
      <w:r>
        <w:rPr>
          <w:rFonts w:ascii="Arial" w:cs="Arial" w:eastAsia="Arial" w:hAnsi="Arial"/>
          <w:sz w:val="17"/>
          <w:szCs w:val="17"/>
          <w:color w:val="auto"/>
        </w:rPr>
        <w:t>Company may adopt.</w:t>
      </w:r>
    </w:p>
    <w:p>
      <w:pPr>
        <w:spacing w:after="0" w:line="277"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This Agreement constitutes the entire agreement between the parties and cannot be changed or terminated orally. No modification or waiver of any of the provisions hereof shall be effective unless in writing and signed by the party against whom it is sought to be enforced.</w:t>
      </w:r>
    </w:p>
    <w:p>
      <w:pPr>
        <w:spacing w:after="0" w:line="268" w:lineRule="exact"/>
        <w:rPr>
          <w:rFonts w:ascii="Arial" w:cs="Arial" w:eastAsia="Arial" w:hAnsi="Arial"/>
          <w:sz w:val="22"/>
          <w:szCs w:val="22"/>
          <w:color w:val="auto"/>
        </w:rPr>
      </w:pPr>
    </w:p>
    <w:p>
      <w:pPr>
        <w:ind w:left="200" w:right="219" w:firstLine="1305"/>
        <w:spacing w:after="0" w:line="217"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This Agreement may be executed in one or more counterparts, all of which taken together shall constitute one contract.</w:t>
      </w:r>
    </w:p>
    <w:p>
      <w:pPr>
        <w:spacing w:after="0" w:line="269" w:lineRule="exact"/>
        <w:rPr>
          <w:rFonts w:ascii="Arial" w:cs="Arial" w:eastAsia="Arial" w:hAnsi="Arial"/>
          <w:sz w:val="22"/>
          <w:szCs w:val="22"/>
          <w:color w:val="auto"/>
        </w:rPr>
      </w:pPr>
    </w:p>
    <w:p>
      <w:pPr>
        <w:jc w:val="both"/>
        <w:ind w:left="200" w:right="219" w:firstLine="1305"/>
        <w:spacing w:after="0" w:line="235"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The failure of any party hereto at any time to require performance by another party of any provision of this Agreement shall not affect the right of such party to require performance of that provision, and any waiver by any party of any breach of any provision of this Agreement shall not be construed as a waiver of any continuing or succeeding breach of such provision, a waiver of the provision itself, or a waiver of any right under this Agreement.</w:t>
      </w:r>
    </w:p>
    <w:p>
      <w:pPr>
        <w:spacing w:after="0" w:line="269"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This Agreement is subject, in all respects, to the provisions of the Plan, and to the extent any provision of this Agreement contravenes or is inconsistent with any provision of the Plan, the provisions of the Plan shall govern.</w:t>
      </w:r>
    </w:p>
    <w:p>
      <w:pPr>
        <w:spacing w:after="0" w:line="268" w:lineRule="exact"/>
        <w:rPr>
          <w:rFonts w:ascii="Arial" w:cs="Arial" w:eastAsia="Arial" w:hAnsi="Arial"/>
          <w:sz w:val="22"/>
          <w:szCs w:val="22"/>
          <w:color w:val="auto"/>
        </w:rPr>
      </w:pPr>
    </w:p>
    <w:p>
      <w:pPr>
        <w:ind w:left="200" w:right="219" w:firstLine="1305"/>
        <w:spacing w:after="0" w:line="217" w:lineRule="auto"/>
        <w:tabs>
          <w:tab w:leader="none" w:pos="2144" w:val="left"/>
        </w:tabs>
        <w:numPr>
          <w:ilvl w:val="1"/>
          <w:numId w:val="63"/>
        </w:numPr>
        <w:rPr>
          <w:rFonts w:ascii="Arial" w:cs="Arial" w:eastAsia="Arial" w:hAnsi="Arial"/>
          <w:sz w:val="22"/>
          <w:szCs w:val="22"/>
          <w:color w:val="auto"/>
        </w:rPr>
      </w:pPr>
      <w:r>
        <w:rPr>
          <w:rFonts w:ascii="Arial" w:cs="Arial" w:eastAsia="Arial" w:hAnsi="Arial"/>
          <w:sz w:val="17"/>
          <w:szCs w:val="17"/>
          <w:color w:val="auto"/>
        </w:rPr>
        <w:t>The headings of the sections of this Agreement have been inserted for convenience of reference only and shall in no way restrict or modify any of the terms or provisions hereof.</w:t>
      </w:r>
    </w:p>
    <w:p>
      <w:pPr>
        <w:sectPr>
          <w:pgSz w:w="11900" w:h="16838" w:orient="portrait"/>
          <w:cols w:equalWidth="0" w:num="1">
            <w:col w:w="9019"/>
          </w:cols>
          <w:pgMar w:left="1440" w:top="95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type w:val="continuous"/>
        </w:sectPr>
      </w:pPr>
    </w:p>
    <w:bookmarkStart w:id="111" w:name="page112"/>
    <w:bookmarkEnd w:id="111"/>
    <w:p>
      <w:pPr>
        <w:jc w:val="both"/>
        <w:ind w:left="200" w:right="219" w:firstLine="1305"/>
        <w:spacing w:after="0" w:line="238" w:lineRule="auto"/>
        <w:tabs>
          <w:tab w:leader="none" w:pos="2144" w:val="left"/>
        </w:tabs>
        <w:numPr>
          <w:ilvl w:val="0"/>
          <w:numId w:val="64"/>
        </w:numPr>
        <w:rPr>
          <w:rFonts w:ascii="Arial" w:cs="Arial" w:eastAsia="Arial" w:hAnsi="Arial"/>
          <w:sz w:val="22"/>
          <w:szCs w:val="22"/>
          <w:color w:val="auto"/>
        </w:rPr>
      </w:pPr>
      <w:r>
        <w:rPr>
          <w:rFonts w:ascii="Arial" w:cs="Arial" w:eastAsia="Arial" w:hAnsi="Arial"/>
          <w:sz w:val="17"/>
          <w:szCs w:val="17"/>
          <w:color w:val="auto"/>
        </w:rPr>
        <w:t>All notices, consents, requests, approvals, instructions and other communications provided for herein shall be in writing and validly given or made when delivered, or on the second succeeding business day after being mailed by registered or certified mail, whichever is earlier, to the persons entitled or required to receive the same, at, in the case of the Company, the address set forth at the heading of this Agreement and, in the case of you, your principal residence address as shown in the records of the Company, or to such other address as either party may designate by like notice. Notices to the Company shall be addressed to the General Counsel.</w:t>
      </w:r>
    </w:p>
    <w:p>
      <w:pPr>
        <w:spacing w:after="0" w:line="273" w:lineRule="exact"/>
        <w:rPr>
          <w:rFonts w:ascii="Arial" w:cs="Arial" w:eastAsia="Arial" w:hAnsi="Arial"/>
          <w:sz w:val="22"/>
          <w:szCs w:val="22"/>
          <w:color w:val="auto"/>
        </w:rPr>
      </w:pPr>
    </w:p>
    <w:p>
      <w:pPr>
        <w:jc w:val="both"/>
        <w:ind w:left="200" w:right="219" w:firstLine="1305"/>
        <w:spacing w:after="0" w:line="227" w:lineRule="auto"/>
        <w:tabs>
          <w:tab w:leader="none" w:pos="2144" w:val="left"/>
        </w:tabs>
        <w:numPr>
          <w:ilvl w:val="0"/>
          <w:numId w:val="64"/>
        </w:numPr>
        <w:rPr>
          <w:rFonts w:ascii="Arial" w:cs="Arial" w:eastAsia="Arial" w:hAnsi="Arial"/>
          <w:sz w:val="22"/>
          <w:szCs w:val="22"/>
          <w:color w:val="auto"/>
        </w:rPr>
      </w:pPr>
      <w:r>
        <w:rPr>
          <w:rFonts w:ascii="Arial" w:cs="Arial" w:eastAsia="Arial" w:hAnsi="Arial"/>
          <w:sz w:val="17"/>
          <w:szCs w:val="17"/>
          <w:color w:val="auto"/>
        </w:rPr>
        <w:t>This Agreement shall be governed and construed and the legal relationships of the parties determined in accordance with the laws of the State of New York without regard to its conflicts of laws principles.</w:t>
      </w:r>
    </w:p>
    <w:p>
      <w:pPr>
        <w:spacing w:after="0" w:line="268" w:lineRule="exact"/>
        <w:rPr>
          <w:rFonts w:ascii="Arial" w:cs="Arial" w:eastAsia="Arial" w:hAnsi="Arial"/>
          <w:sz w:val="22"/>
          <w:szCs w:val="22"/>
          <w:color w:val="auto"/>
        </w:rPr>
      </w:pPr>
    </w:p>
    <w:p>
      <w:pPr>
        <w:jc w:val="both"/>
        <w:ind w:left="200" w:right="219" w:firstLine="1305"/>
        <w:spacing w:after="0" w:line="238" w:lineRule="auto"/>
        <w:tabs>
          <w:tab w:leader="none" w:pos="2144" w:val="left"/>
        </w:tabs>
        <w:numPr>
          <w:ilvl w:val="0"/>
          <w:numId w:val="64"/>
        </w:numPr>
        <w:rPr>
          <w:rFonts w:ascii="Arial" w:cs="Arial" w:eastAsia="Arial" w:hAnsi="Arial"/>
          <w:sz w:val="22"/>
          <w:szCs w:val="22"/>
          <w:color w:val="auto"/>
        </w:rPr>
      </w:pPr>
      <w:r>
        <w:rPr>
          <w:rFonts w:ascii="Arial" w:cs="Arial" w:eastAsia="Arial" w:hAnsi="Arial"/>
          <w:sz w:val="17"/>
          <w:szCs w:val="17"/>
          <w:color w:val="auto"/>
        </w:rPr>
        <w:t>Although the Company does not guarantee the tax treatment of the PSUs, this Agreement is intended to comply with, or be exempt from, the applicable requirements of Code Section 409A and shall be limited, construed and interpreted in accordance with such intent. Accordingly, in the event that you are a “specified employee” within the meaning of Code Section 409A as of the date of your separation from service (as determined pursuant to Code Section 409A and any procedure set by the Company), any award of PSUs payable as a result of such separation from service shall be settled no earlier than the day following the six- month anniversary of your separation from service, or, if earlier, your death.</w:t>
      </w:r>
    </w:p>
    <w:p>
      <w:pPr>
        <w:spacing w:after="0" w:line="273" w:lineRule="exact"/>
        <w:rPr>
          <w:rFonts w:ascii="Arial" w:cs="Arial" w:eastAsia="Arial" w:hAnsi="Arial"/>
          <w:sz w:val="22"/>
          <w:szCs w:val="22"/>
          <w:color w:val="auto"/>
        </w:rPr>
      </w:pPr>
    </w:p>
    <w:p>
      <w:pPr>
        <w:ind w:left="200" w:right="239" w:firstLine="1305"/>
        <w:spacing w:after="0" w:line="217" w:lineRule="auto"/>
        <w:tabs>
          <w:tab w:leader="none" w:pos="2144" w:val="left"/>
        </w:tabs>
        <w:numPr>
          <w:ilvl w:val="0"/>
          <w:numId w:val="64"/>
        </w:numPr>
        <w:rPr>
          <w:rFonts w:ascii="Arial" w:cs="Arial" w:eastAsia="Arial" w:hAnsi="Arial"/>
          <w:sz w:val="22"/>
          <w:szCs w:val="22"/>
          <w:color w:val="auto"/>
        </w:rPr>
      </w:pPr>
      <w:r>
        <w:rPr>
          <w:rFonts w:ascii="Arial" w:cs="Arial" w:eastAsia="Arial" w:hAnsi="Arial"/>
          <w:sz w:val="17"/>
          <w:szCs w:val="17"/>
          <w:color w:val="auto"/>
        </w:rPr>
        <w:t>To accept this grant, please click “Accept Grant” no later than __________. Please ensure your home address is accurate by reviewing your profile information.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57" w:right="1440" w:bottom="1440" w:gutter="0" w:footer="0" w:header="0"/>
        </w:sectPr>
      </w:pPr>
    </w:p>
    <w:bookmarkStart w:id="112" w:name="page113"/>
    <w:bookmarkEnd w:id="112"/>
    <w:p>
      <w:pPr>
        <w:ind w:left="200" w:right="399" w:firstLine="648"/>
        <w:spacing w:after="0" w:line="259" w:lineRule="auto"/>
        <w:rPr>
          <w:sz w:val="20"/>
          <w:szCs w:val="20"/>
          <w:color w:val="auto"/>
        </w:rPr>
      </w:pPr>
      <w:r>
        <w:rPr>
          <w:rFonts w:ascii="Arial" w:cs="Arial" w:eastAsia="Arial" w:hAnsi="Arial"/>
          <w:sz w:val="17"/>
          <w:szCs w:val="17"/>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334"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-16510</wp:posOffset>
            </wp:positionV>
            <wp:extent cx="14846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36"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1028700</wp:posOffset>
            </wp:positionV>
            <wp:extent cx="22485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13" w:name="page114"/>
    <w:bookmarkEnd w:id="113"/>
    <w:tbl>
      <w:tblPr>
        <w:tblLayout w:type="fixed"/>
        <w:tblInd w:w="218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APPENDIX A</w:t>
            </w: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1500" w:type="dxa"/>
            <w:vAlign w:val="bottom"/>
          </w:tcPr>
          <w:p>
            <w:pPr>
              <w:spacing w:after="0"/>
              <w:rPr>
                <w:sz w:val="24"/>
                <w:szCs w:val="24"/>
                <w:color w:val="auto"/>
              </w:rPr>
            </w:pPr>
          </w:p>
        </w:tc>
        <w:tc>
          <w:tcPr>
            <w:tcW w:w="1600" w:type="dxa"/>
            <w:vAlign w:val="bottom"/>
            <w:gridSpan w:val="5"/>
          </w:tcPr>
          <w:p>
            <w:pPr>
              <w:ind w:left="40"/>
              <w:spacing w:after="0"/>
              <w:rPr>
                <w:sz w:val="20"/>
                <w:szCs w:val="20"/>
                <w:color w:val="auto"/>
              </w:rPr>
            </w:pPr>
            <w:r>
              <w:rPr>
                <w:rFonts w:ascii="Arial" w:cs="Arial" w:eastAsia="Arial" w:hAnsi="Arial"/>
                <w:sz w:val="17"/>
                <w:szCs w:val="17"/>
                <w:b w:val="1"/>
                <w:bCs w:val="1"/>
                <w:color w:val="auto"/>
                <w:w w:val="99"/>
              </w:rPr>
              <w:t>Number of PSUs at</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5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Threshold Payout</w:t>
            </w:r>
          </w:p>
        </w:tc>
        <w:tc>
          <w:tcPr>
            <w:tcW w:w="1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gridSpan w:val="3"/>
            <w:vMerge w:val="restart"/>
          </w:tcPr>
          <w:p>
            <w:pPr>
              <w:jc w:val="center"/>
              <w:ind w:right="20"/>
              <w:spacing w:after="0"/>
              <w:rPr>
                <w:sz w:val="20"/>
                <w:szCs w:val="20"/>
                <w:color w:val="auto"/>
              </w:rPr>
            </w:pPr>
            <w:r>
              <w:rPr>
                <w:rFonts w:ascii="Arial" w:cs="Arial" w:eastAsia="Arial" w:hAnsi="Arial"/>
                <w:sz w:val="17"/>
                <w:szCs w:val="17"/>
                <w:b w:val="1"/>
                <w:bCs w:val="1"/>
                <w:color w:val="auto"/>
                <w:w w:val="98"/>
              </w:rPr>
              <w:t>Target Payout</w:t>
            </w:r>
          </w:p>
        </w:tc>
        <w:tc>
          <w:tcPr>
            <w:tcW w:w="20" w:type="dxa"/>
            <w:vAlign w:val="bottom"/>
          </w:tcPr>
          <w:p>
            <w:pPr>
              <w:spacing w:after="0"/>
              <w:rPr>
                <w:sz w:val="2"/>
                <w:szCs w:val="2"/>
                <w:color w:val="auto"/>
              </w:rPr>
            </w:pPr>
          </w:p>
        </w:tc>
        <w:tc>
          <w:tcPr>
            <w:tcW w:w="1540" w:type="dxa"/>
            <w:vAlign w:val="bottom"/>
            <w:vMerge w:val="restart"/>
          </w:tcPr>
          <w:p>
            <w:pPr>
              <w:jc w:val="center"/>
              <w:ind w:left="55"/>
              <w:spacing w:after="0"/>
              <w:rPr>
                <w:sz w:val="20"/>
                <w:szCs w:val="20"/>
                <w:color w:val="auto"/>
              </w:rPr>
            </w:pPr>
            <w:r>
              <w:rPr>
                <w:rFonts w:ascii="Arial" w:cs="Arial" w:eastAsia="Arial" w:hAnsi="Arial"/>
                <w:sz w:val="17"/>
                <w:szCs w:val="17"/>
                <w:b w:val="1"/>
                <w:bCs w:val="1"/>
                <w:color w:val="auto"/>
              </w:rPr>
              <w:t>Maximum Payout</w:t>
            </w:r>
          </w:p>
        </w:tc>
        <w:tc>
          <w:tcPr>
            <w:tcW w:w="0" w:type="dxa"/>
            <w:vAlign w:val="bottom"/>
          </w:tcPr>
          <w:p>
            <w:pPr>
              <w:spacing w:after="0" w:line="20" w:lineRule="exact"/>
              <w:rPr>
                <w:sz w:val="1"/>
                <w:szCs w:val="1"/>
                <w:color w:val="auto"/>
              </w:rPr>
            </w:pPr>
          </w:p>
        </w:tc>
      </w:tr>
      <w:tr>
        <w:trPr>
          <w:trHeight w:val="196"/>
        </w:trPr>
        <w:tc>
          <w:tcPr>
            <w:tcW w:w="15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0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7"/>
                <w:szCs w:val="17"/>
                <w:color w:val="auto"/>
              </w:rPr>
              <w:t>[●]</w:t>
            </w:r>
          </w:p>
        </w:tc>
        <w:tc>
          <w:tcPr>
            <w:tcW w:w="20" w:type="dxa"/>
            <w:vAlign w:val="bottom"/>
            <w:shd w:val="clear" w:color="auto" w:fill="000000"/>
          </w:tcPr>
          <w:p>
            <w:pPr>
              <w:spacing w:after="0"/>
              <w:rPr>
                <w:sz w:val="17"/>
                <w:szCs w:val="17"/>
                <w:color w:val="auto"/>
              </w:rPr>
            </w:pPr>
          </w:p>
        </w:tc>
        <w:tc>
          <w:tcPr>
            <w:tcW w:w="1540" w:type="dxa"/>
            <w:vAlign w:val="bottom"/>
          </w:tcPr>
          <w:p>
            <w:pPr>
              <w:jc w:val="center"/>
              <w:ind w:lef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3"/>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-479425</wp:posOffset>
            </wp:positionV>
            <wp:extent cx="889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pacing w:after="0" w:line="33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[Performance Goals for _________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7"/>
          <w:szCs w:val="17"/>
          <w:b w:val="1"/>
          <w:bCs w:val="1"/>
          <w:u w:val="single" w:color="auto"/>
          <w:color w:val="auto"/>
        </w:rPr>
        <w:t>APPENDIX B</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Change in Control</w:t>
      </w: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 Change in Control shall mean any of the following: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200" w:right="219" w:firstLine="657"/>
        <w:spacing w:after="0" w:line="249" w:lineRule="auto"/>
        <w:tabs>
          <w:tab w:leader="none" w:pos="14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merger or consolidation of the Company with, or the sale or disposition of all or substantially all of the assets of the Company to, any person or entity or group of associated persons or entities (within the meaning of Section 13(d)(3) or 14(d)(2) of the Securities Exchange Act of 1934 (the “Exchange Act”)) (a “Person”) other than (a) a merger or consolidation which would result in the voting securities of the Company outstanding immediately prior thereto continuing to represent (either by remaining outstanding or by being converted into voting securities of the surviving or parent entity) fifty percent (50%) or more of the combined voting power of the voting securities of the Company or such surviving or parent entity outstanding immediately after such merger or consolidation; or (b) a merger or capitalization effected to implement a recapitalization of the Company (or similar transaction) in which no Person is or becomes the beneficial owner, directly or indirectly (as determined under Rule 13d-3 promulgated under the Exchange Act), of securities representing more than the amounts set forth in (B) below;</w:t>
      </w:r>
    </w:p>
    <w:p>
      <w:pPr>
        <w:spacing w:after="0" w:line="200" w:lineRule="exact"/>
        <w:rPr>
          <w:rFonts w:ascii="Arial" w:cs="Arial" w:eastAsia="Arial" w:hAnsi="Arial"/>
          <w:sz w:val="17"/>
          <w:szCs w:val="17"/>
          <w:color w:val="auto"/>
        </w:rPr>
      </w:pPr>
    </w:p>
    <w:p>
      <w:pPr>
        <w:spacing w:after="0" w:line="309" w:lineRule="exact"/>
        <w:rPr>
          <w:rFonts w:ascii="Arial" w:cs="Arial" w:eastAsia="Arial" w:hAnsi="Arial"/>
          <w:sz w:val="17"/>
          <w:szCs w:val="17"/>
          <w:color w:val="auto"/>
        </w:rPr>
      </w:pPr>
    </w:p>
    <w:p>
      <w:pPr>
        <w:jc w:val="both"/>
        <w:ind w:left="200" w:right="219" w:firstLine="657"/>
        <w:spacing w:after="0" w:line="250" w:lineRule="auto"/>
        <w:tabs>
          <w:tab w:leader="none" w:pos="14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acquisition of direct or indirect beneficial ownership (as determined under Rule 13d-3 promulgated under the Exchange Act), in the aggregate, of securities of the Company representing thirty-five percent (35%) or more of the total combined voting power of the Company’s then issued and outstanding voting securities by any Person (other than the Company or any of its subsidiaries, any trustee or other fiduciary holding securities under any employee benefit plan of the Company, or any company owned, directly or indirectly, by the shareholders of the Company in substantially the same proportions as their ownership of Common Stock of the Company) acting in concert; or</w:t>
      </w: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jc w:val="both"/>
        <w:ind w:left="200" w:right="219" w:firstLine="657"/>
        <w:spacing w:after="0" w:line="255" w:lineRule="auto"/>
        <w:tabs>
          <w:tab w:leader="none" w:pos="14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during any period of not more than twelve (12) months, individuals who at the beginning of such period constitute the Board, and any new director whose election by the Board or nomination for election by the Company’s shareholders was approved by a vote of at least two-thirds (⅔) of the directors then still in office who either were directors at the beginning of the period or whose election or nomination for election was previously so approved, cease for any reason to constitute at least a majority thereof.</w:t>
      </w:r>
    </w:p>
    <w:p>
      <w:pPr>
        <w:spacing w:after="0" w:line="200" w:lineRule="exact"/>
        <w:rPr>
          <w:sz w:val="20"/>
          <w:szCs w:val="20"/>
          <w:color w:val="auto"/>
        </w:rPr>
      </w:pPr>
    </w:p>
    <w:p>
      <w:pPr>
        <w:spacing w:after="0" w:line="287" w:lineRule="exact"/>
        <w:rPr>
          <w:sz w:val="20"/>
          <w:szCs w:val="20"/>
          <w:color w:val="auto"/>
        </w:rPr>
      </w:pPr>
    </w:p>
    <w:p>
      <w:pPr>
        <w:ind w:left="200" w:right="239"/>
        <w:spacing w:after="0" w:line="259" w:lineRule="auto"/>
        <w:rPr>
          <w:sz w:val="20"/>
          <w:szCs w:val="20"/>
          <w:color w:val="auto"/>
        </w:rPr>
      </w:pPr>
      <w:r>
        <w:rPr>
          <w:rFonts w:ascii="Arial" w:cs="Arial" w:eastAsia="Arial" w:hAnsi="Arial"/>
          <w:sz w:val="17"/>
          <w:szCs w:val="17"/>
          <w:color w:val="auto"/>
        </w:rPr>
        <w:t xml:space="preserve">This definition of Change in Control is intended to be construed as defined in the Plan and shall be interpreted in a manner consistent with Treasury Regulation </w:t>
      </w:r>
      <w:r>
        <w:rPr>
          <w:rFonts w:ascii="Arial" w:cs="Arial" w:eastAsia="Arial" w:hAnsi="Arial"/>
          <w:sz w:val="17"/>
          <w:szCs w:val="17"/>
          <w:color w:val="222222"/>
        </w:rPr>
        <w:t>§ 1.409A-3(i)(5).</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490855</wp:posOffset>
            </wp:positionV>
            <wp:extent cx="545211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FOOT LOCKER, INC. SUBSIDIARIES </w:t>
      </w:r>
      <w:r>
        <w:rPr>
          <w:rFonts w:ascii="Arial" w:cs="Arial" w:eastAsia="Arial" w:hAnsi="Arial"/>
          <w:sz w:val="20"/>
          <w:szCs w:val="20"/>
          <w:b w:val="1"/>
          <w:bCs w:val="1"/>
          <w:color w:val="auto"/>
          <w:vertAlign w:val="superscript"/>
        </w:rPr>
        <w:t>(1)</w:t>
      </w:r>
    </w:p>
    <w:p>
      <w:pPr>
        <w:spacing w:after="0" w:line="205" w:lineRule="exact"/>
        <w:rPr>
          <w:sz w:val="20"/>
          <w:szCs w:val="20"/>
          <w:color w:val="auto"/>
        </w:rPr>
      </w:pPr>
    </w:p>
    <w:p>
      <w:pPr>
        <w:ind w:left="980" w:right="980"/>
        <w:spacing w:after="0" w:line="243" w:lineRule="auto"/>
        <w:rPr>
          <w:sz w:val="20"/>
          <w:szCs w:val="20"/>
          <w:color w:val="auto"/>
        </w:rPr>
      </w:pPr>
      <w:r>
        <w:rPr>
          <w:rFonts w:ascii="Arial" w:cs="Arial" w:eastAsia="Arial" w:hAnsi="Arial"/>
          <w:sz w:val="17"/>
          <w:szCs w:val="17"/>
          <w:color w:val="auto"/>
        </w:rPr>
        <w:t>The following is a list of subsidiaries of Foot Locker, Inc. as of January 29, 2022, omitting some subsidiaries, which, considered in the aggregate, would not constitute a significant subsidiary.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9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Name</w:t>
            </w:r>
          </w:p>
        </w:tc>
        <w:tc>
          <w:tcPr>
            <w:tcW w:w="35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Jurisdiction of Incorporation</w:t>
            </w:r>
          </w:p>
        </w:tc>
        <w:tc>
          <w:tcPr>
            <w:tcW w:w="740" w:type="dxa"/>
            <w:vAlign w:val="bottom"/>
          </w:tcPr>
          <w:p>
            <w:pPr>
              <w:spacing w:after="0"/>
              <w:rPr>
                <w:sz w:val="18"/>
                <w:szCs w:val="18"/>
                <w:color w:val="auto"/>
              </w:rPr>
            </w:pPr>
          </w:p>
        </w:tc>
      </w:tr>
      <w:tr>
        <w:trPr>
          <w:trHeight w:val="219"/>
        </w:trPr>
        <w:tc>
          <w:tcPr>
            <w:tcW w:w="760" w:type="dxa"/>
            <w:vAlign w:val="bottom"/>
          </w:tcPr>
          <w:p>
            <w:pPr>
              <w:spacing w:after="0"/>
              <w:rPr>
                <w:sz w:val="19"/>
                <w:szCs w:val="19"/>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Australia, Inc.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Virginia</w:t>
            </w:r>
          </w:p>
        </w:tc>
      </w:tr>
      <w:tr>
        <w:trPr>
          <w:trHeight w:val="243"/>
        </w:trPr>
        <w:tc>
          <w:tcPr>
            <w:tcW w:w="760" w:type="dxa"/>
            <w:vAlign w:val="bottom"/>
          </w:tcPr>
          <w:p>
            <w:pPr>
              <w:spacing w:after="0"/>
              <w:rPr>
                <w:sz w:val="21"/>
                <w:szCs w:val="21"/>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New Zealand, Inc.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Virginia</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Team Edition Apparel, Inc.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Florida</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FL Canada Holdings, Inc.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Delaware</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Sourcing, Inc.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Delaware</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Services Pte. Ltd.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Singapore</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FLE Holdings Coöperatief U.A.</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FLE Logistics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Greece Athletic Goods Ltd.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Greece</w:t>
            </w:r>
          </w:p>
        </w:tc>
      </w:tr>
      <w:tr>
        <w:trPr>
          <w:trHeight w:val="297"/>
        </w:trPr>
        <w:tc>
          <w:tcPr>
            <w:tcW w:w="760" w:type="dxa"/>
            <w:vAlign w:val="bottom"/>
          </w:tcPr>
          <w:p>
            <w:pPr>
              <w:spacing w:after="0"/>
              <w:rPr>
                <w:sz w:val="24"/>
                <w:szCs w:val="24"/>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FL Finance (Europe) Limited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Ireland</w:t>
            </w:r>
          </w:p>
        </w:tc>
      </w:tr>
      <w:tr>
        <w:trPr>
          <w:trHeight w:val="216"/>
        </w:trPr>
        <w:tc>
          <w:tcPr>
            <w:tcW w:w="76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Retail Ireland Limited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Ireland</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Europe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Poland Spólka z ograniczonq odpowiedzialnościq</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Poland</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Hungary Kft</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Hungary</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Romania SRL</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Romania</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Canada Co.</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Canada</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Norway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Denmark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Runners Point B.V. &amp; Co. KG</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RPG.com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Sidestep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Runners Point Administration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Runners Point Switzerland LLC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Switzerland</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Germany Holdings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Germany GmbH &amp; Co. KG</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Germany Administration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Germany</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France S.A.S.</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France</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Austria GmbH</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Austria</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Belgium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Belgium</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Czech Republic s.r.o.</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Czech Republic</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 Artigos Desportivos e de Tempos Livres Lda.</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Portugal</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Europe.com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Scandinavia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Switzerland LLC</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Switzerland</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U.K. Limited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U.K.</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Freedom Sportsline Limited</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U.K.</w:t>
            </w:r>
          </w:p>
        </w:tc>
      </w:tr>
      <w:tr>
        <w:trPr>
          <w:trHeight w:val="257"/>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Italy S.r.l.</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Italy</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Netherlands B.V.</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Netherlands</w:t>
            </w:r>
          </w:p>
        </w:tc>
      </w:tr>
      <w:tr>
        <w:trPr>
          <w:trHeight w:val="256"/>
        </w:trPr>
        <w:tc>
          <w:tcPr>
            <w:tcW w:w="760" w:type="dxa"/>
            <w:vAlign w:val="bottom"/>
          </w:tcPr>
          <w:p>
            <w:pPr>
              <w:spacing w:after="0"/>
              <w:rPr>
                <w:sz w:val="22"/>
                <w:szCs w:val="22"/>
                <w:color w:val="auto"/>
              </w:rPr>
            </w:pPr>
          </w:p>
        </w:tc>
        <w:tc>
          <w:tcPr>
            <w:tcW w:w="4920" w:type="dxa"/>
            <w:vAlign w:val="bottom"/>
          </w:tcPr>
          <w:p>
            <w:pPr>
              <w:ind w:left="80"/>
              <w:spacing w:after="0"/>
              <w:rPr>
                <w:sz w:val="20"/>
                <w:szCs w:val="20"/>
                <w:color w:val="auto"/>
              </w:rPr>
            </w:pPr>
            <w:r>
              <w:rPr>
                <w:rFonts w:ascii="Arial" w:cs="Arial" w:eastAsia="Arial" w:hAnsi="Arial"/>
                <w:sz w:val="17"/>
                <w:szCs w:val="17"/>
                <w:color w:val="auto"/>
              </w:rPr>
              <w:t>Foot Locker Spain S.L.U.</w:t>
            </w:r>
          </w:p>
        </w:tc>
        <w:tc>
          <w:tcPr>
            <w:tcW w:w="4240" w:type="dxa"/>
            <w:vAlign w:val="bottom"/>
            <w:gridSpan w:val="2"/>
          </w:tcPr>
          <w:p>
            <w:pPr>
              <w:ind w:left="120"/>
              <w:spacing w:after="0"/>
              <w:rPr>
                <w:sz w:val="20"/>
                <w:szCs w:val="20"/>
                <w:color w:val="auto"/>
              </w:rPr>
            </w:pPr>
            <w:r>
              <w:rPr>
                <w:rFonts w:ascii="Arial" w:cs="Arial" w:eastAsia="Arial" w:hAnsi="Arial"/>
                <w:sz w:val="17"/>
                <w:szCs w:val="17"/>
                <w:color w:val="auto"/>
              </w:rPr>
              <w:t>Spain</w:t>
            </w:r>
          </w:p>
        </w:tc>
      </w:tr>
      <w:tr>
        <w:trPr>
          <w:trHeight w:val="1361"/>
        </w:trPr>
        <w:tc>
          <w:tcPr>
            <w:tcW w:w="7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16" w:name="page117"/>
    <w:bookmarkEnd w:id="11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Name</w:t>
            </w:r>
          </w:p>
        </w:tc>
        <w:tc>
          <w:tcPr>
            <w:tcW w:w="4460" w:type="dxa"/>
            <w:vAlign w:val="bottom"/>
            <w:tcBorders>
              <w:bottom w:val="single" w:sz="8" w:color="auto"/>
            </w:tcBorders>
          </w:tcPr>
          <w:p>
            <w:pPr>
              <w:ind w:left="1080"/>
              <w:spacing w:after="0"/>
              <w:rPr>
                <w:sz w:val="20"/>
                <w:szCs w:val="20"/>
                <w:color w:val="auto"/>
              </w:rPr>
            </w:pPr>
            <w:r>
              <w:rPr>
                <w:rFonts w:ascii="Arial" w:cs="Arial" w:eastAsia="Arial" w:hAnsi="Arial"/>
                <w:sz w:val="17"/>
                <w:szCs w:val="17"/>
                <w:b w:val="1"/>
                <w:bCs w:val="1"/>
                <w:color w:val="auto"/>
              </w:rPr>
              <w:t>Jurisdiction of Incorporation</w:t>
            </w:r>
          </w:p>
        </w:tc>
      </w:tr>
      <w:tr>
        <w:trPr>
          <w:trHeight w:val="219"/>
        </w:trPr>
        <w:tc>
          <w:tcPr>
            <w:tcW w:w="3960" w:type="dxa"/>
            <w:vAlign w:val="bottom"/>
          </w:tcPr>
          <w:p>
            <w:pPr>
              <w:ind w:left="80"/>
              <w:spacing w:after="0"/>
              <w:rPr>
                <w:sz w:val="20"/>
                <w:szCs w:val="20"/>
                <w:color w:val="auto"/>
              </w:rPr>
            </w:pPr>
            <w:r>
              <w:rPr>
                <w:rFonts w:ascii="Arial" w:cs="Arial" w:eastAsia="Arial" w:hAnsi="Arial"/>
                <w:sz w:val="17"/>
                <w:szCs w:val="17"/>
                <w:color w:val="auto"/>
              </w:rPr>
              <w:t>Foot Locker Asia Pte. Ltd.</w:t>
            </w:r>
          </w:p>
        </w:tc>
        <w:tc>
          <w:tcPr>
            <w:tcW w:w="4460" w:type="dxa"/>
            <w:vAlign w:val="bottom"/>
          </w:tcPr>
          <w:p>
            <w:pPr>
              <w:ind w:left="1080"/>
              <w:spacing w:after="0"/>
              <w:rPr>
                <w:sz w:val="20"/>
                <w:szCs w:val="20"/>
                <w:color w:val="auto"/>
              </w:rPr>
            </w:pPr>
            <w:r>
              <w:rPr>
                <w:rFonts w:ascii="Arial" w:cs="Arial" w:eastAsia="Arial" w:hAnsi="Arial"/>
                <w:sz w:val="17"/>
                <w:szCs w:val="17"/>
                <w:color w:val="auto"/>
              </w:rPr>
              <w:t>Singapore</w:t>
            </w:r>
          </w:p>
        </w:tc>
      </w:tr>
      <w:tr>
        <w:trPr>
          <w:trHeight w:val="243"/>
        </w:trPr>
        <w:tc>
          <w:tcPr>
            <w:tcW w:w="3960" w:type="dxa"/>
            <w:vAlign w:val="bottom"/>
          </w:tcPr>
          <w:p>
            <w:pPr>
              <w:ind w:left="80"/>
              <w:spacing w:after="0"/>
              <w:rPr>
                <w:sz w:val="20"/>
                <w:szCs w:val="20"/>
                <w:color w:val="auto"/>
              </w:rPr>
            </w:pPr>
            <w:r>
              <w:rPr>
                <w:rFonts w:ascii="Arial" w:cs="Arial" w:eastAsia="Arial" w:hAnsi="Arial"/>
                <w:sz w:val="17"/>
                <w:szCs w:val="17"/>
                <w:color w:val="auto"/>
              </w:rPr>
              <w:t>Foot Locker Japan GK</w:t>
            </w:r>
          </w:p>
        </w:tc>
        <w:tc>
          <w:tcPr>
            <w:tcW w:w="4460" w:type="dxa"/>
            <w:vAlign w:val="bottom"/>
          </w:tcPr>
          <w:p>
            <w:pPr>
              <w:ind w:left="1080"/>
              <w:spacing w:after="0"/>
              <w:rPr>
                <w:sz w:val="20"/>
                <w:szCs w:val="20"/>
                <w:color w:val="auto"/>
              </w:rPr>
            </w:pPr>
            <w:r>
              <w:rPr>
                <w:rFonts w:ascii="Arial" w:cs="Arial" w:eastAsia="Arial" w:hAnsi="Arial"/>
                <w:sz w:val="17"/>
                <w:szCs w:val="17"/>
                <w:color w:val="auto"/>
              </w:rPr>
              <w:t>Japan</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Korea LLC</w:t>
            </w:r>
          </w:p>
        </w:tc>
        <w:tc>
          <w:tcPr>
            <w:tcW w:w="4460" w:type="dxa"/>
            <w:vAlign w:val="bottom"/>
          </w:tcPr>
          <w:p>
            <w:pPr>
              <w:ind w:left="1080"/>
              <w:spacing w:after="0"/>
              <w:rPr>
                <w:sz w:val="20"/>
                <w:szCs w:val="20"/>
                <w:color w:val="auto"/>
              </w:rPr>
            </w:pPr>
            <w:r>
              <w:rPr>
                <w:rFonts w:ascii="Arial" w:cs="Arial" w:eastAsia="Arial" w:hAnsi="Arial"/>
                <w:sz w:val="17"/>
                <w:szCs w:val="17"/>
                <w:color w:val="auto"/>
              </w:rPr>
              <w:t>South Korea</w:t>
            </w:r>
          </w:p>
        </w:tc>
      </w:tr>
      <w:tr>
        <w:trPr>
          <w:trHeight w:val="29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Macau, Limited</w:t>
            </w:r>
          </w:p>
        </w:tc>
        <w:tc>
          <w:tcPr>
            <w:tcW w:w="4460" w:type="dxa"/>
            <w:vAlign w:val="bottom"/>
          </w:tcPr>
          <w:p>
            <w:pPr>
              <w:ind w:left="1080"/>
              <w:spacing w:after="0"/>
              <w:rPr>
                <w:sz w:val="20"/>
                <w:szCs w:val="20"/>
                <w:color w:val="auto"/>
              </w:rPr>
            </w:pPr>
            <w:r>
              <w:rPr>
                <w:rFonts w:ascii="Arial" w:cs="Arial" w:eastAsia="Arial" w:hAnsi="Arial"/>
                <w:sz w:val="17"/>
                <w:szCs w:val="17"/>
                <w:color w:val="auto"/>
              </w:rPr>
              <w:t>Macau</w:t>
            </w:r>
          </w:p>
        </w:tc>
      </w:tr>
      <w:tr>
        <w:trPr>
          <w:trHeight w:val="216"/>
        </w:trPr>
        <w:tc>
          <w:tcPr>
            <w:tcW w:w="3960" w:type="dxa"/>
            <w:vAlign w:val="bottom"/>
          </w:tcPr>
          <w:p>
            <w:pPr>
              <w:ind w:left="80"/>
              <w:spacing w:after="0"/>
              <w:rPr>
                <w:sz w:val="20"/>
                <w:szCs w:val="20"/>
                <w:color w:val="auto"/>
              </w:rPr>
            </w:pPr>
            <w:r>
              <w:rPr>
                <w:rFonts w:ascii="Arial" w:cs="Arial" w:eastAsia="Arial" w:hAnsi="Arial"/>
                <w:sz w:val="17"/>
                <w:szCs w:val="17"/>
                <w:color w:val="auto"/>
              </w:rPr>
              <w:t>Foot Locker Singapore Pte. Ltd.</w:t>
            </w:r>
          </w:p>
        </w:tc>
        <w:tc>
          <w:tcPr>
            <w:tcW w:w="4460" w:type="dxa"/>
            <w:vAlign w:val="bottom"/>
          </w:tcPr>
          <w:p>
            <w:pPr>
              <w:ind w:left="1080"/>
              <w:spacing w:after="0"/>
              <w:rPr>
                <w:sz w:val="20"/>
                <w:szCs w:val="20"/>
                <w:color w:val="auto"/>
              </w:rPr>
            </w:pPr>
            <w:r>
              <w:rPr>
                <w:rFonts w:ascii="Arial" w:cs="Arial" w:eastAsia="Arial" w:hAnsi="Arial"/>
                <w:sz w:val="17"/>
                <w:szCs w:val="17"/>
                <w:color w:val="auto"/>
              </w:rPr>
              <w:t>Singapore</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Taiwan Ltd.</w:t>
            </w:r>
          </w:p>
        </w:tc>
        <w:tc>
          <w:tcPr>
            <w:tcW w:w="4460" w:type="dxa"/>
            <w:vAlign w:val="bottom"/>
          </w:tcPr>
          <w:p>
            <w:pPr>
              <w:ind w:left="1080"/>
              <w:spacing w:after="0"/>
              <w:rPr>
                <w:sz w:val="20"/>
                <w:szCs w:val="20"/>
                <w:color w:val="auto"/>
              </w:rPr>
            </w:pPr>
            <w:r>
              <w:rPr>
                <w:rFonts w:ascii="Arial" w:cs="Arial" w:eastAsia="Arial" w:hAnsi="Arial"/>
                <w:sz w:val="17"/>
                <w:szCs w:val="17"/>
                <w:color w:val="auto"/>
              </w:rPr>
              <w:t>Taiwan</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Hommyo Limited</w:t>
            </w:r>
          </w:p>
        </w:tc>
        <w:tc>
          <w:tcPr>
            <w:tcW w:w="4460" w:type="dxa"/>
            <w:vAlign w:val="bottom"/>
          </w:tcPr>
          <w:p>
            <w:pPr>
              <w:ind w:left="1080"/>
              <w:spacing w:after="0"/>
              <w:rPr>
                <w:sz w:val="20"/>
                <w:szCs w:val="20"/>
                <w:color w:val="auto"/>
              </w:rPr>
            </w:pPr>
            <w:r>
              <w:rPr>
                <w:rFonts w:ascii="Arial" w:cs="Arial" w:eastAsia="Arial" w:hAnsi="Arial"/>
                <w:sz w:val="17"/>
                <w:szCs w:val="17"/>
                <w:color w:val="auto"/>
              </w:rPr>
              <w:t>Hong Kong</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atmos Korea Inc.</w:t>
            </w:r>
          </w:p>
        </w:tc>
        <w:tc>
          <w:tcPr>
            <w:tcW w:w="4460" w:type="dxa"/>
            <w:vAlign w:val="bottom"/>
          </w:tcPr>
          <w:p>
            <w:pPr>
              <w:ind w:left="1080"/>
              <w:spacing w:after="0"/>
              <w:rPr>
                <w:sz w:val="20"/>
                <w:szCs w:val="20"/>
                <w:color w:val="auto"/>
              </w:rPr>
            </w:pPr>
            <w:r>
              <w:rPr>
                <w:rFonts w:ascii="Arial" w:cs="Arial" w:eastAsia="Arial" w:hAnsi="Arial"/>
                <w:sz w:val="17"/>
                <w:szCs w:val="17"/>
                <w:color w:val="auto"/>
              </w:rPr>
              <w:t>Korea</w:t>
            </w:r>
          </w:p>
        </w:tc>
      </w:tr>
      <w:tr>
        <w:trPr>
          <w:trHeight w:val="256"/>
        </w:trPr>
        <w:tc>
          <w:tcPr>
            <w:tcW w:w="3960" w:type="dxa"/>
            <w:vAlign w:val="bottom"/>
          </w:tcPr>
          <w:p>
            <w:pPr>
              <w:ind w:left="80"/>
              <w:spacing w:after="0"/>
              <w:rPr>
                <w:sz w:val="20"/>
                <w:szCs w:val="20"/>
                <w:color w:val="auto"/>
              </w:rPr>
            </w:pPr>
            <w:r>
              <w:rPr>
                <w:rFonts w:ascii="Arial" w:cs="Arial" w:eastAsia="Arial" w:hAnsi="Arial"/>
                <w:sz w:val="17"/>
                <w:szCs w:val="17"/>
                <w:color w:val="auto"/>
              </w:rPr>
              <w:t>Foot Locker Malaysia Sdn. Bhd.</w:t>
            </w:r>
          </w:p>
        </w:tc>
        <w:tc>
          <w:tcPr>
            <w:tcW w:w="4460" w:type="dxa"/>
            <w:vAlign w:val="bottom"/>
          </w:tcPr>
          <w:p>
            <w:pPr>
              <w:ind w:left="1080"/>
              <w:spacing w:after="0"/>
              <w:rPr>
                <w:sz w:val="20"/>
                <w:szCs w:val="20"/>
                <w:color w:val="auto"/>
              </w:rPr>
            </w:pPr>
            <w:r>
              <w:rPr>
                <w:rFonts w:ascii="Arial" w:cs="Arial" w:eastAsia="Arial" w:hAnsi="Arial"/>
                <w:sz w:val="17"/>
                <w:szCs w:val="17"/>
                <w:color w:val="auto"/>
              </w:rPr>
              <w:t>Malaysia</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Hong Kong Limited</w:t>
            </w:r>
          </w:p>
        </w:tc>
        <w:tc>
          <w:tcPr>
            <w:tcW w:w="4460" w:type="dxa"/>
            <w:vAlign w:val="bottom"/>
          </w:tcPr>
          <w:p>
            <w:pPr>
              <w:ind w:left="1080"/>
              <w:spacing w:after="0"/>
              <w:rPr>
                <w:sz w:val="20"/>
                <w:szCs w:val="20"/>
                <w:color w:val="auto"/>
              </w:rPr>
            </w:pPr>
            <w:r>
              <w:rPr>
                <w:rFonts w:ascii="Arial" w:cs="Arial" w:eastAsia="Arial" w:hAnsi="Arial"/>
                <w:sz w:val="17"/>
                <w:szCs w:val="17"/>
                <w:color w:val="auto"/>
              </w:rPr>
              <w:t>Hong Kong</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Specialty, Inc.</w:t>
            </w:r>
          </w:p>
        </w:tc>
        <w:tc>
          <w:tcPr>
            <w:tcW w:w="4460" w:type="dxa"/>
            <w:vAlign w:val="bottom"/>
          </w:tcPr>
          <w:p>
            <w:pPr>
              <w:ind w:left="1080"/>
              <w:spacing w:after="0"/>
              <w:rPr>
                <w:sz w:val="20"/>
                <w:szCs w:val="20"/>
                <w:color w:val="auto"/>
              </w:rPr>
            </w:pPr>
            <w:r>
              <w:rPr>
                <w:rFonts w:ascii="Arial" w:cs="Arial" w:eastAsia="Arial" w:hAnsi="Arial"/>
                <w:sz w:val="17"/>
                <w:szCs w:val="17"/>
                <w:color w:val="auto"/>
              </w:rPr>
              <w:t>New York</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Retail, Inc.</w:t>
            </w:r>
          </w:p>
        </w:tc>
        <w:tc>
          <w:tcPr>
            <w:tcW w:w="4460" w:type="dxa"/>
            <w:vAlign w:val="bottom"/>
          </w:tcPr>
          <w:p>
            <w:pPr>
              <w:ind w:left="1080"/>
              <w:spacing w:after="0"/>
              <w:rPr>
                <w:sz w:val="20"/>
                <w:szCs w:val="20"/>
                <w:color w:val="auto"/>
              </w:rPr>
            </w:pPr>
            <w:r>
              <w:rPr>
                <w:rFonts w:ascii="Arial" w:cs="Arial" w:eastAsia="Arial" w:hAnsi="Arial"/>
                <w:sz w:val="17"/>
                <w:szCs w:val="17"/>
                <w:color w:val="auto"/>
              </w:rPr>
              <w:t>New York</w:t>
            </w:r>
          </w:p>
        </w:tc>
      </w:tr>
      <w:tr>
        <w:trPr>
          <w:trHeight w:val="256"/>
        </w:trPr>
        <w:tc>
          <w:tcPr>
            <w:tcW w:w="3960" w:type="dxa"/>
            <w:vAlign w:val="bottom"/>
          </w:tcPr>
          <w:p>
            <w:pPr>
              <w:ind w:left="80"/>
              <w:spacing w:after="0"/>
              <w:rPr>
                <w:sz w:val="20"/>
                <w:szCs w:val="20"/>
                <w:color w:val="auto"/>
              </w:rPr>
            </w:pPr>
            <w:r>
              <w:rPr>
                <w:rFonts w:ascii="Arial" w:cs="Arial" w:eastAsia="Arial" w:hAnsi="Arial"/>
                <w:sz w:val="17"/>
                <w:szCs w:val="17"/>
                <w:color w:val="auto"/>
              </w:rPr>
              <w:t>FL atmos US, LLC</w:t>
            </w:r>
          </w:p>
        </w:tc>
        <w:tc>
          <w:tcPr>
            <w:tcW w:w="4460" w:type="dxa"/>
            <w:vAlign w:val="bottom"/>
          </w:tcPr>
          <w:p>
            <w:pPr>
              <w:ind w:left="1080"/>
              <w:spacing w:after="0"/>
              <w:rPr>
                <w:sz w:val="20"/>
                <w:szCs w:val="20"/>
                <w:color w:val="auto"/>
              </w:rPr>
            </w:pPr>
            <w:r>
              <w:rPr>
                <w:rFonts w:ascii="Arial" w:cs="Arial" w:eastAsia="Arial" w:hAnsi="Arial"/>
                <w:sz w:val="17"/>
                <w:szCs w:val="17"/>
                <w:color w:val="auto"/>
              </w:rPr>
              <w:t>New York</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FL atmos US Holdco, LLC</w:t>
            </w:r>
          </w:p>
        </w:tc>
        <w:tc>
          <w:tcPr>
            <w:tcW w:w="4460" w:type="dxa"/>
            <w:vAlign w:val="bottom"/>
          </w:tcPr>
          <w:p>
            <w:pPr>
              <w:ind w:left="1080"/>
              <w:spacing w:after="0"/>
              <w:rPr>
                <w:sz w:val="20"/>
                <w:szCs w:val="20"/>
                <w:color w:val="auto"/>
              </w:rPr>
            </w:pPr>
            <w:r>
              <w:rPr>
                <w:rFonts w:ascii="Arial" w:cs="Arial" w:eastAsia="Arial" w:hAnsi="Arial"/>
                <w:sz w:val="17"/>
                <w:szCs w:val="17"/>
                <w:color w:val="auto"/>
              </w:rPr>
              <w:t>New York</w:t>
            </w:r>
          </w:p>
        </w:tc>
      </w:tr>
      <w:tr>
        <w:trPr>
          <w:trHeight w:val="29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atmos Japan G.K.</w:t>
            </w:r>
          </w:p>
        </w:tc>
        <w:tc>
          <w:tcPr>
            <w:tcW w:w="4460" w:type="dxa"/>
            <w:vAlign w:val="bottom"/>
          </w:tcPr>
          <w:p>
            <w:pPr>
              <w:ind w:left="1080"/>
              <w:spacing w:after="0"/>
              <w:rPr>
                <w:sz w:val="20"/>
                <w:szCs w:val="20"/>
                <w:color w:val="auto"/>
              </w:rPr>
            </w:pPr>
            <w:r>
              <w:rPr>
                <w:rFonts w:ascii="Arial" w:cs="Arial" w:eastAsia="Arial" w:hAnsi="Arial"/>
                <w:sz w:val="17"/>
                <w:szCs w:val="17"/>
                <w:color w:val="auto"/>
              </w:rPr>
              <w:t>Japan</w:t>
            </w:r>
          </w:p>
        </w:tc>
      </w:tr>
      <w:tr>
        <w:trPr>
          <w:trHeight w:val="216"/>
        </w:trPr>
        <w:tc>
          <w:tcPr>
            <w:tcW w:w="3960" w:type="dxa"/>
            <w:vAlign w:val="bottom"/>
          </w:tcPr>
          <w:p>
            <w:pPr>
              <w:ind w:left="80"/>
              <w:spacing w:after="0"/>
              <w:rPr>
                <w:sz w:val="20"/>
                <w:szCs w:val="20"/>
                <w:color w:val="auto"/>
              </w:rPr>
            </w:pPr>
            <w:r>
              <w:rPr>
                <w:rFonts w:ascii="Arial" w:cs="Arial" w:eastAsia="Arial" w:hAnsi="Arial"/>
                <w:sz w:val="17"/>
                <w:szCs w:val="17"/>
                <w:color w:val="auto"/>
              </w:rPr>
              <w:t>Eurostar, Inc.</w:t>
            </w:r>
          </w:p>
        </w:tc>
        <w:tc>
          <w:tcPr>
            <w:tcW w:w="4460" w:type="dxa"/>
            <w:vAlign w:val="bottom"/>
          </w:tcPr>
          <w:p>
            <w:pPr>
              <w:ind w:left="1080"/>
              <w:spacing w:after="0"/>
              <w:rPr>
                <w:sz w:val="20"/>
                <w:szCs w:val="20"/>
                <w:color w:val="auto"/>
              </w:rPr>
            </w:pPr>
            <w:r>
              <w:rPr>
                <w:rFonts w:ascii="Arial" w:cs="Arial" w:eastAsia="Arial" w:hAnsi="Arial"/>
                <w:sz w:val="17"/>
                <w:szCs w:val="17"/>
                <w:color w:val="auto"/>
              </w:rPr>
              <w:t>Delaware</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Card Services LLC</w:t>
            </w:r>
          </w:p>
        </w:tc>
        <w:tc>
          <w:tcPr>
            <w:tcW w:w="4460" w:type="dxa"/>
            <w:vAlign w:val="bottom"/>
          </w:tcPr>
          <w:p>
            <w:pPr>
              <w:ind w:left="1080"/>
              <w:spacing w:after="0"/>
              <w:rPr>
                <w:sz w:val="20"/>
                <w:szCs w:val="20"/>
                <w:color w:val="auto"/>
              </w:rPr>
            </w:pPr>
            <w:r>
              <w:rPr>
                <w:rFonts w:ascii="Arial" w:cs="Arial" w:eastAsia="Arial" w:hAnsi="Arial"/>
                <w:sz w:val="17"/>
                <w:szCs w:val="17"/>
                <w:color w:val="auto"/>
              </w:rPr>
              <w:t>Virginia</w:t>
            </w:r>
          </w:p>
        </w:tc>
      </w:tr>
      <w:tr>
        <w:trPr>
          <w:trHeight w:val="256"/>
        </w:trPr>
        <w:tc>
          <w:tcPr>
            <w:tcW w:w="3960" w:type="dxa"/>
            <w:vAlign w:val="bottom"/>
          </w:tcPr>
          <w:p>
            <w:pPr>
              <w:ind w:left="80"/>
              <w:spacing w:after="0"/>
              <w:rPr>
                <w:sz w:val="20"/>
                <w:szCs w:val="20"/>
                <w:color w:val="auto"/>
              </w:rPr>
            </w:pPr>
            <w:r>
              <w:rPr>
                <w:rFonts w:ascii="Arial" w:cs="Arial" w:eastAsia="Arial" w:hAnsi="Arial"/>
                <w:sz w:val="17"/>
                <w:szCs w:val="17"/>
                <w:color w:val="auto"/>
              </w:rPr>
              <w:t>Foot Locker Stores, Inc.</w:t>
            </w:r>
          </w:p>
        </w:tc>
        <w:tc>
          <w:tcPr>
            <w:tcW w:w="4460" w:type="dxa"/>
            <w:vAlign w:val="bottom"/>
          </w:tcPr>
          <w:p>
            <w:pPr>
              <w:ind w:left="1080"/>
              <w:spacing w:after="0"/>
              <w:rPr>
                <w:sz w:val="20"/>
                <w:szCs w:val="20"/>
                <w:color w:val="auto"/>
              </w:rPr>
            </w:pPr>
            <w:r>
              <w:rPr>
                <w:rFonts w:ascii="Arial" w:cs="Arial" w:eastAsia="Arial" w:hAnsi="Arial"/>
                <w:sz w:val="17"/>
                <w:szCs w:val="17"/>
                <w:color w:val="auto"/>
              </w:rPr>
              <w:t>Delaware</w:t>
            </w:r>
          </w:p>
        </w:tc>
      </w:tr>
      <w:tr>
        <w:trPr>
          <w:trHeight w:val="257"/>
        </w:trPr>
        <w:tc>
          <w:tcPr>
            <w:tcW w:w="3960" w:type="dxa"/>
            <w:vAlign w:val="bottom"/>
          </w:tcPr>
          <w:p>
            <w:pPr>
              <w:ind w:left="80"/>
              <w:spacing w:after="0"/>
              <w:rPr>
                <w:sz w:val="20"/>
                <w:szCs w:val="20"/>
                <w:color w:val="auto"/>
              </w:rPr>
            </w:pPr>
            <w:r>
              <w:rPr>
                <w:rFonts w:ascii="Arial" w:cs="Arial" w:eastAsia="Arial" w:hAnsi="Arial"/>
                <w:sz w:val="17"/>
                <w:szCs w:val="17"/>
                <w:color w:val="auto"/>
              </w:rPr>
              <w:t>Foot Locker Corporate Services, Inc.</w:t>
            </w:r>
          </w:p>
        </w:tc>
        <w:tc>
          <w:tcPr>
            <w:tcW w:w="4460" w:type="dxa"/>
            <w:vAlign w:val="bottom"/>
          </w:tcPr>
          <w:p>
            <w:pPr>
              <w:ind w:left="1080"/>
              <w:spacing w:after="0"/>
              <w:rPr>
                <w:sz w:val="20"/>
                <w:szCs w:val="20"/>
                <w:color w:val="auto"/>
              </w:rPr>
            </w:pPr>
            <w:r>
              <w:rPr>
                <w:rFonts w:ascii="Arial" w:cs="Arial" w:eastAsia="Arial" w:hAnsi="Arial"/>
                <w:sz w:val="17"/>
                <w:szCs w:val="17"/>
                <w:color w:val="auto"/>
              </w:rPr>
              <w:t>Delaware</w:t>
            </w:r>
          </w:p>
        </w:tc>
      </w:tr>
      <w:tr>
        <w:trPr>
          <w:trHeight w:val="288"/>
        </w:trPr>
        <w:tc>
          <w:tcPr>
            <w:tcW w:w="39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Foot Locker Dutch Holdings BV</w:t>
            </w:r>
          </w:p>
        </w:tc>
        <w:tc>
          <w:tcPr>
            <w:tcW w:w="446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Netherlands</w:t>
            </w:r>
          </w:p>
        </w:tc>
      </w:tr>
    </w:tbl>
    <w:p>
      <w:pPr>
        <w:spacing w:after="0" w:line="215" w:lineRule="exact"/>
        <w:rPr>
          <w:sz w:val="20"/>
          <w:szCs w:val="20"/>
          <w:color w:val="auto"/>
        </w:rPr>
      </w:pPr>
    </w:p>
    <w:p>
      <w:pPr>
        <w:ind w:left="1260" w:right="559" w:hanging="504"/>
        <w:spacing w:after="0" w:line="258" w:lineRule="auto"/>
        <w:tabs>
          <w:tab w:leader="none" w:pos="126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456565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81"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w:t>
      </w:r>
    </w:p>
    <w:p>
      <w:pPr>
        <w:spacing w:after="0" w:line="211"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Board of Directors</w:t>
      </w:r>
    </w:p>
    <w:p>
      <w:pPr>
        <w:ind w:left="520"/>
        <w:spacing w:after="0"/>
        <w:rPr>
          <w:sz w:val="20"/>
          <w:szCs w:val="20"/>
          <w:color w:val="auto"/>
        </w:rPr>
      </w:pPr>
      <w:r>
        <w:rPr>
          <w:rFonts w:ascii="Arial" w:cs="Arial" w:eastAsia="Arial" w:hAnsi="Arial"/>
          <w:sz w:val="17"/>
          <w:szCs w:val="17"/>
          <w:color w:val="auto"/>
        </w:rPr>
        <w:t>Foot Locker, Inc.:</w:t>
      </w:r>
    </w:p>
    <w:p>
      <w:pPr>
        <w:spacing w:after="0" w:line="210" w:lineRule="exact"/>
        <w:rPr>
          <w:sz w:val="20"/>
          <w:szCs w:val="20"/>
          <w:color w:val="auto"/>
        </w:rPr>
      </w:pPr>
    </w:p>
    <w:p>
      <w:pPr>
        <w:jc w:val="both"/>
        <w:ind w:left="520" w:right="980"/>
        <w:spacing w:after="0" w:line="236" w:lineRule="auto"/>
        <w:rPr>
          <w:sz w:val="20"/>
          <w:szCs w:val="20"/>
          <w:color w:val="auto"/>
        </w:rPr>
      </w:pPr>
      <w:r>
        <w:rPr>
          <w:rFonts w:ascii="Arial" w:cs="Arial" w:eastAsia="Arial" w:hAnsi="Arial"/>
          <w:sz w:val="17"/>
          <w:szCs w:val="17"/>
          <w:color w:val="auto"/>
        </w:rPr>
        <w:t>We consent to the incorporation by reference in the following registration statements of Foot Locker, Inc. and subsidiaries of our reports dated March 24, 2022, with respect to the consolidated financial statements Foot Locker, Inc. and subsidiaries and the effectiveness of internal control over financial reporting.</w:t>
      </w:r>
    </w:p>
    <w:p>
      <w:pPr>
        <w:spacing w:after="0" w:line="2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Form S-8 No. 33-10783</w:t>
      </w:r>
    </w:p>
    <w:p>
      <w:pPr>
        <w:ind w:left="1000"/>
        <w:spacing w:after="0" w:line="234" w:lineRule="auto"/>
        <w:rPr>
          <w:sz w:val="20"/>
          <w:szCs w:val="20"/>
          <w:color w:val="auto"/>
        </w:rPr>
      </w:pPr>
      <w:r>
        <w:rPr>
          <w:rFonts w:ascii="Arial" w:cs="Arial" w:eastAsia="Arial" w:hAnsi="Arial"/>
          <w:sz w:val="18"/>
          <w:szCs w:val="18"/>
          <w:color w:val="auto"/>
        </w:rPr>
        <w:t>Form S-8 No. 33-91888</w:t>
      </w:r>
    </w:p>
    <w:p>
      <w:pPr>
        <w:ind w:left="1000"/>
        <w:spacing w:after="0" w:line="235" w:lineRule="auto"/>
        <w:rPr>
          <w:sz w:val="20"/>
          <w:szCs w:val="20"/>
          <w:color w:val="auto"/>
        </w:rPr>
      </w:pPr>
      <w:r>
        <w:rPr>
          <w:rFonts w:ascii="Arial" w:cs="Arial" w:eastAsia="Arial" w:hAnsi="Arial"/>
          <w:sz w:val="18"/>
          <w:szCs w:val="18"/>
          <w:color w:val="auto"/>
        </w:rPr>
        <w:t>Form S-8 No. 33-91886</w:t>
      </w:r>
    </w:p>
    <w:p>
      <w:pPr>
        <w:ind w:left="1000"/>
        <w:spacing w:after="0" w:line="235" w:lineRule="auto"/>
        <w:rPr>
          <w:sz w:val="20"/>
          <w:szCs w:val="20"/>
          <w:color w:val="auto"/>
        </w:rPr>
      </w:pPr>
      <w:r>
        <w:rPr>
          <w:rFonts w:ascii="Arial" w:cs="Arial" w:eastAsia="Arial" w:hAnsi="Arial"/>
          <w:sz w:val="18"/>
          <w:szCs w:val="18"/>
          <w:color w:val="auto"/>
        </w:rPr>
        <w:t>Form S-8 No. 33-97832</w:t>
      </w:r>
    </w:p>
    <w:p>
      <w:pPr>
        <w:ind w:left="1000"/>
        <w:spacing w:after="0" w:line="235" w:lineRule="auto"/>
        <w:rPr>
          <w:sz w:val="20"/>
          <w:szCs w:val="20"/>
          <w:color w:val="auto"/>
        </w:rPr>
      </w:pPr>
      <w:r>
        <w:rPr>
          <w:rFonts w:ascii="Arial" w:cs="Arial" w:eastAsia="Arial" w:hAnsi="Arial"/>
          <w:sz w:val="18"/>
          <w:szCs w:val="18"/>
          <w:color w:val="auto"/>
        </w:rPr>
        <w:t>Form S-8 No. 333-07215</w:t>
      </w:r>
    </w:p>
    <w:p>
      <w:pPr>
        <w:ind w:left="1000"/>
        <w:spacing w:after="0" w:line="235" w:lineRule="auto"/>
        <w:rPr>
          <w:sz w:val="20"/>
          <w:szCs w:val="20"/>
          <w:color w:val="auto"/>
        </w:rPr>
      </w:pPr>
      <w:r>
        <w:rPr>
          <w:rFonts w:ascii="Arial" w:cs="Arial" w:eastAsia="Arial" w:hAnsi="Arial"/>
          <w:sz w:val="18"/>
          <w:szCs w:val="18"/>
          <w:color w:val="auto"/>
        </w:rPr>
        <w:t>Form S-8 No. 333-21131</w:t>
      </w:r>
    </w:p>
    <w:p>
      <w:pPr>
        <w:ind w:left="1000"/>
        <w:spacing w:after="0" w:line="234" w:lineRule="auto"/>
        <w:rPr>
          <w:sz w:val="20"/>
          <w:szCs w:val="20"/>
          <w:color w:val="auto"/>
        </w:rPr>
      </w:pPr>
      <w:r>
        <w:rPr>
          <w:rFonts w:ascii="Arial" w:cs="Arial" w:eastAsia="Arial" w:hAnsi="Arial"/>
          <w:sz w:val="18"/>
          <w:szCs w:val="18"/>
          <w:color w:val="auto"/>
        </w:rPr>
        <w:t>Form S-8 No. 333-62425</w:t>
      </w:r>
    </w:p>
    <w:p>
      <w:pPr>
        <w:ind w:left="1000"/>
        <w:spacing w:after="0" w:line="235" w:lineRule="auto"/>
        <w:rPr>
          <w:sz w:val="20"/>
          <w:szCs w:val="20"/>
          <w:color w:val="auto"/>
        </w:rPr>
      </w:pPr>
      <w:r>
        <w:rPr>
          <w:rFonts w:ascii="Arial" w:cs="Arial" w:eastAsia="Arial" w:hAnsi="Arial"/>
          <w:sz w:val="18"/>
          <w:szCs w:val="18"/>
          <w:color w:val="auto"/>
        </w:rPr>
        <w:t>Form S-8 No. 333-33120</w:t>
      </w:r>
    </w:p>
    <w:p>
      <w:pPr>
        <w:ind w:left="1000"/>
        <w:spacing w:after="0" w:line="235" w:lineRule="auto"/>
        <w:rPr>
          <w:sz w:val="20"/>
          <w:szCs w:val="20"/>
          <w:color w:val="auto"/>
        </w:rPr>
      </w:pPr>
      <w:r>
        <w:rPr>
          <w:rFonts w:ascii="Arial" w:cs="Arial" w:eastAsia="Arial" w:hAnsi="Arial"/>
          <w:sz w:val="18"/>
          <w:szCs w:val="18"/>
          <w:color w:val="auto"/>
        </w:rPr>
        <w:t>Form S-8 No. 333-41056</w:t>
      </w:r>
    </w:p>
    <w:p>
      <w:pPr>
        <w:ind w:left="1000"/>
        <w:spacing w:after="0" w:line="235" w:lineRule="auto"/>
        <w:rPr>
          <w:sz w:val="20"/>
          <w:szCs w:val="20"/>
          <w:color w:val="auto"/>
        </w:rPr>
      </w:pPr>
      <w:r>
        <w:rPr>
          <w:rFonts w:ascii="Arial" w:cs="Arial" w:eastAsia="Arial" w:hAnsi="Arial"/>
          <w:sz w:val="18"/>
          <w:szCs w:val="18"/>
          <w:color w:val="auto"/>
        </w:rPr>
        <w:t>Form S-8 No. 333-41058</w:t>
      </w:r>
    </w:p>
    <w:p>
      <w:pPr>
        <w:ind w:left="1000"/>
        <w:spacing w:after="0" w:line="235" w:lineRule="auto"/>
        <w:rPr>
          <w:sz w:val="20"/>
          <w:szCs w:val="20"/>
          <w:color w:val="auto"/>
        </w:rPr>
      </w:pPr>
      <w:r>
        <w:rPr>
          <w:rFonts w:ascii="Arial" w:cs="Arial" w:eastAsia="Arial" w:hAnsi="Arial"/>
          <w:sz w:val="18"/>
          <w:szCs w:val="18"/>
          <w:color w:val="auto"/>
        </w:rPr>
        <w:t>Form S-8 No. 333-74688</w:t>
      </w:r>
    </w:p>
    <w:p>
      <w:pPr>
        <w:ind w:left="1000"/>
        <w:spacing w:after="0" w:line="234" w:lineRule="auto"/>
        <w:rPr>
          <w:sz w:val="20"/>
          <w:szCs w:val="20"/>
          <w:color w:val="auto"/>
        </w:rPr>
      </w:pPr>
      <w:r>
        <w:rPr>
          <w:rFonts w:ascii="Arial" w:cs="Arial" w:eastAsia="Arial" w:hAnsi="Arial"/>
          <w:sz w:val="18"/>
          <w:szCs w:val="18"/>
          <w:color w:val="auto"/>
        </w:rPr>
        <w:t>Form S-8 No. 333-99829</w:t>
      </w:r>
    </w:p>
    <w:p>
      <w:pPr>
        <w:ind w:left="1000"/>
        <w:spacing w:after="0" w:line="235" w:lineRule="auto"/>
        <w:rPr>
          <w:sz w:val="20"/>
          <w:szCs w:val="20"/>
          <w:color w:val="auto"/>
        </w:rPr>
      </w:pPr>
      <w:r>
        <w:rPr>
          <w:rFonts w:ascii="Arial" w:cs="Arial" w:eastAsia="Arial" w:hAnsi="Arial"/>
          <w:sz w:val="18"/>
          <w:szCs w:val="18"/>
          <w:color w:val="auto"/>
        </w:rPr>
        <w:t>Form S-8 No. 333-111222</w:t>
      </w:r>
    </w:p>
    <w:p>
      <w:pPr>
        <w:ind w:left="1000"/>
        <w:spacing w:after="0" w:line="235" w:lineRule="auto"/>
        <w:rPr>
          <w:sz w:val="20"/>
          <w:szCs w:val="20"/>
          <w:color w:val="auto"/>
        </w:rPr>
      </w:pPr>
      <w:r>
        <w:rPr>
          <w:rFonts w:ascii="Arial" w:cs="Arial" w:eastAsia="Arial" w:hAnsi="Arial"/>
          <w:sz w:val="18"/>
          <w:szCs w:val="18"/>
          <w:color w:val="auto"/>
        </w:rPr>
        <w:t>Form S-8 No. 333-121515</w:t>
      </w:r>
    </w:p>
    <w:p>
      <w:pPr>
        <w:ind w:left="1000"/>
        <w:spacing w:after="0" w:line="235" w:lineRule="auto"/>
        <w:rPr>
          <w:sz w:val="20"/>
          <w:szCs w:val="20"/>
          <w:color w:val="auto"/>
        </w:rPr>
      </w:pPr>
      <w:r>
        <w:rPr>
          <w:rFonts w:ascii="Arial" w:cs="Arial" w:eastAsia="Arial" w:hAnsi="Arial"/>
          <w:sz w:val="18"/>
          <w:szCs w:val="18"/>
          <w:color w:val="auto"/>
        </w:rPr>
        <w:t>Form S-8 No. 333-144044</w:t>
      </w:r>
    </w:p>
    <w:p>
      <w:pPr>
        <w:ind w:left="1000"/>
        <w:spacing w:after="0" w:line="235" w:lineRule="auto"/>
        <w:rPr>
          <w:sz w:val="20"/>
          <w:szCs w:val="20"/>
          <w:color w:val="auto"/>
        </w:rPr>
      </w:pPr>
      <w:r>
        <w:rPr>
          <w:rFonts w:ascii="Arial" w:cs="Arial" w:eastAsia="Arial" w:hAnsi="Arial"/>
          <w:sz w:val="18"/>
          <w:szCs w:val="18"/>
          <w:color w:val="auto"/>
        </w:rPr>
        <w:t>Form S-8 No. 333-149803</w:t>
      </w:r>
    </w:p>
    <w:p>
      <w:pPr>
        <w:ind w:left="1000"/>
        <w:spacing w:after="0" w:line="234" w:lineRule="auto"/>
        <w:rPr>
          <w:sz w:val="20"/>
          <w:szCs w:val="20"/>
          <w:color w:val="auto"/>
        </w:rPr>
      </w:pPr>
      <w:r>
        <w:rPr>
          <w:rFonts w:ascii="Arial" w:cs="Arial" w:eastAsia="Arial" w:hAnsi="Arial"/>
          <w:sz w:val="18"/>
          <w:szCs w:val="18"/>
          <w:color w:val="auto"/>
        </w:rPr>
        <w:t>Form S-3 No. 33-43334</w:t>
      </w:r>
    </w:p>
    <w:p>
      <w:pPr>
        <w:ind w:left="1000"/>
        <w:spacing w:after="0" w:line="235" w:lineRule="auto"/>
        <w:rPr>
          <w:sz w:val="20"/>
          <w:szCs w:val="20"/>
          <w:color w:val="auto"/>
        </w:rPr>
      </w:pPr>
      <w:r>
        <w:rPr>
          <w:rFonts w:ascii="Arial" w:cs="Arial" w:eastAsia="Arial" w:hAnsi="Arial"/>
          <w:sz w:val="18"/>
          <w:szCs w:val="18"/>
          <w:color w:val="auto"/>
        </w:rPr>
        <w:t>Form S-3 No. 33-86300</w:t>
      </w:r>
    </w:p>
    <w:p>
      <w:pPr>
        <w:ind w:left="1000"/>
        <w:spacing w:after="0" w:line="235" w:lineRule="auto"/>
        <w:rPr>
          <w:sz w:val="20"/>
          <w:szCs w:val="20"/>
          <w:color w:val="auto"/>
        </w:rPr>
      </w:pPr>
      <w:r>
        <w:rPr>
          <w:rFonts w:ascii="Arial" w:cs="Arial" w:eastAsia="Arial" w:hAnsi="Arial"/>
          <w:sz w:val="18"/>
          <w:szCs w:val="18"/>
          <w:color w:val="auto"/>
        </w:rPr>
        <w:t>Form S-3 No. 333-64930</w:t>
      </w:r>
    </w:p>
    <w:p>
      <w:pPr>
        <w:ind w:left="1000"/>
        <w:spacing w:after="0" w:line="235" w:lineRule="auto"/>
        <w:rPr>
          <w:sz w:val="20"/>
          <w:szCs w:val="20"/>
          <w:color w:val="auto"/>
        </w:rPr>
      </w:pPr>
      <w:r>
        <w:rPr>
          <w:rFonts w:ascii="Arial" w:cs="Arial" w:eastAsia="Arial" w:hAnsi="Arial"/>
          <w:sz w:val="18"/>
          <w:szCs w:val="18"/>
          <w:color w:val="auto"/>
        </w:rPr>
        <w:t>Form S-8 No. 333-167066</w:t>
      </w:r>
    </w:p>
    <w:p>
      <w:pPr>
        <w:ind w:left="1000"/>
        <w:spacing w:after="0" w:line="235" w:lineRule="auto"/>
        <w:rPr>
          <w:sz w:val="20"/>
          <w:szCs w:val="20"/>
          <w:color w:val="auto"/>
        </w:rPr>
      </w:pPr>
      <w:r>
        <w:rPr>
          <w:rFonts w:ascii="Arial" w:cs="Arial" w:eastAsia="Arial" w:hAnsi="Arial"/>
          <w:sz w:val="18"/>
          <w:szCs w:val="18"/>
          <w:color w:val="auto"/>
        </w:rPr>
        <w:t>Form S-8 No. 333-171523</w:t>
      </w:r>
    </w:p>
    <w:p>
      <w:pPr>
        <w:ind w:left="1000"/>
        <w:spacing w:after="0" w:line="234" w:lineRule="auto"/>
        <w:rPr>
          <w:sz w:val="20"/>
          <w:szCs w:val="20"/>
          <w:color w:val="auto"/>
        </w:rPr>
      </w:pPr>
      <w:r>
        <w:rPr>
          <w:rFonts w:ascii="Arial" w:cs="Arial" w:eastAsia="Arial" w:hAnsi="Arial"/>
          <w:sz w:val="18"/>
          <w:szCs w:val="18"/>
          <w:color w:val="auto"/>
        </w:rPr>
        <w:t>Form S-8 No. 333-190680</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Form S-8 No. 333-196899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 KPMG LLP</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New York, New York</w:t>
      </w:r>
    </w:p>
    <w:p>
      <w:pPr>
        <w:ind w:left="520"/>
        <w:spacing w:after="0"/>
        <w:rPr>
          <w:sz w:val="20"/>
          <w:szCs w:val="20"/>
          <w:color w:val="auto"/>
        </w:rPr>
      </w:pPr>
      <w:r>
        <w:rPr>
          <w:rFonts w:ascii="Arial" w:cs="Arial" w:eastAsia="Arial" w:hAnsi="Arial"/>
          <w:sz w:val="17"/>
          <w:szCs w:val="17"/>
          <w:color w:val="auto"/>
        </w:rPr>
        <w:t>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342900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1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CERTIFICATION</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Richard A. Johnson, certify that:</w:t>
      </w:r>
    </w:p>
    <w:p>
      <w:pPr>
        <w:spacing w:after="0" w:line="200" w:lineRule="exact"/>
        <w:rPr>
          <w:sz w:val="20"/>
          <w:szCs w:val="20"/>
          <w:color w:val="auto"/>
        </w:rPr>
      </w:pPr>
    </w:p>
    <w:p>
      <w:pPr>
        <w:spacing w:after="0" w:line="212" w:lineRule="exact"/>
        <w:rPr>
          <w:sz w:val="20"/>
          <w:szCs w:val="20"/>
          <w:color w:val="auto"/>
        </w:rPr>
      </w:pPr>
    </w:p>
    <w:p>
      <w:pPr>
        <w:ind w:left="1100" w:hanging="558"/>
        <w:spacing w:after="0"/>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1100" w:right="1000" w:hanging="558"/>
        <w:spacing w:after="0" w:line="236"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jc w:val="both"/>
        <w:ind w:left="1100" w:right="1000" w:hanging="558"/>
        <w:spacing w:after="0" w:line="23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1100" w:right="1000" w:hanging="558"/>
        <w:spacing w:after="0" w:line="236"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740" w:right="1000" w:hanging="645"/>
        <w:spacing w:after="0" w:line="235"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740" w:right="1000" w:hanging="645"/>
        <w:spacing w:after="0" w:line="235"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1740" w:right="1000" w:hanging="645"/>
        <w:spacing w:after="0" w:line="236"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1740" w:right="1000" w:hanging="645"/>
        <w:spacing w:after="0" w:line="235"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1100" w:right="1000" w:hanging="558"/>
        <w:spacing w:after="0" w:line="238" w:lineRule="auto"/>
        <w:tabs>
          <w:tab w:leader="none" w:pos="11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1740" w:right="1000" w:hanging="645"/>
        <w:spacing w:after="0" w:line="238"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1740" w:right="1000" w:hanging="645"/>
        <w:spacing w:after="0" w:line="243" w:lineRule="auto"/>
        <w:tabs>
          <w:tab w:leader="none" w:pos="17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March 24, 2022</w:t>
      </w:r>
    </w:p>
    <w:p>
      <w:pPr>
        <w:spacing w:after="0" w:line="223" w:lineRule="exact"/>
        <w:rPr>
          <w:sz w:val="20"/>
          <w:szCs w:val="20"/>
          <w:color w:val="auto"/>
        </w:rPr>
      </w:pPr>
    </w:p>
    <w:p>
      <w:pPr>
        <w:ind w:left="46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471170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CERTIFICATION</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Andrew E. Page, certify that:</w:t>
      </w:r>
    </w:p>
    <w:p>
      <w:pPr>
        <w:spacing w:after="0" w:line="200" w:lineRule="exact"/>
        <w:rPr>
          <w:sz w:val="20"/>
          <w:szCs w:val="20"/>
          <w:color w:val="auto"/>
        </w:rPr>
      </w:pPr>
    </w:p>
    <w:p>
      <w:pPr>
        <w:spacing w:after="0" w:line="212" w:lineRule="exact"/>
        <w:rPr>
          <w:sz w:val="20"/>
          <w:szCs w:val="20"/>
          <w:color w:val="auto"/>
        </w:rPr>
      </w:pPr>
    </w:p>
    <w:p>
      <w:pPr>
        <w:ind w:left="1020" w:hanging="478"/>
        <w:spacing w:after="0"/>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182" w:lineRule="exact"/>
        <w:rPr>
          <w:rFonts w:ascii="Arial" w:cs="Arial" w:eastAsia="Arial" w:hAnsi="Arial"/>
          <w:sz w:val="17"/>
          <w:szCs w:val="17"/>
          <w:color w:val="auto"/>
        </w:rPr>
      </w:pPr>
    </w:p>
    <w:p>
      <w:pPr>
        <w:jc w:val="both"/>
        <w:ind w:left="1020" w:right="1000" w:hanging="478"/>
        <w:spacing w:after="0" w:line="236"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Arial" w:cs="Arial" w:eastAsia="Arial" w:hAnsi="Arial"/>
          <w:sz w:val="17"/>
          <w:szCs w:val="17"/>
          <w:color w:val="auto"/>
        </w:rPr>
      </w:pPr>
    </w:p>
    <w:p>
      <w:pPr>
        <w:jc w:val="both"/>
        <w:ind w:left="1020" w:right="1000" w:hanging="478"/>
        <w:spacing w:after="0" w:line="238"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1020" w:right="1000" w:hanging="478"/>
        <w:spacing w:after="0" w:line="236"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jc w:val="both"/>
        <w:ind w:left="1600" w:right="1000" w:hanging="572"/>
        <w:spacing w:after="0" w:line="235"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jc w:val="both"/>
        <w:ind w:left="1600" w:right="1000" w:hanging="572"/>
        <w:spacing w:after="0" w:line="236"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jc w:val="both"/>
        <w:ind w:left="1600" w:right="1000" w:hanging="572"/>
        <w:spacing w:after="0" w:line="236"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Arial" w:cs="Arial" w:eastAsia="Arial" w:hAnsi="Arial"/>
          <w:sz w:val="17"/>
          <w:szCs w:val="17"/>
          <w:color w:val="auto"/>
        </w:rPr>
      </w:pPr>
    </w:p>
    <w:p>
      <w:pPr>
        <w:jc w:val="both"/>
        <w:ind w:left="1600" w:right="1000" w:hanging="572"/>
        <w:spacing w:after="0" w:line="235"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jc w:val="both"/>
        <w:ind w:left="1020" w:right="1000" w:hanging="478"/>
        <w:spacing w:after="0" w:line="238" w:lineRule="auto"/>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4" w:lineRule="exact"/>
        <w:rPr>
          <w:rFonts w:ascii="Arial" w:cs="Arial" w:eastAsia="Arial" w:hAnsi="Arial"/>
          <w:sz w:val="17"/>
          <w:szCs w:val="17"/>
          <w:color w:val="auto"/>
        </w:rPr>
      </w:pPr>
    </w:p>
    <w:p>
      <w:pPr>
        <w:jc w:val="both"/>
        <w:ind w:left="1600" w:right="1000" w:hanging="572"/>
        <w:spacing w:after="0" w:line="238"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1600" w:right="1000" w:hanging="572"/>
        <w:spacing w:after="0" w:line="243" w:lineRule="auto"/>
        <w:tabs>
          <w:tab w:leader="none" w:pos="16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March 24, 2022</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471170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FOOT LOCKER, INC.</w:t>
      </w:r>
    </w:p>
    <w:p>
      <w:pPr>
        <w:spacing w:after="0" w:line="212"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18 U.S.C. SECTION 1350</w:t>
      </w:r>
    </w:p>
    <w:p>
      <w:pPr>
        <w:jc w:val="center"/>
        <w:ind w:right="46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6" w:lineRule="exact"/>
        <w:rPr>
          <w:sz w:val="20"/>
          <w:szCs w:val="20"/>
          <w:color w:val="auto"/>
        </w:rPr>
      </w:pPr>
    </w:p>
    <w:p>
      <w:pPr>
        <w:jc w:val="both"/>
        <w:ind w:left="520" w:right="980"/>
        <w:spacing w:after="0" w:line="241" w:lineRule="auto"/>
        <w:rPr>
          <w:sz w:val="20"/>
          <w:szCs w:val="20"/>
          <w:color w:val="auto"/>
        </w:rPr>
      </w:pPr>
      <w:r>
        <w:rPr>
          <w:rFonts w:ascii="Arial" w:cs="Arial" w:eastAsia="Arial" w:hAnsi="Arial"/>
          <w:sz w:val="17"/>
          <w:szCs w:val="17"/>
          <w:color w:val="auto"/>
        </w:rPr>
        <w:t>In connection with the Annual Report on Form 10-K of Foot Locker, Inc. (the “Registrant”) for the period ended January 29, 2022, as filed with the Securities and Exchange Commission on the date hereof (the “Report”), Richard A. Johnson, as Chief Executive Officer of the Registrant and Andrew E. Page, as Chief Financial Officer of the Registrant, each hereby certify, pursuant to 18 U.S.C. Section 1350, that:</w:t>
      </w:r>
    </w:p>
    <w:p>
      <w:pPr>
        <w:spacing w:after="0" w:line="200" w:lineRule="exact"/>
        <w:rPr>
          <w:sz w:val="20"/>
          <w:szCs w:val="20"/>
          <w:color w:val="auto"/>
        </w:rPr>
      </w:pPr>
    </w:p>
    <w:p>
      <w:pPr>
        <w:spacing w:after="0" w:line="203" w:lineRule="exact"/>
        <w:rPr>
          <w:sz w:val="20"/>
          <w:szCs w:val="20"/>
          <w:color w:val="auto"/>
        </w:rPr>
      </w:pPr>
    </w:p>
    <w:p>
      <w:pPr>
        <w:ind w:left="1180" w:right="1000" w:hanging="409"/>
        <w:spacing w:after="0" w:line="243" w:lineRule="auto"/>
        <w:tabs>
          <w:tab w:leader="none" w:pos="1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71" w:lineRule="exact"/>
        <w:rPr>
          <w:rFonts w:ascii="Arial" w:cs="Arial" w:eastAsia="Arial" w:hAnsi="Arial"/>
          <w:sz w:val="17"/>
          <w:szCs w:val="17"/>
          <w:color w:val="auto"/>
        </w:rPr>
      </w:pPr>
    </w:p>
    <w:p>
      <w:pPr>
        <w:ind w:left="1180" w:right="1000" w:hanging="409"/>
        <w:spacing w:after="0" w:line="243" w:lineRule="auto"/>
        <w:tabs>
          <w:tab w:leader="none" w:pos="1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Dated: March 24, 2022</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Richard A. Johnson</w:t>
      </w:r>
    </w:p>
    <w:p>
      <w:pPr>
        <w:ind w:left="4520"/>
        <w:spacing w:after="0"/>
        <w:rPr>
          <w:sz w:val="20"/>
          <w:szCs w:val="20"/>
          <w:color w:val="auto"/>
        </w:rPr>
      </w:pPr>
      <w:r>
        <w:rPr>
          <w:rFonts w:ascii="Arial" w:cs="Arial" w:eastAsia="Arial" w:hAnsi="Arial"/>
          <w:sz w:val="17"/>
          <w:szCs w:val="17"/>
          <w:i w:val="1"/>
          <w:iCs w:val="1"/>
          <w:color w:val="auto"/>
        </w:rPr>
        <w:t>Chief Executive Officer</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 ANDREW 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0</wp:posOffset>
            </wp:positionV>
            <wp:extent cx="25114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Andrew E. Page</w:t>
      </w:r>
    </w:p>
    <w:p>
      <w:pPr>
        <w:ind w:left="4520"/>
        <w:spacing w:after="0"/>
        <w:rPr>
          <w:sz w:val="20"/>
          <w:szCs w:val="20"/>
          <w:color w:val="auto"/>
        </w:rPr>
      </w:pPr>
      <w:r>
        <w:rPr>
          <w:rFonts w:ascii="Arial" w:cs="Arial" w:eastAsia="Arial" w:hAnsi="Arial"/>
          <w:sz w:val="17"/>
          <w:szCs w:val="17"/>
          <w:i w:val="1"/>
          <w:iCs w:val="1"/>
          <w:color w:val="auto"/>
        </w:rPr>
        <w:t>Chief Financial Officer</w:t>
      </w:r>
    </w:p>
    <w:p>
      <w:pPr>
        <w:spacing w:after="0" w:line="210" w:lineRule="exact"/>
        <w:rPr>
          <w:sz w:val="20"/>
          <w:szCs w:val="20"/>
          <w:color w:val="auto"/>
        </w:rPr>
      </w:pPr>
    </w:p>
    <w:p>
      <w:pPr>
        <w:jc w:val="both"/>
        <w:ind w:left="520" w:right="980"/>
        <w:spacing w:after="0" w:line="235"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460"/>
      </w:cols>
      <w:pgMar w:left="144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lvl w:ilvl="1">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2"/>
    </w:lvl>
  </w:abstractNum>
  <w:abstractNum w:abstractNumId="30">
    <w:nsid w:val="749ABB43"/>
    <w:multiLevelType w:val="hybridMultilevel"/>
    <w:lvl w:ilvl="0">
      <w:lvlJc w:val="left"/>
      <w:lvlText w:val="(%1)"/>
      <w:numFmt w:val="lowerLetter"/>
      <w:start w:val="3"/>
    </w:lvl>
  </w:abstractNum>
  <w:abstractNum w:abstractNumId="31">
    <w:nsid w:val="3DC240FB"/>
    <w:multiLevelType w:val="hybridMultilevel"/>
    <w:lvl w:ilvl="0">
      <w:lvlJc w:val="left"/>
      <w:lvlText w:val="(%1)"/>
      <w:numFmt w:val="lowerLetter"/>
      <w:start w:val="4"/>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2"/>
    </w:lvl>
  </w:abstractNum>
  <w:abstractNum w:abstractNumId="34">
    <w:nsid w:val="75C6C33A"/>
    <w:multiLevelType w:val="hybridMultilevel"/>
    <w:lvl w:ilvl="0">
      <w:lvlJc w:val="left"/>
      <w:lvlText w:val="(%1)"/>
      <w:numFmt w:val="lowerLetter"/>
      <w:start w:val="3"/>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upperLetter"/>
      <w:start w:val="1"/>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5"/>
    </w:lvl>
  </w:abstractNum>
  <w:abstractNum w:abstractNumId="42">
    <w:nsid w:val="275AC794"/>
    <w:multiLevelType w:val="hybridMultilevel"/>
    <w:lvl w:ilvl="0">
      <w:lvlJc w:val="left"/>
      <w:lvlText w:val="%1."/>
      <w:numFmt w:val="decimal"/>
      <w:start w:val="3"/>
    </w:lvl>
    <w:lvl w:ilvl="1">
      <w:lvlJc w:val="left"/>
      <w:lvlText w:val="(%2)"/>
      <w:numFmt w:val="lowerLetter"/>
      <w:start w:val="1"/>
    </w:lvl>
  </w:abstractNum>
  <w:abstractNum w:abstractNumId="43">
    <w:nsid w:val="39386575"/>
    <w:multiLevelType w:val="hybridMultilevel"/>
    <w:lvl w:ilvl="0">
      <w:lvlJc w:val="left"/>
      <w:lvlText w:val="%1."/>
      <w:numFmt w:val="decimal"/>
      <w:start w:val="8"/>
    </w:lvl>
  </w:abstractNum>
  <w:abstractNum w:abstractNumId="44">
    <w:nsid w:val="1CF10FD8"/>
    <w:multiLevelType w:val="hybridMultilevel"/>
    <w:lvl w:ilvl="0">
      <w:lvlJc w:val="left"/>
      <w:lvlText w:val="%1"/>
      <w:numFmt w:val="upperLetter"/>
      <w:start w:val="1"/>
    </w:lvl>
    <w:lvl w:ilvl="1">
      <w:lvlJc w:val="left"/>
      <w:lvlText w:val="(%2)"/>
      <w:numFmt w:val="lowerLetter"/>
      <w:start w:val="1"/>
    </w:lvl>
  </w:abstractNum>
  <w:abstractNum w:abstractNumId="45">
    <w:nsid w:val="180115BE"/>
    <w:multiLevelType w:val="hybridMultilevel"/>
    <w:lvl w:ilvl="0">
      <w:lvlJc w:val="left"/>
      <w:lvlText w:val="(%1)"/>
      <w:numFmt w:val="upperLetter"/>
      <w:start w:val="1"/>
    </w:lvl>
    <w:lvl w:ilvl="1">
      <w:lvlJc w:val="left"/>
      <w:lvlText w:val="(%2)"/>
      <w:numFmt w:val="lowerLetter"/>
      <w:start w:val="2"/>
    </w:lvl>
  </w:abstractNum>
  <w:abstractNum w:abstractNumId="46">
    <w:nsid w:val="235BA861"/>
    <w:multiLevelType w:val="hybridMultilevel"/>
    <w:lvl w:ilvl="0">
      <w:lvlJc w:val="left"/>
      <w:lvlText w:val="%1."/>
      <w:numFmt w:val="decimal"/>
      <w:start w:val="10"/>
    </w:lvl>
  </w:abstractNum>
  <w:abstractNum w:abstractNumId="47">
    <w:nsid w:val="47398C89"/>
    <w:multiLevelType w:val="hybridMultilevel"/>
    <w:lvl w:ilvl="0">
      <w:lvlJc w:val="left"/>
      <w:lvlText w:val="%1."/>
      <w:numFmt w:val="decimal"/>
      <w:start w:val="11"/>
    </w:lvl>
  </w:abstractNum>
  <w:abstractNum w:abstractNumId="48">
    <w:nsid w:val="354FE9F9"/>
    <w:multiLevelType w:val="hybridMultilevel"/>
    <w:lvl w:ilvl="0">
      <w:lvlJc w:val="left"/>
      <w:lvlText w:val="(%1)"/>
      <w:numFmt w:val="upperLetter"/>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decimal"/>
      <w:start w:val="3"/>
    </w:lvl>
  </w:abstractNum>
  <w:abstractNum w:abstractNumId="52">
    <w:nsid w:val="10233C99"/>
    <w:multiLevelType w:val="hybridMultilevel"/>
    <w:lvl w:ilvl="0">
      <w:lvlJc w:val="left"/>
      <w:lvlText w:val="%1."/>
      <w:numFmt w:val="decimal"/>
      <w:start w:val="4"/>
    </w:lvl>
  </w:abstractNum>
  <w:abstractNum w:abstractNumId="53">
    <w:nsid w:val="3F6AB60F"/>
    <w:multiLevelType w:val="hybridMultilevel"/>
    <w:lvl w:ilvl="0">
      <w:lvlJc w:val="left"/>
      <w:lvlText w:val="(%1)"/>
      <w:numFmt w:val="upperLetter"/>
      <w:start w:val="1"/>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2"/>
    </w:lvl>
    <w:lvl w:ilvl="1">
      <w:lvlJc w:val="left"/>
      <w:lvlText w:val="(%2)"/>
      <w:numFmt w:val="lowerLetter"/>
      <w:start w:val="1"/>
    </w:lvl>
  </w:abstractNum>
  <w:abstractNum w:abstractNumId="56">
    <w:nsid w:val="77AE35EB"/>
    <w:multiLevelType w:val="hybridMultilevel"/>
    <w:lvl w:ilvl="0">
      <w:lvlJc w:val="left"/>
      <w:lvlText w:val="%1"/>
      <w:numFmt w:val="decimal"/>
      <w:start w:val="1"/>
    </w:lvl>
    <w:lvl w:ilvl="1">
      <w:lvlJc w:val="left"/>
      <w:lvlText w:val="(%2)"/>
      <w:numFmt w:val="lowerLetter"/>
      <w:start w:val="3"/>
    </w:lvl>
  </w:abstractNum>
  <w:abstractNum w:abstractNumId="57">
    <w:nsid w:val="579BE4F1"/>
    <w:multiLevelType w:val="hybridMultilevel"/>
    <w:lvl w:ilvl="0">
      <w:lvlJc w:val="left"/>
      <w:lvlText w:val="%1."/>
      <w:numFmt w:val="decimal"/>
      <w:start w:val="4"/>
    </w:lvl>
    <w:lvl w:ilvl="1">
      <w:lvlJc w:val="left"/>
      <w:lvlText w:val="(%2)"/>
      <w:numFmt w:val="lowerLetter"/>
      <w:start w:val="1"/>
    </w:lvl>
  </w:abstractNum>
  <w:abstractNum w:abstractNumId="58">
    <w:nsid w:val="310C50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59">
    <w:nsid w:val="5FF87E0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0">
    <w:nsid w:val="2F305DEF"/>
    <w:multiLevelType w:val="hybridMultilevel"/>
    <w:lvl w:ilvl="0">
      <w:lvlJc w:val="left"/>
      <w:lvlText w:val="%1"/>
      <w:numFmt w:val="decimal"/>
      <w:start w:val="1"/>
    </w:lvl>
    <w:lvl w:ilvl="1">
      <w:lvlJc w:val="left"/>
      <w:lvlText w:val="(%2)"/>
      <w:numFmt w:val="lowerLetter"/>
      <w:start w:val="3"/>
    </w:lvl>
  </w:abstractNum>
  <w:abstractNum w:abstractNumId="61">
    <w:nsid w:val="25A70BF7"/>
    <w:multiLevelType w:val="hybridMultilevel"/>
    <w:lvl w:ilvl="0">
      <w:lvlJc w:val="left"/>
      <w:lvlText w:val="%1."/>
      <w:numFmt w:val="decimal"/>
      <w:start w:val="11"/>
    </w:lvl>
    <w:lvl w:ilvl="1">
      <w:lvlJc w:val="left"/>
      <w:lvlText w:val="%2"/>
      <w:numFmt w:val="lowerLetter"/>
      <w:start w:val="1"/>
    </w:lvl>
  </w:abstractNum>
  <w:abstractNum w:abstractNumId="62">
    <w:nsid w:val="1DBABF00"/>
    <w:multiLevelType w:val="hybridMultilevel"/>
    <w:lvl w:ilvl="0">
      <w:lvlJc w:val="left"/>
      <w:lvlText w:val="%1."/>
      <w:numFmt w:val="decimal"/>
      <w:start w:val="12"/>
    </w:lvl>
    <w:lvl w:ilvl="1">
      <w:lvlJc w:val="left"/>
      <w:lvlText w:val="(%2)"/>
      <w:numFmt w:val="lowerLetter"/>
      <w:start w:val="1"/>
    </w:lvl>
  </w:abstractNum>
  <w:abstractNum w:abstractNumId="63">
    <w:nsid w:val="4AD084E9"/>
    <w:multiLevelType w:val="hybridMultilevel"/>
    <w:lvl w:ilvl="0">
      <w:lvlJc w:val="left"/>
      <w:lvlText w:val="(%1)"/>
      <w:numFmt w:val="lowerLetter"/>
      <w:start w:val="9"/>
    </w:lvl>
  </w:abstractNum>
  <w:abstractNum w:abstractNumId="64">
    <w:nsid w:val="1F48EAA1"/>
    <w:multiLevelType w:val="hybridMultilevel"/>
    <w:lvl w:ilvl="0">
      <w:lvlJc w:val="left"/>
      <w:lvlText w:val="(%1)"/>
      <w:numFmt w:val="upperLetter"/>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8" Type="http://schemas.openxmlformats.org/officeDocument/2006/relationships/image" Target="media/image126.png"/><Relationship Id="rId160"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84" Type="http://schemas.openxmlformats.org/officeDocument/2006/relationships/image" Target="media/image146.png"/><Relationship Id="rId185" Type="http://schemas.openxmlformats.org/officeDocument/2006/relationships/image" Target="media/image147.png"/><Relationship Id="rId186" Type="http://schemas.openxmlformats.org/officeDocument/2006/relationships/image" Target="media/image148.png"/><Relationship Id="rId187" Type="http://schemas.openxmlformats.org/officeDocument/2006/relationships/image" Target="media/image149.png"/><Relationship Id="rId188" Type="http://schemas.openxmlformats.org/officeDocument/2006/relationships/image" Target="media/image150.png"/><Relationship Id="rId189" Type="http://schemas.openxmlformats.org/officeDocument/2006/relationships/image" Target="media/image151.png"/><Relationship Id="rId190" Type="http://schemas.openxmlformats.org/officeDocument/2006/relationships/image" Target="media/image152.png"/><Relationship Id="rId191" Type="http://schemas.openxmlformats.org/officeDocument/2006/relationships/image" Target="media/image153.png"/><Relationship Id="rId192" Type="http://schemas.openxmlformats.org/officeDocument/2006/relationships/image" Target="media/image154.png"/><Relationship Id="rId193" Type="http://schemas.openxmlformats.org/officeDocument/2006/relationships/image" Target="media/image155.png"/><Relationship Id="rId194"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199" Type="http://schemas.openxmlformats.org/officeDocument/2006/relationships/image" Target="media/image161.png"/><Relationship Id="rId200" Type="http://schemas.openxmlformats.org/officeDocument/2006/relationships/image" Target="media/image162.png"/><Relationship Id="rId201" Type="http://schemas.openxmlformats.org/officeDocument/2006/relationships/image" Target="media/image163.png"/><Relationship Id="rId202" Type="http://schemas.openxmlformats.org/officeDocument/2006/relationships/image" Target="media/image164.png"/><Relationship Id="rId203" Type="http://schemas.openxmlformats.org/officeDocument/2006/relationships/image" Target="media/image165.png"/><Relationship Id="rId204" Type="http://schemas.openxmlformats.org/officeDocument/2006/relationships/image" Target="media/image166.png"/><Relationship Id="rId205" Type="http://schemas.openxmlformats.org/officeDocument/2006/relationships/image" Target="media/image167.png"/><Relationship Id="rId206" Type="http://schemas.openxmlformats.org/officeDocument/2006/relationships/image" Target="media/image168.png"/><Relationship Id="rId207" Type="http://schemas.openxmlformats.org/officeDocument/2006/relationships/image" Target="media/image169.png"/><Relationship Id="rId208" Type="http://schemas.openxmlformats.org/officeDocument/2006/relationships/image" Target="media/image170.png"/><Relationship Id="rId209"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133" Type="http://schemas.openxmlformats.org/officeDocument/2006/relationships/hyperlink" Target="https://www.sec.gov/Archives/edgar/data/850209/000153949721001156/exhibit2-1_stockpurchag.htm" TargetMode="External"/><Relationship Id="rId134" Type="http://schemas.openxmlformats.org/officeDocument/2006/relationships/hyperlink" Target="http://www.sec.gov/Archives/edgar/data/850209/0000850209-97-000010-index.html" TargetMode="External"/><Relationship Id="rId135" Type="http://schemas.openxmlformats.org/officeDocument/2006/relationships/hyperlink" Target="http://www.sec.gov/Archives/edgar/data/850209/0000850209-98-000012-index.html" TargetMode="External"/><Relationship Id="rId136" Type="http://schemas.openxmlformats.org/officeDocument/2006/relationships/hyperlink" Target="https://www.sec.gov/Archives/edgar/data/850209/000095011701501759/ex4-2.txt" TargetMode="External"/><Relationship Id="rId137" Type="http://schemas.openxmlformats.org/officeDocument/2006/relationships/hyperlink" Target="http://www.sec.gov/Archives/edgar/data/850209/000093041314002667/c77700_ex3-1.htm" TargetMode="External"/><Relationship Id="rId138" Type="http://schemas.openxmlformats.org/officeDocument/2006/relationships/hyperlink" Target="https://www.sec.gov/Archives/edgar/data/0000850209/000153949720001499/exh3-1.htm" TargetMode="External"/><Relationship Id="rId139" Type="http://schemas.openxmlformats.org/officeDocument/2006/relationships/hyperlink" Target="http://www.sec.gov/Archives/edgar/data/850209/000093041318000545/c90571_ex3-1.htm" TargetMode="External"/><Relationship Id="rId140" Type="http://schemas.openxmlformats.org/officeDocument/2006/relationships/hyperlink" Target="https://www.sec.gov/Archives/edgar/data/850209/000153949721001514/exh4-1_indenture.htm" TargetMode="External"/><Relationship Id="rId141" Type="http://schemas.openxmlformats.org/officeDocument/2006/relationships/hyperlink" Target="https://www.sec.gov/Archives/edgar/data/0000850209/000153949721001514/exh4-1_indenture.htm" TargetMode="External"/><Relationship Id="rId142" Type="http://schemas.openxmlformats.org/officeDocument/2006/relationships/hyperlink" Target="http://www.sec.gov/Archives/edgar/data/850209/000093041316007203/c85089_ex10-1.htm" TargetMode="External"/><Relationship Id="rId143" Type="http://schemas.openxmlformats.org/officeDocument/2006/relationships/hyperlink" Target="https://www.sec.gov/Archives/edgar/data/850209/000153949720000939/exh10-1.htm" TargetMode="External"/><Relationship Id="rId144" Type="http://schemas.openxmlformats.org/officeDocument/2006/relationships/hyperlink" Target="https://www.sec.gov/Archives/edgar/data/850209/000153949721000731/exh_10-1.htm" TargetMode="External"/><Relationship Id="rId145" Type="http://schemas.openxmlformats.org/officeDocument/2006/relationships/hyperlink" Target="http://www.sec.gov/Archives/edgar/data/850209/000093041314005005/c79624_ex10-3.htm" TargetMode="External"/><Relationship Id="rId146" Type="http://schemas.openxmlformats.org/officeDocument/2006/relationships/hyperlink" Target="http://www.sec.gov/Archives/edgar/data/850209/000085020917000003/fl-20170128xex10_5.htm" TargetMode="External"/><Relationship Id="rId147" Type="http://schemas.openxmlformats.org/officeDocument/2006/relationships/hyperlink" Target="http://www.sec.gov/Archives/edgar/data/850209/000093041316006244/c84488_ex10-3.htm" TargetMode="External"/><Relationship Id="rId149" Type="http://schemas.openxmlformats.org/officeDocument/2006/relationships/hyperlink" Target="http://www.sec.gov/Archives/edgar/data/850209/000093041318001184/c90932_ex10-1.htm" TargetMode="External"/><Relationship Id="rId150" Type="http://schemas.openxmlformats.org/officeDocument/2006/relationships/hyperlink" Target="http://www.sec.gov/Archives/edgar/data/850209/000093041307006773/c49896_ex10-1.htm" TargetMode="External"/><Relationship Id="rId151" Type="http://schemas.openxmlformats.org/officeDocument/2006/relationships/hyperlink" Target="http://www.sec.gov/Archives/edgar/data/850209/000093041311004174/c65814_ex10-1.htm" TargetMode="External"/><Relationship Id="rId152" Type="http://schemas.openxmlformats.org/officeDocument/2006/relationships/hyperlink" Target="http://www.sec.gov/Archives/edgar/data/850209/000093041314001548/c77055_ex10-3.htm" TargetMode="External"/><Relationship Id="rId153" Type="http://schemas.openxmlformats.org/officeDocument/2006/relationships/hyperlink" Target="http://www.sec.gov/Archives/edgar/data/850209/000153949719000850/exh10-1.htm" TargetMode="External"/><Relationship Id="rId154" Type="http://schemas.openxmlformats.org/officeDocument/2006/relationships/hyperlink" Target="http://www.sec.gov/Archives/edgar/data/850209/000085020919000007/fl-20190803ex101ab38cb.htm" TargetMode="External"/><Relationship Id="rId155" Type="http://schemas.openxmlformats.org/officeDocument/2006/relationships/hyperlink" Target="https://www.sec.gov/Archives/edgar/data/850209/000120677409000650/exhibit_10-22.htm" TargetMode="External"/><Relationship Id="rId156" Type="http://schemas.openxmlformats.org/officeDocument/2006/relationships/hyperlink" Target="https://www.sec.gov/Archives/edgar/data/850209/000085020921000003/fl-20210130ex10250603a.htm" TargetMode="External"/><Relationship Id="rId157" Type="http://schemas.openxmlformats.org/officeDocument/2006/relationships/hyperlink" Target="http://www.sec.gov/Archives/edgar/data/850209/000120677409000650/exhibit_10-26.htm" TargetMode="External"/><Relationship Id="rId158" Type="http://schemas.openxmlformats.org/officeDocument/2006/relationships/hyperlink" Target="http://www.sec.gov/Archives/edgar/data/850209/000120677409000650/exhibit_10-27.htm" TargetMode="External"/><Relationship Id="rId159" Type="http://schemas.openxmlformats.org/officeDocument/2006/relationships/hyperlink" Target="http://www.sec.gov/Archives/edgar/data/850209/000120677409000650/exhibit_10-28.htm" TargetMode="External"/><Relationship Id="rId161" Type="http://schemas.openxmlformats.org/officeDocument/2006/relationships/hyperlink" Target="http://www.sec.gov/Archives/edgar/data/850209/000120677409000650/exhibit_10-32.htm" TargetMode="External"/><Relationship Id="rId162" Type="http://schemas.openxmlformats.org/officeDocument/2006/relationships/hyperlink" Target="http://www.sec.gov/Archives/edgar/data/850209/000095012301503422/y50352ex10-4.txt" TargetMode="External"/><Relationship Id="rId163" Type="http://schemas.openxmlformats.org/officeDocument/2006/relationships/hyperlink" Target="http://www.sec.gov/Archives/edgar/data/850209/000093041314004495/c79195_ex10-2.htm" TargetMode="External"/><Relationship Id="rId164" Type="http://schemas.openxmlformats.org/officeDocument/2006/relationships/hyperlink" Target="http://www.sec.gov/Archives/edgar/data/850209/000093041315001838/c81054_ex10-1.htm" TargetMode="External"/><Relationship Id="rId165" Type="http://schemas.openxmlformats.org/officeDocument/2006/relationships/hyperlink" Target="http://www.sec.gov/Archives/edgar/data/850209/000114420416090138/v429676_ex10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2022-03-24T15:56:16Z</dcterms:created>
  <dcterms:modified xsi:type="dcterms:W3CDTF">2022-03-24T15:56:16Z</dcterms:modified>
</cp:coreProperties>
</file>