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9"/>
          <w:szCs w:val="19"/>
          <w:b w:val="1"/>
          <w:bCs w:val="1"/>
          <w:color w:val="auto"/>
        </w:rPr>
        <w:t>UNITED STATES</w:t>
      </w:r>
    </w:p>
    <w:p>
      <w:pPr>
        <w:spacing w:after="0" w:line="24"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SECURITIES AND EXCHANGE COMMISSION</w:t>
      </w:r>
    </w:p>
    <w:p>
      <w:pPr>
        <w:jc w:val="center"/>
        <w:ind w:right="20"/>
        <w:spacing w:after="0"/>
        <w:rPr>
          <w:sz w:val="20"/>
          <w:szCs w:val="20"/>
          <w:color w:val="auto"/>
        </w:rPr>
      </w:pPr>
      <w:r>
        <w:rPr>
          <w:rFonts w:ascii="Arial" w:cs="Arial" w:eastAsia="Arial" w:hAnsi="Arial"/>
          <w:sz w:val="19"/>
          <w:szCs w:val="19"/>
          <w:b w:val="1"/>
          <w:bCs w:val="1"/>
          <w:color w:val="auto"/>
        </w:rPr>
        <w:t>Washington, D.C. 20549</w:t>
      </w:r>
    </w:p>
    <w:p>
      <w:pPr>
        <w:spacing w:after="0" w:line="6" w:lineRule="exact"/>
        <w:rPr>
          <w:sz w:val="24"/>
          <w:szCs w:val="24"/>
          <w:color w:val="auto"/>
        </w:rPr>
      </w:pPr>
    </w:p>
    <w:p>
      <w:pPr>
        <w:ind w:left="3120"/>
        <w:spacing w:after="0"/>
        <w:rPr>
          <w:sz w:val="20"/>
          <w:szCs w:val="20"/>
          <w:color w:val="auto"/>
        </w:rPr>
      </w:pPr>
      <w:r>
        <w:rPr>
          <w:rFonts w:ascii="Arial" w:cs="Arial" w:eastAsia="Arial" w:hAnsi="Arial"/>
          <w:sz w:val="16"/>
          <w:szCs w:val="16"/>
          <w:b w:val="1"/>
          <w:bCs w:val="1"/>
          <w:color w:val="auto"/>
        </w:rPr>
        <w:t>______________________________________</w:t>
      </w:r>
    </w:p>
    <w:p>
      <w:pPr>
        <w:spacing w:after="0" w:line="115"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FORM 10-Q</w:t>
      </w:r>
    </w:p>
    <w:p>
      <w:pPr>
        <w:spacing w:after="0" w:line="190" w:lineRule="exact"/>
        <w:rPr>
          <w:sz w:val="24"/>
          <w:szCs w:val="24"/>
          <w:color w:val="auto"/>
        </w:rPr>
      </w:pPr>
    </w:p>
    <w:p>
      <w:pPr>
        <w:ind w:left="140"/>
        <w:spacing w:after="0"/>
        <w:rPr>
          <w:sz w:val="20"/>
          <w:szCs w:val="20"/>
          <w:color w:val="auto"/>
        </w:rPr>
      </w:pPr>
      <w:r>
        <w:rPr>
          <w:rFonts w:ascii="Arial" w:cs="Arial" w:eastAsia="Arial" w:hAnsi="Arial"/>
          <w:sz w:val="15"/>
          <w:szCs w:val="15"/>
          <w:color w:val="auto"/>
        </w:rPr>
        <w:t>(Mark One)</w:t>
      </w:r>
    </w:p>
    <w:p>
      <w:pPr>
        <w:spacing w:after="0" w:line="223" w:lineRule="exact"/>
        <w:rPr>
          <w:sz w:val="24"/>
          <w:szCs w:val="24"/>
          <w:color w:val="auto"/>
        </w:rPr>
      </w:pPr>
    </w:p>
    <w:p>
      <w:pPr>
        <w:ind w:left="520" w:hanging="338"/>
        <w:spacing w:after="0"/>
        <w:tabs>
          <w:tab w:leader="none" w:pos="520" w:val="left"/>
        </w:tabs>
        <w:numPr>
          <w:ilvl w:val="1"/>
          <w:numId w:val="1"/>
        </w:numPr>
        <w:rPr>
          <w:rFonts w:ascii="MS PGothic" w:cs="MS PGothic" w:eastAsia="MS PGothic" w:hAnsi="MS PGothic"/>
          <w:sz w:val="15"/>
          <w:szCs w:val="15"/>
          <w:color w:val="auto"/>
          <w:highlight w:val="black"/>
        </w:rPr>
      </w:pPr>
      <w:r>
        <w:rPr>
          <w:rFonts w:ascii="Arial" w:cs="Arial" w:eastAsia="Arial" w:hAnsi="Arial"/>
          <w:sz w:val="14"/>
          <w:szCs w:val="14"/>
          <w:b w:val="1"/>
          <w:bCs w:val="1"/>
          <w:color w:val="auto"/>
        </w:rPr>
        <w:t>QUARTERLY REPORT PURSUANT TO SECTION 13 OR 15(d) OF THE SECURITIES EXCHANGE ACT OF 1934</w:t>
      </w:r>
    </w:p>
    <w:p>
      <w:pPr>
        <w:spacing w:after="0" w:line="182" w:lineRule="exact"/>
        <w:rPr>
          <w:rFonts w:ascii="MS PGothic" w:cs="MS PGothic" w:eastAsia="MS PGothic" w:hAnsi="MS PGothic"/>
          <w:sz w:val="15"/>
          <w:szCs w:val="15"/>
          <w:color w:val="auto"/>
          <w:highlight w:val="black"/>
        </w:rPr>
      </w:pPr>
    </w:p>
    <w:p>
      <w:pPr>
        <w:ind w:left="3260"/>
        <w:spacing w:after="0"/>
        <w:rPr>
          <w:rFonts w:ascii="MS PGothic" w:cs="MS PGothic" w:eastAsia="MS PGothic" w:hAnsi="MS PGothic"/>
          <w:sz w:val="15"/>
          <w:szCs w:val="15"/>
          <w:color w:val="auto"/>
          <w:highlight w:val="black"/>
        </w:rPr>
      </w:pPr>
      <w:r>
        <w:rPr>
          <w:rFonts w:ascii="Arial" w:cs="Arial" w:eastAsia="Arial" w:hAnsi="Arial"/>
          <w:sz w:val="16"/>
          <w:szCs w:val="16"/>
          <w:color w:val="auto"/>
        </w:rPr>
        <w:t>For the quarterly period ended: May 5, 2018</w:t>
      </w:r>
    </w:p>
    <w:p>
      <w:pPr>
        <w:spacing w:after="0" w:line="144" w:lineRule="exact"/>
        <w:rPr>
          <w:rFonts w:ascii="MS PGothic" w:cs="MS PGothic" w:eastAsia="MS PGothic" w:hAnsi="MS PGothic"/>
          <w:sz w:val="15"/>
          <w:szCs w:val="15"/>
          <w:color w:val="auto"/>
          <w:highlight w:val="black"/>
        </w:rPr>
      </w:pPr>
    </w:p>
    <w:p>
      <w:pPr>
        <w:ind w:left="4720"/>
        <w:spacing w:after="0"/>
        <w:rPr>
          <w:rFonts w:ascii="MS PGothic" w:cs="MS PGothic" w:eastAsia="MS PGothic" w:hAnsi="MS PGothic"/>
          <w:sz w:val="15"/>
          <w:szCs w:val="15"/>
          <w:color w:val="auto"/>
          <w:highlight w:val="black"/>
        </w:rPr>
      </w:pPr>
      <w:r>
        <w:rPr>
          <w:rFonts w:ascii="Arial" w:cs="Arial" w:eastAsia="Arial" w:hAnsi="Arial"/>
          <w:sz w:val="16"/>
          <w:szCs w:val="16"/>
          <w:color w:val="auto"/>
        </w:rPr>
        <w:t>OR</w:t>
      </w:r>
    </w:p>
    <w:p>
      <w:pPr>
        <w:spacing w:after="0" w:line="128" w:lineRule="exact"/>
        <w:rPr>
          <w:rFonts w:ascii="MS PGothic" w:cs="MS PGothic" w:eastAsia="MS PGothic" w:hAnsi="MS PGothic"/>
          <w:sz w:val="15"/>
          <w:szCs w:val="15"/>
          <w:color w:val="auto"/>
          <w:highlight w:val="black"/>
        </w:rPr>
      </w:pPr>
    </w:p>
    <w:p>
      <w:pPr>
        <w:ind w:left="440" w:hanging="295"/>
        <w:spacing w:after="0"/>
        <w:tabs>
          <w:tab w:leader="none" w:pos="440" w:val="left"/>
        </w:tabs>
        <w:numPr>
          <w:ilvl w:val="0"/>
          <w:numId w:val="1"/>
        </w:numPr>
        <w:rPr>
          <w:rFonts w:ascii="MS PGothic" w:cs="MS PGothic" w:eastAsia="MS PGothic" w:hAnsi="MS PGothic"/>
          <w:sz w:val="15"/>
          <w:szCs w:val="15"/>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244" w:lineRule="exact"/>
        <w:rPr>
          <w:sz w:val="24"/>
          <w:szCs w:val="24"/>
          <w:color w:val="auto"/>
        </w:rPr>
      </w:pPr>
    </w:p>
    <w:p>
      <w:pPr>
        <w:ind w:left="2760"/>
        <w:spacing w:after="0"/>
        <w:rPr>
          <w:sz w:val="20"/>
          <w:szCs w:val="20"/>
          <w:color w:val="auto"/>
        </w:rPr>
      </w:pPr>
      <w:r>
        <w:rPr>
          <w:rFonts w:ascii="Arial" w:cs="Arial" w:eastAsia="Arial" w:hAnsi="Arial"/>
          <w:sz w:val="16"/>
          <w:szCs w:val="16"/>
          <w:color w:val="auto"/>
        </w:rPr>
        <w:t>For the transition period from __________ to __________</w:t>
      </w:r>
    </w:p>
    <w:p>
      <w:pPr>
        <w:spacing w:after="0" w:line="181"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Commission File Number: 1-10299</w:t>
      </w:r>
    </w:p>
    <w:p>
      <w:pPr>
        <w:spacing w:after="0" w:line="1" w:lineRule="exact"/>
        <w:rPr>
          <w:sz w:val="24"/>
          <w:szCs w:val="24"/>
          <w:color w:val="auto"/>
        </w:rPr>
      </w:pPr>
    </w:p>
    <w:p>
      <w:pPr>
        <w:ind w:left="3300"/>
        <w:spacing w:after="0"/>
        <w:rPr>
          <w:sz w:val="20"/>
          <w:szCs w:val="20"/>
          <w:color w:val="auto"/>
        </w:rPr>
      </w:pPr>
      <w:r>
        <w:rPr>
          <w:rFonts w:ascii="Arial" w:cs="Arial" w:eastAsia="Arial" w:hAnsi="Arial"/>
          <w:sz w:val="16"/>
          <w:szCs w:val="16"/>
          <w:b w:val="1"/>
          <w:bCs w:val="1"/>
          <w:color w:val="auto"/>
        </w:rPr>
        <w:t>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1972945</wp:posOffset>
            </wp:positionH>
            <wp:positionV relativeFrom="paragraph">
              <wp:posOffset>90805</wp:posOffset>
            </wp:positionV>
            <wp:extent cx="2193290" cy="254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93290" cy="25463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ind w:right="20"/>
        <w:spacing w:after="0"/>
        <w:rPr>
          <w:sz w:val="20"/>
          <w:szCs w:val="20"/>
          <w:color w:val="auto"/>
        </w:rPr>
      </w:pPr>
      <w:r>
        <w:rPr>
          <w:rFonts w:ascii="Arial" w:cs="Arial" w:eastAsia="Arial" w:hAnsi="Arial"/>
          <w:sz w:val="15"/>
          <w:szCs w:val="15"/>
          <w:color w:val="auto"/>
        </w:rPr>
        <w:t>(Exact name of registrant as specified in its charter)</w:t>
      </w:r>
    </w:p>
    <w:p>
      <w:pPr>
        <w:ind w:left="3300"/>
        <w:spacing w:after="0"/>
        <w:rPr>
          <w:sz w:val="20"/>
          <w:szCs w:val="20"/>
          <w:color w:val="auto"/>
        </w:rPr>
      </w:pPr>
      <w:r>
        <w:rPr>
          <w:rFonts w:ascii="Arial" w:cs="Arial" w:eastAsia="Arial" w:hAnsi="Arial"/>
          <w:sz w:val="16"/>
          <w:szCs w:val="16"/>
          <w:b w:val="1"/>
          <w:bCs w:val="1"/>
          <w:color w:val="auto"/>
        </w:rPr>
        <w:t>______________________________________</w:t>
      </w:r>
    </w:p>
    <w:p>
      <w:pPr>
        <w:sectPr>
          <w:pgSz w:w="11900" w:h="16838" w:orient="portrait"/>
          <w:cols w:equalWidth="0" w:num="1">
            <w:col w:w="9680"/>
          </w:cols>
          <w:pgMar w:left="1120" w:top="207" w:right="1099" w:bottom="1440" w:gutter="0" w:footer="0" w:header="0"/>
        </w:sectPr>
      </w:pPr>
    </w:p>
    <w:p>
      <w:pPr>
        <w:spacing w:after="0" w:line="192" w:lineRule="exact"/>
        <w:rPr>
          <w:sz w:val="24"/>
          <w:szCs w:val="24"/>
          <w:color w:val="auto"/>
        </w:rPr>
      </w:pPr>
    </w:p>
    <w:p>
      <w:pPr>
        <w:ind w:left="2060"/>
        <w:spacing w:after="0"/>
        <w:rPr>
          <w:sz w:val="20"/>
          <w:szCs w:val="20"/>
          <w:color w:val="auto"/>
        </w:rPr>
      </w:pPr>
      <w:r>
        <w:rPr>
          <w:rFonts w:ascii="Arial" w:cs="Arial" w:eastAsia="Arial" w:hAnsi="Arial"/>
          <w:sz w:val="15"/>
          <w:szCs w:val="15"/>
          <w:b w:val="1"/>
          <w:bCs w:val="1"/>
          <w:color w:val="auto"/>
        </w:rPr>
        <w:t>New York</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13-3513936</w:t>
      </w:r>
    </w:p>
    <w:p>
      <w:pPr>
        <w:spacing w:after="0" w:line="29" w:lineRule="exact"/>
        <w:rPr>
          <w:sz w:val="24"/>
          <w:szCs w:val="24"/>
          <w:color w:val="auto"/>
        </w:rPr>
      </w:pPr>
    </w:p>
    <w:p>
      <w:pPr>
        <w:sectPr>
          <w:pgSz w:w="11900" w:h="16838" w:orient="portrait"/>
          <w:cols w:equalWidth="0" w:num="2">
            <w:col w:w="6120" w:space="720"/>
            <w:col w:w="2840"/>
          </w:cols>
          <w:pgMar w:left="1120" w:top="207" w:right="1099" w:bottom="1440" w:gutter="0" w:footer="0" w:header="0"/>
          <w:type w:val="continuous"/>
        </w:sectPr>
      </w:pPr>
    </w:p>
    <w:p>
      <w:pPr>
        <w:ind w:left="420"/>
        <w:spacing w:after="0"/>
        <w:rPr>
          <w:sz w:val="20"/>
          <w:szCs w:val="20"/>
          <w:color w:val="auto"/>
        </w:rPr>
      </w:pPr>
      <w:r>
        <w:rPr>
          <w:rFonts w:ascii="Arial" w:cs="Arial" w:eastAsia="Arial" w:hAnsi="Arial"/>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101" w:lineRule="exact"/>
        <w:rPr>
          <w:sz w:val="24"/>
          <w:szCs w:val="24"/>
          <w:color w:val="auto"/>
        </w:rPr>
      </w:pPr>
    </w:p>
    <w:p>
      <w:pPr>
        <w:sectPr>
          <w:pgSz w:w="11900" w:h="16838" w:orient="portrait"/>
          <w:cols w:equalWidth="0" w:num="2">
            <w:col w:w="5340" w:space="720"/>
            <w:col w:w="3620"/>
          </w:cols>
          <w:pgMar w:left="1120" w:top="207" w:right="1099" w:bottom="1440" w:gutter="0" w:footer="0" w:header="0"/>
          <w:type w:val="continuous"/>
        </w:sectPr>
      </w:pPr>
    </w:p>
    <w:p>
      <w:pPr>
        <w:ind w:left="3100"/>
        <w:spacing w:after="0"/>
        <w:rPr>
          <w:sz w:val="20"/>
          <w:szCs w:val="20"/>
          <w:color w:val="auto"/>
        </w:rPr>
      </w:pPr>
      <w:r>
        <w:rPr>
          <w:rFonts w:ascii="Arial" w:cs="Arial" w:eastAsia="Arial" w:hAnsi="Arial"/>
          <w:sz w:val="15"/>
          <w:szCs w:val="15"/>
          <w:b w:val="1"/>
          <w:bCs w:val="1"/>
          <w:color w:val="auto"/>
        </w:rPr>
        <w:t>330 West 34</w:t>
      </w:r>
      <w:r>
        <w:rPr>
          <w:rFonts w:ascii="Arial" w:cs="Arial" w:eastAsia="Arial" w:hAnsi="Arial"/>
          <w:sz w:val="8"/>
          <w:szCs w:val="8"/>
          <w:b w:val="1"/>
          <w:bCs w:val="1"/>
          <w:color w:val="auto"/>
        </w:rPr>
        <w:t>th</w:t>
      </w:r>
      <w:r>
        <w:rPr>
          <w:rFonts w:ascii="Arial" w:cs="Arial" w:eastAsia="Arial" w:hAnsi="Arial"/>
          <w:sz w:val="15"/>
          <w:szCs w:val="15"/>
          <w:b w:val="1"/>
          <w:bCs w:val="1"/>
          <w:color w:val="auto"/>
        </w:rPr>
        <w:t xml:space="preserve"> Street, New York, New York 10001</w:t>
      </w:r>
    </w:p>
    <w:p>
      <w:pPr>
        <w:spacing w:after="0" w:line="14" w:lineRule="exact"/>
        <w:rPr>
          <w:sz w:val="24"/>
          <w:szCs w:val="24"/>
          <w:color w:val="auto"/>
        </w:rPr>
      </w:pPr>
    </w:p>
    <w:p>
      <w:pPr>
        <w:ind w:left="3160"/>
        <w:spacing w:after="0"/>
        <w:rPr>
          <w:sz w:val="20"/>
          <w:szCs w:val="20"/>
          <w:color w:val="auto"/>
        </w:rPr>
      </w:pPr>
      <w:r>
        <w:rPr>
          <w:rFonts w:ascii="Arial" w:cs="Arial" w:eastAsia="Arial" w:hAnsi="Arial"/>
          <w:sz w:val="15"/>
          <w:szCs w:val="15"/>
          <w:color w:val="auto"/>
        </w:rPr>
        <w:t>(Address of principal executive offices, Zip Code)</w:t>
      </w:r>
    </w:p>
    <w:p>
      <w:pPr>
        <w:jc w:val="center"/>
        <w:spacing w:after="0" w:line="236" w:lineRule="auto"/>
        <w:rPr>
          <w:sz w:val="20"/>
          <w:szCs w:val="20"/>
          <w:color w:val="auto"/>
        </w:rPr>
      </w:pPr>
      <w:r>
        <w:rPr>
          <w:rFonts w:ascii="Arial" w:cs="Arial" w:eastAsia="Arial" w:hAnsi="Arial"/>
          <w:sz w:val="15"/>
          <w:szCs w:val="15"/>
          <w:b w:val="1"/>
          <w:bCs w:val="1"/>
          <w:color w:val="auto"/>
        </w:rPr>
        <w:t>(212-720-3700)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(Registrant’s telephone number, including area code)</w:t>
      </w:r>
    </w:p>
    <w:p>
      <w:pPr>
        <w:spacing w:after="0" w:line="224" w:lineRule="exact"/>
        <w:rPr>
          <w:sz w:val="24"/>
          <w:szCs w:val="24"/>
          <w:color w:val="auto"/>
        </w:rPr>
      </w:pPr>
    </w:p>
    <w:p>
      <w:pPr>
        <w:jc w:val="both"/>
        <w:spacing w:after="0" w:line="183"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p>
    <w:p>
      <w:pPr>
        <w:spacing w:after="0" w:line="11" w:lineRule="exact"/>
        <w:rPr>
          <w:sz w:val="24"/>
          <w:szCs w:val="24"/>
          <w:color w:val="auto"/>
        </w:rPr>
      </w:pPr>
    </w:p>
    <w:p>
      <w:pPr>
        <w:jc w:val="both"/>
        <w:spacing w:after="0" w:line="176" w:lineRule="exact"/>
        <w:rPr>
          <w:sz w:val="20"/>
          <w:szCs w:val="20"/>
          <w:color w:val="auto"/>
        </w:rPr>
      </w:pPr>
      <w:r>
        <w:rPr>
          <w:rFonts w:ascii="Arial" w:cs="Arial" w:eastAsia="Arial" w:hAnsi="Arial"/>
          <w:sz w:val="15"/>
          <w:szCs w:val="15"/>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jc w:val="both"/>
        <w:spacing w:after="0" w:line="245"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p>
      <w:pPr>
        <w:ind w:right="400"/>
        <w:spacing w:after="0" w:line="237"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5"/>
          <w:szCs w:val="15"/>
          <w:color w:val="auto"/>
        </w:rPr>
        <w:t xml:space="preserve"> Accelerated filer </w:t>
      </w:r>
      <w:r>
        <w:rPr>
          <w:rFonts w:ascii="MS PGothic" w:cs="MS PGothic" w:eastAsia="MS PGothic" w:hAnsi="MS PGothic"/>
          <w:sz w:val="16"/>
          <w:szCs w:val="16"/>
          <w:color w:val="auto"/>
        </w:rPr>
        <w:t>☐</w:t>
      </w:r>
      <w:r>
        <w:rPr>
          <w:rFonts w:ascii="Arial" w:cs="Arial" w:eastAsia="Arial" w:hAnsi="Arial"/>
          <w:sz w:val="15"/>
          <w:szCs w:val="15"/>
          <w:color w:val="auto"/>
        </w:rPr>
        <w:t xml:space="preserve"> Non-accelerated filer </w:t>
      </w:r>
      <w:r>
        <w:rPr>
          <w:rFonts w:ascii="MS PGothic" w:cs="MS PGothic" w:eastAsia="MS PGothic" w:hAnsi="MS PGothic"/>
          <w:sz w:val="16"/>
          <w:szCs w:val="16"/>
          <w:color w:val="auto"/>
        </w:rPr>
        <w:t>☐</w:t>
      </w:r>
      <w:r>
        <w:rPr>
          <w:rFonts w:ascii="Arial" w:cs="Arial" w:eastAsia="Arial" w:hAnsi="Arial"/>
          <w:sz w:val="15"/>
          <w:szCs w:val="15"/>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5"/>
          <w:szCs w:val="15"/>
          <w:color w:val="auto"/>
        </w:rPr>
        <w:t xml:space="preserve"> Emerging growth company </w:t>
      </w:r>
      <w:r>
        <w:rPr>
          <w:rFonts w:ascii="MS PGothic" w:cs="MS PGothic" w:eastAsia="MS PGothic" w:hAnsi="MS PGothic"/>
          <w:sz w:val="16"/>
          <w:szCs w:val="16"/>
          <w:color w:val="auto"/>
        </w:rPr>
        <w:t>☐</w:t>
      </w:r>
    </w:p>
    <w:p>
      <w:pPr>
        <w:spacing w:after="0" w:line="348" w:lineRule="exact"/>
        <w:rPr>
          <w:sz w:val="24"/>
          <w:szCs w:val="24"/>
          <w:color w:val="auto"/>
        </w:rPr>
      </w:pPr>
    </w:p>
    <w:p>
      <w:pPr>
        <w:spacing w:after="0" w:line="194"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47" w:lineRule="exact"/>
        <w:rPr>
          <w:sz w:val="24"/>
          <w:szCs w:val="24"/>
          <w:color w:val="auto"/>
        </w:rPr>
      </w:pPr>
    </w:p>
    <w:p>
      <w:pPr>
        <w:ind w:right="760"/>
        <w:spacing w:after="0" w:line="288"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r>
        <w:rPr>
          <w:rFonts w:ascii="Arial" w:cs="Arial" w:eastAsia="Arial" w:hAnsi="Arial"/>
          <w:sz w:val="15"/>
          <w:szCs w:val="15"/>
          <w:color w:val="auto"/>
        </w:rPr>
        <w:t xml:space="preserve"> Number of shares of Common Stock outstanding as of June 1, 2018: 116,909,047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591820</wp:posOffset>
            </wp:positionV>
            <wp:extent cx="6188710" cy="482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8710" cy="48260"/>
                    </a:xfrm>
                    <a:prstGeom prst="rect">
                      <a:avLst/>
                    </a:prstGeom>
                    <a:noFill/>
                  </pic:spPr>
                </pic:pic>
              </a:graphicData>
            </a:graphic>
          </wp:anchor>
        </w:drawing>
      </w:r>
    </w:p>
    <w:p>
      <w:pPr>
        <w:sectPr>
          <w:pgSz w:w="11900" w:h="16838" w:orient="portrait"/>
          <w:cols w:equalWidth="0" w:num="1">
            <w:col w:w="9680"/>
          </w:cols>
          <w:pgMar w:left="1120" w:top="207" w:right="109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TABLE OF CONTENTS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5"/>
                <w:szCs w:val="15"/>
                <w:color w:val="auto"/>
              </w:rPr>
              <w:t>Page</w:t>
            </w:r>
          </w:p>
        </w:tc>
      </w:tr>
      <w:tr>
        <w:trPr>
          <w:trHeight w:val="153"/>
        </w:trPr>
        <w:tc>
          <w:tcPr>
            <w:tcW w:w="100" w:type="dxa"/>
            <w:vAlign w:val="bottom"/>
            <w:shd w:val="clear" w:color="auto" w:fill="CCEEFF"/>
          </w:tcPr>
          <w:p>
            <w:pPr>
              <w:spacing w:after="0"/>
              <w:rPr>
                <w:sz w:val="13"/>
                <w:szCs w:val="13"/>
                <w:color w:val="auto"/>
              </w:rPr>
            </w:pPr>
          </w:p>
        </w:tc>
        <w:tc>
          <w:tcPr>
            <w:tcW w:w="1040" w:type="dxa"/>
            <w:vAlign w:val="bottom"/>
            <w:gridSpan w:val="5"/>
            <w:shd w:val="clear" w:color="auto" w:fill="CCEEFF"/>
          </w:tcPr>
          <w:p>
            <w:pPr>
              <w:spacing w:after="0" w:line="154" w:lineRule="exact"/>
              <w:rPr>
                <w:rFonts w:ascii="Arial" w:cs="Arial" w:eastAsia="Arial" w:hAnsi="Arial"/>
                <w:sz w:val="15"/>
                <w:szCs w:val="15"/>
                <w:color w:val="0000EE"/>
              </w:rPr>
            </w:pPr>
            <w:hyperlink w:anchor="page3">
              <w:r>
                <w:rPr>
                  <w:rFonts w:ascii="Arial" w:cs="Arial" w:eastAsia="Arial" w:hAnsi="Arial"/>
                  <w:sz w:val="15"/>
                  <w:szCs w:val="15"/>
                  <w:color w:val="0000EE"/>
                </w:rPr>
                <w:t>PART I</w:t>
              </w:r>
            </w:hyperlink>
          </w:p>
        </w:tc>
        <w:tc>
          <w:tcPr>
            <w:tcW w:w="7480" w:type="dxa"/>
            <w:vAlign w:val="bottom"/>
            <w:gridSpan w:val="20"/>
            <w:shd w:val="clear" w:color="auto" w:fill="CCEEFF"/>
          </w:tcPr>
          <w:p>
            <w:pPr>
              <w:ind w:left="180"/>
              <w:spacing w:after="0" w:line="154" w:lineRule="exact"/>
              <w:rPr>
                <w:rFonts w:ascii="Arial" w:cs="Arial" w:eastAsia="Arial" w:hAnsi="Arial"/>
                <w:sz w:val="15"/>
                <w:szCs w:val="15"/>
                <w:color w:val="0000EE"/>
              </w:rPr>
            </w:pPr>
            <w:hyperlink w:anchor="page3">
              <w:r>
                <w:rPr>
                  <w:rFonts w:ascii="Arial" w:cs="Arial" w:eastAsia="Arial" w:hAnsi="Arial"/>
                  <w:sz w:val="15"/>
                  <w:szCs w:val="15"/>
                  <w:color w:val="0000EE"/>
                </w:rPr>
                <w:t>FINANCIAL INFORMATION</w:t>
              </w:r>
            </w:hyperlink>
          </w:p>
        </w:tc>
        <w:tc>
          <w:tcPr>
            <w:tcW w:w="7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r>
      <w:tr>
        <w:trPr>
          <w:trHeight w:val="29"/>
        </w:trPr>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r>
      <w:tr>
        <w:trPr>
          <w:trHeight w:val="146"/>
        </w:trPr>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6"/>
          </w:tcPr>
          <w:p>
            <w:pPr>
              <w:ind w:left="180"/>
              <w:spacing w:after="0" w:line="146" w:lineRule="exact"/>
              <w:rPr>
                <w:rFonts w:ascii="Arial" w:cs="Arial" w:eastAsia="Arial" w:hAnsi="Arial"/>
                <w:sz w:val="15"/>
                <w:szCs w:val="15"/>
                <w:color w:val="0000EE"/>
              </w:rPr>
            </w:pPr>
            <w:hyperlink w:anchor="page3">
              <w:r>
                <w:rPr>
                  <w:rFonts w:ascii="Arial" w:cs="Arial" w:eastAsia="Arial" w:hAnsi="Arial"/>
                  <w:sz w:val="15"/>
                  <w:szCs w:val="15"/>
                  <w:color w:val="0000EE"/>
                </w:rPr>
                <w:t>Item 1.</w:t>
              </w:r>
            </w:hyperlink>
          </w:p>
        </w:tc>
        <w:tc>
          <w:tcPr>
            <w:tcW w:w="6080" w:type="dxa"/>
            <w:vAlign w:val="bottom"/>
            <w:gridSpan w:val="14"/>
          </w:tcPr>
          <w:p>
            <w:pPr>
              <w:spacing w:after="0" w:line="146" w:lineRule="exact"/>
              <w:rPr>
                <w:rFonts w:ascii="Arial" w:cs="Arial" w:eastAsia="Arial" w:hAnsi="Arial"/>
                <w:sz w:val="15"/>
                <w:szCs w:val="15"/>
                <w:color w:val="0000EE"/>
              </w:rPr>
            </w:pPr>
            <w:hyperlink w:anchor="page3">
              <w:r>
                <w:rPr>
                  <w:rFonts w:ascii="Arial" w:cs="Arial" w:eastAsia="Arial" w:hAnsi="Arial"/>
                  <w:sz w:val="15"/>
                  <w:szCs w:val="15"/>
                  <w:color w:val="0000EE"/>
                </w:rPr>
                <w:t>Financial Statements</w:t>
              </w:r>
            </w:hyperlink>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8"/>
        </w:trPr>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183"/>
        </w:trPr>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2880" w:type="dxa"/>
            <w:vAlign w:val="bottom"/>
            <w:tcBorders>
              <w:bottom w:val="single" w:sz="8" w:color="0000EE"/>
            </w:tcBorders>
            <w:gridSpan w:val="8"/>
            <w:shd w:val="clear" w:color="auto" w:fill="CCEEFF"/>
          </w:tcPr>
          <w:p>
            <w:pPr>
              <w:spacing w:after="0" w:line="154" w:lineRule="exact"/>
              <w:rPr>
                <w:rFonts w:ascii="Arial" w:cs="Arial" w:eastAsia="Arial" w:hAnsi="Arial"/>
                <w:sz w:val="15"/>
                <w:szCs w:val="15"/>
                <w:color w:val="0000EE"/>
              </w:rPr>
            </w:pPr>
            <w:hyperlink w:anchor="page3">
              <w:r>
                <w:rPr>
                  <w:rFonts w:ascii="Arial" w:cs="Arial" w:eastAsia="Arial" w:hAnsi="Arial"/>
                  <w:sz w:val="15"/>
                  <w:szCs w:val="15"/>
                  <w:color w:val="0000EE"/>
                </w:rPr>
                <w:t>Condensed Consolidated Balance Sheets</w:t>
              </w:r>
            </w:hyperlink>
          </w:p>
        </w:tc>
        <w:tc>
          <w:tcPr>
            <w:tcW w:w="3200" w:type="dxa"/>
            <w:vAlign w:val="bottom"/>
            <w:tcBorders>
              <w:bottom w:val="single" w:sz="8" w:color="CCEEFF"/>
            </w:tcBorders>
            <w:gridSpan w:val="6"/>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40"/>
              <w:spacing w:after="0" w:line="154" w:lineRule="exact"/>
              <w:rPr>
                <w:sz w:val="20"/>
                <w:szCs w:val="20"/>
                <w:color w:val="auto"/>
              </w:rPr>
            </w:pPr>
            <w:r>
              <w:rPr>
                <w:rFonts w:ascii="Arial" w:cs="Arial" w:eastAsia="Arial" w:hAnsi="Arial"/>
                <w:sz w:val="15"/>
                <w:szCs w:val="15"/>
                <w:color w:val="auto"/>
              </w:rPr>
              <w:t>1</w:t>
            </w:r>
          </w:p>
        </w:tc>
      </w:tr>
      <w:tr>
        <w:trPr>
          <w:trHeight w:val="146"/>
        </w:trPr>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80" w:type="dxa"/>
            <w:vAlign w:val="bottom"/>
            <w:gridSpan w:val="14"/>
          </w:tcPr>
          <w:p>
            <w:pPr>
              <w:spacing w:after="0" w:line="146" w:lineRule="exact"/>
              <w:rPr>
                <w:rFonts w:ascii="Arial" w:cs="Arial" w:eastAsia="Arial" w:hAnsi="Arial"/>
                <w:sz w:val="15"/>
                <w:szCs w:val="15"/>
                <w:color w:val="0000EE"/>
              </w:rPr>
            </w:pPr>
            <w:hyperlink w:anchor="page4">
              <w:r>
                <w:rPr>
                  <w:rFonts w:ascii="Arial" w:cs="Arial" w:eastAsia="Arial" w:hAnsi="Arial"/>
                  <w:sz w:val="15"/>
                  <w:szCs w:val="15"/>
                  <w:color w:val="0000EE"/>
                </w:rPr>
                <w:t>Condensed Consolidated Statements of Operations</w:t>
              </w:r>
            </w:hyperlink>
          </w:p>
        </w:tc>
        <w:tc>
          <w:tcPr>
            <w:tcW w:w="1060" w:type="dxa"/>
            <w:vAlign w:val="bottom"/>
            <w:gridSpan w:val="2"/>
          </w:tcPr>
          <w:p>
            <w:pPr>
              <w:jc w:val="right"/>
              <w:ind w:right="40"/>
              <w:spacing w:after="0" w:line="146" w:lineRule="exact"/>
              <w:rPr>
                <w:sz w:val="20"/>
                <w:szCs w:val="20"/>
                <w:color w:val="auto"/>
              </w:rPr>
            </w:pPr>
            <w:r>
              <w:rPr>
                <w:rFonts w:ascii="Arial" w:cs="Arial" w:eastAsia="Arial" w:hAnsi="Arial"/>
                <w:sz w:val="15"/>
                <w:szCs w:val="15"/>
                <w:color w:val="auto"/>
              </w:rPr>
              <w:t>2</w:t>
            </w:r>
          </w:p>
        </w:tc>
      </w:tr>
      <w:tr>
        <w:trPr>
          <w:trHeight w:val="29"/>
        </w:trPr>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14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175"/>
        </w:trPr>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80" w:type="dxa"/>
            <w:vAlign w:val="bottom"/>
            <w:gridSpan w:val="14"/>
            <w:shd w:val="clear" w:color="auto" w:fill="CCEEFF"/>
          </w:tcPr>
          <w:p>
            <w:pPr>
              <w:spacing w:after="0" w:line="146" w:lineRule="exact"/>
              <w:rPr>
                <w:rFonts w:ascii="Arial" w:cs="Arial" w:eastAsia="Arial" w:hAnsi="Arial"/>
                <w:sz w:val="15"/>
                <w:szCs w:val="15"/>
                <w:color w:val="0000EE"/>
              </w:rPr>
            </w:pPr>
            <w:hyperlink w:anchor="page5">
              <w:r>
                <w:rPr>
                  <w:rFonts w:ascii="Arial" w:cs="Arial" w:eastAsia="Arial" w:hAnsi="Arial"/>
                  <w:sz w:val="15"/>
                  <w:szCs w:val="15"/>
                  <w:color w:val="0000EE"/>
                </w:rPr>
                <w:t>Condensed Consolidated Statements of Comprehensive Income</w:t>
              </w:r>
            </w:hyperlink>
          </w:p>
        </w:tc>
        <w:tc>
          <w:tcPr>
            <w:tcW w:w="106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5"/>
                <w:szCs w:val="15"/>
                <w:color w:val="auto"/>
              </w:rPr>
              <w:t>3</w:t>
            </w:r>
          </w:p>
        </w:tc>
      </w:tr>
      <w:tr>
        <w:trPr>
          <w:trHeight w:val="146"/>
        </w:trPr>
        <w:tc>
          <w:tcPr>
            <w:tcW w:w="10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4380" w:type="dxa"/>
            <w:vAlign w:val="bottom"/>
            <w:tcBorders>
              <w:top w:val="single" w:sz="8" w:color="0000EE"/>
            </w:tcBorders>
            <w:gridSpan w:val="13"/>
          </w:tcPr>
          <w:p>
            <w:pPr>
              <w:spacing w:after="0" w:line="146" w:lineRule="exact"/>
              <w:rPr>
                <w:rFonts w:ascii="Arial" w:cs="Arial" w:eastAsia="Arial" w:hAnsi="Arial"/>
                <w:sz w:val="15"/>
                <w:szCs w:val="15"/>
                <w:color w:val="0000EE"/>
              </w:rPr>
            </w:pPr>
            <w:hyperlink w:anchor="page6">
              <w:r>
                <w:rPr>
                  <w:rFonts w:ascii="Arial" w:cs="Arial" w:eastAsia="Arial" w:hAnsi="Arial"/>
                  <w:sz w:val="15"/>
                  <w:szCs w:val="15"/>
                  <w:color w:val="0000EE"/>
                </w:rPr>
                <w:t>Condensed Consolidated Statements of Cash Flows</w:t>
              </w:r>
            </w:hyperlink>
          </w:p>
        </w:tc>
        <w:tc>
          <w:tcPr>
            <w:tcW w:w="1700" w:type="dxa"/>
            <w:vAlign w:val="bottom"/>
            <w:tcBorders>
              <w:top w:val="single" w:sz="8" w:color="CCEEFF"/>
            </w:tcBorders>
          </w:tcPr>
          <w:p>
            <w:pPr>
              <w:spacing w:after="0"/>
              <w:rPr>
                <w:sz w:val="12"/>
                <w:szCs w:val="12"/>
                <w:color w:val="auto"/>
              </w:rPr>
            </w:pPr>
          </w:p>
        </w:tc>
        <w:tc>
          <w:tcPr>
            <w:tcW w:w="1060" w:type="dxa"/>
            <w:vAlign w:val="bottom"/>
            <w:tcBorders>
              <w:top w:val="single" w:sz="8" w:color="CCEEFF"/>
            </w:tcBorders>
            <w:gridSpan w:val="2"/>
          </w:tcPr>
          <w:p>
            <w:pPr>
              <w:jc w:val="right"/>
              <w:ind w:right="40"/>
              <w:spacing w:after="0" w:line="146" w:lineRule="exact"/>
              <w:rPr>
                <w:sz w:val="20"/>
                <w:szCs w:val="20"/>
                <w:color w:val="auto"/>
              </w:rPr>
            </w:pPr>
            <w:r>
              <w:rPr>
                <w:rFonts w:ascii="Arial" w:cs="Arial" w:eastAsia="Arial" w:hAnsi="Arial"/>
                <w:sz w:val="15"/>
                <w:szCs w:val="15"/>
                <w:color w:val="auto"/>
              </w:rPr>
              <w:t>4</w:t>
            </w:r>
          </w:p>
        </w:tc>
      </w:tr>
      <w:tr>
        <w:trPr>
          <w:trHeight w:val="29"/>
        </w:trPr>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14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175"/>
        </w:trPr>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3860" w:type="dxa"/>
            <w:vAlign w:val="bottom"/>
            <w:tcBorders>
              <w:bottom w:val="single" w:sz="8" w:color="0000EE"/>
            </w:tcBorders>
            <w:gridSpan w:val="11"/>
            <w:shd w:val="clear" w:color="auto" w:fill="CCEEFF"/>
          </w:tcPr>
          <w:p>
            <w:pPr>
              <w:spacing w:after="0" w:line="146" w:lineRule="exact"/>
              <w:rPr>
                <w:rFonts w:ascii="Arial" w:cs="Arial" w:eastAsia="Arial" w:hAnsi="Arial"/>
                <w:sz w:val="15"/>
                <w:szCs w:val="15"/>
                <w:color w:val="0000EE"/>
              </w:rPr>
            </w:pPr>
            <w:hyperlink w:anchor="page7">
              <w:r>
                <w:rPr>
                  <w:rFonts w:ascii="Arial" w:cs="Arial" w:eastAsia="Arial" w:hAnsi="Arial"/>
                  <w:sz w:val="15"/>
                  <w:szCs w:val="15"/>
                  <w:color w:val="0000EE"/>
                </w:rPr>
                <w:t>Notes to Condensed Consolidated Financial Statements</w:t>
              </w:r>
            </w:hyperlink>
          </w:p>
        </w:tc>
        <w:tc>
          <w:tcPr>
            <w:tcW w:w="2220" w:type="dxa"/>
            <w:vAlign w:val="bottom"/>
            <w:tcBorders>
              <w:bottom w:val="single" w:sz="8" w:color="CCEEFF"/>
            </w:tcBorders>
            <w:gridSpan w:val="3"/>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40"/>
              <w:spacing w:after="0" w:line="146" w:lineRule="exact"/>
              <w:rPr>
                <w:sz w:val="20"/>
                <w:szCs w:val="20"/>
                <w:color w:val="auto"/>
              </w:rPr>
            </w:pPr>
            <w:r>
              <w:rPr>
                <w:rFonts w:ascii="Arial" w:cs="Arial" w:eastAsia="Arial" w:hAnsi="Arial"/>
                <w:sz w:val="15"/>
                <w:szCs w:val="15"/>
                <w:color w:val="auto"/>
              </w:rPr>
              <w:t>5</w:t>
            </w:r>
          </w:p>
        </w:tc>
      </w:tr>
      <w:tr>
        <w:trPr>
          <w:trHeight w:val="146"/>
        </w:trPr>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6"/>
          </w:tcPr>
          <w:p>
            <w:pPr>
              <w:ind w:left="180"/>
              <w:spacing w:after="0" w:line="146" w:lineRule="exact"/>
              <w:rPr>
                <w:rFonts w:ascii="Arial" w:cs="Arial" w:eastAsia="Arial" w:hAnsi="Arial"/>
                <w:sz w:val="15"/>
                <w:szCs w:val="15"/>
                <w:color w:val="0000EE"/>
              </w:rPr>
            </w:pPr>
            <w:hyperlink w:anchor="page18">
              <w:r>
                <w:rPr>
                  <w:rFonts w:ascii="Arial" w:cs="Arial" w:eastAsia="Arial" w:hAnsi="Arial"/>
                  <w:sz w:val="15"/>
                  <w:szCs w:val="15"/>
                  <w:color w:val="0000EE"/>
                </w:rPr>
                <w:t>Item 2.</w:t>
              </w:r>
            </w:hyperlink>
          </w:p>
        </w:tc>
        <w:tc>
          <w:tcPr>
            <w:tcW w:w="6080" w:type="dxa"/>
            <w:vAlign w:val="bottom"/>
            <w:gridSpan w:val="14"/>
          </w:tcPr>
          <w:p>
            <w:pPr>
              <w:spacing w:after="0" w:line="146" w:lineRule="exact"/>
              <w:rPr>
                <w:rFonts w:ascii="Arial" w:cs="Arial" w:eastAsia="Arial" w:hAnsi="Arial"/>
                <w:sz w:val="15"/>
                <w:szCs w:val="15"/>
                <w:color w:val="0000EE"/>
              </w:rPr>
            </w:pPr>
            <w:hyperlink w:anchor="page18">
              <w:r>
                <w:rPr>
                  <w:rFonts w:ascii="Arial" w:cs="Arial" w:eastAsia="Arial" w:hAnsi="Arial"/>
                  <w:sz w:val="15"/>
                  <w:szCs w:val="15"/>
                  <w:color w:val="0000EE"/>
                </w:rPr>
                <w:t>Management’s Discussion and Analysis of Financial Condition and Results of Operations</w:t>
              </w:r>
            </w:hyperlink>
          </w:p>
        </w:tc>
        <w:tc>
          <w:tcPr>
            <w:tcW w:w="1060" w:type="dxa"/>
            <w:vAlign w:val="bottom"/>
            <w:gridSpan w:val="2"/>
          </w:tcPr>
          <w:p>
            <w:pPr>
              <w:jc w:val="right"/>
              <w:ind w:right="40"/>
              <w:spacing w:after="0" w:line="146" w:lineRule="exact"/>
              <w:rPr>
                <w:sz w:val="20"/>
                <w:szCs w:val="20"/>
                <w:color w:val="auto"/>
              </w:rPr>
            </w:pPr>
            <w:r>
              <w:rPr>
                <w:rFonts w:ascii="Arial" w:cs="Arial" w:eastAsia="Arial" w:hAnsi="Arial"/>
                <w:sz w:val="15"/>
                <w:szCs w:val="15"/>
                <w:color w:val="auto"/>
              </w:rPr>
              <w:t>16</w:t>
            </w:r>
          </w:p>
        </w:tc>
      </w:tr>
      <w:tr>
        <w:trPr>
          <w:trHeight w:val="235"/>
        </w:trPr>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1140" w:type="dxa"/>
            <w:vAlign w:val="bottom"/>
            <w:tcBorders>
              <w:top w:val="single" w:sz="8" w:color="0000EE"/>
            </w:tcBorders>
          </w:tcPr>
          <w:p>
            <w:pPr>
              <w:spacing w:after="0"/>
              <w:rPr>
                <w:sz w:val="20"/>
                <w:szCs w:val="20"/>
                <w:color w:val="auto"/>
              </w:rPr>
            </w:pPr>
          </w:p>
        </w:tc>
        <w:tc>
          <w:tcPr>
            <w:tcW w:w="6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700" w:type="dxa"/>
            <w:vAlign w:val="bottom"/>
            <w:tcBorders>
              <w:top w:val="single" w:sz="8" w:color="0000EE"/>
            </w:tcBorders>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175"/>
        </w:trPr>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gridSpan w:val="6"/>
            <w:shd w:val="clear" w:color="auto" w:fill="CCEEFF"/>
          </w:tcPr>
          <w:p>
            <w:pPr>
              <w:ind w:left="180"/>
              <w:spacing w:after="0" w:line="146" w:lineRule="exact"/>
              <w:rPr>
                <w:rFonts w:ascii="Arial" w:cs="Arial" w:eastAsia="Arial" w:hAnsi="Arial"/>
                <w:sz w:val="15"/>
                <w:szCs w:val="15"/>
                <w:color w:val="0000EE"/>
              </w:rPr>
            </w:pPr>
            <w:hyperlink w:anchor="page25">
              <w:r>
                <w:rPr>
                  <w:rFonts w:ascii="Arial" w:cs="Arial" w:eastAsia="Arial" w:hAnsi="Arial"/>
                  <w:sz w:val="15"/>
                  <w:szCs w:val="15"/>
                  <w:color w:val="0000EE"/>
                </w:rPr>
                <w:t>Item 4.</w:t>
              </w:r>
            </w:hyperlink>
          </w:p>
        </w:tc>
        <w:tc>
          <w:tcPr>
            <w:tcW w:w="6080" w:type="dxa"/>
            <w:vAlign w:val="bottom"/>
            <w:gridSpan w:val="14"/>
            <w:shd w:val="clear" w:color="auto" w:fill="CCEEFF"/>
          </w:tcPr>
          <w:p>
            <w:pPr>
              <w:spacing w:after="0" w:line="146" w:lineRule="exact"/>
              <w:rPr>
                <w:rFonts w:ascii="Arial" w:cs="Arial" w:eastAsia="Arial" w:hAnsi="Arial"/>
                <w:sz w:val="15"/>
                <w:szCs w:val="15"/>
                <w:color w:val="0000EE"/>
              </w:rPr>
            </w:pPr>
            <w:hyperlink w:anchor="page25">
              <w:r>
                <w:rPr>
                  <w:rFonts w:ascii="Arial" w:cs="Arial" w:eastAsia="Arial" w:hAnsi="Arial"/>
                  <w:sz w:val="15"/>
                  <w:szCs w:val="15"/>
                  <w:color w:val="0000EE"/>
                </w:rPr>
                <w:t>Controls and Procedures</w:t>
              </w:r>
            </w:hyperlink>
          </w:p>
        </w:tc>
        <w:tc>
          <w:tcPr>
            <w:tcW w:w="106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5"/>
                <w:szCs w:val="15"/>
                <w:color w:val="auto"/>
              </w:rPr>
              <w:t>23</w:t>
            </w:r>
          </w:p>
        </w:tc>
      </w:tr>
      <w:tr>
        <w:trPr>
          <w:trHeight w:val="195"/>
        </w:trPr>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70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r>
      <w:tr>
        <w:trPr>
          <w:trHeight w:val="146"/>
        </w:trPr>
        <w:tc>
          <w:tcPr>
            <w:tcW w:w="100" w:type="dxa"/>
            <w:vAlign w:val="bottom"/>
            <w:shd w:val="clear" w:color="auto" w:fill="CCEEFF"/>
          </w:tcPr>
          <w:p>
            <w:pPr>
              <w:spacing w:after="0"/>
              <w:rPr>
                <w:sz w:val="12"/>
                <w:szCs w:val="12"/>
                <w:color w:val="auto"/>
              </w:rPr>
            </w:pPr>
          </w:p>
        </w:tc>
        <w:tc>
          <w:tcPr>
            <w:tcW w:w="1040" w:type="dxa"/>
            <w:vAlign w:val="bottom"/>
            <w:gridSpan w:val="5"/>
            <w:shd w:val="clear" w:color="auto" w:fill="CCEEFF"/>
          </w:tcPr>
          <w:p>
            <w:pPr>
              <w:spacing w:after="0" w:line="146" w:lineRule="exact"/>
              <w:rPr>
                <w:rFonts w:ascii="Arial" w:cs="Arial" w:eastAsia="Arial" w:hAnsi="Arial"/>
                <w:sz w:val="15"/>
                <w:szCs w:val="15"/>
                <w:color w:val="0000EE"/>
              </w:rPr>
            </w:pPr>
            <w:hyperlink w:anchor="page26">
              <w:r>
                <w:rPr>
                  <w:rFonts w:ascii="Arial" w:cs="Arial" w:eastAsia="Arial" w:hAnsi="Arial"/>
                  <w:sz w:val="15"/>
                  <w:szCs w:val="15"/>
                  <w:color w:val="0000EE"/>
                </w:rPr>
                <w:t>PART II</w:t>
              </w:r>
            </w:hyperlink>
          </w:p>
        </w:tc>
        <w:tc>
          <w:tcPr>
            <w:tcW w:w="7480" w:type="dxa"/>
            <w:vAlign w:val="bottom"/>
            <w:gridSpan w:val="20"/>
            <w:shd w:val="clear" w:color="auto" w:fill="CCEEFF"/>
          </w:tcPr>
          <w:p>
            <w:pPr>
              <w:ind w:left="180"/>
              <w:spacing w:after="0" w:line="146" w:lineRule="exact"/>
              <w:rPr>
                <w:rFonts w:ascii="Arial" w:cs="Arial" w:eastAsia="Arial" w:hAnsi="Arial"/>
                <w:sz w:val="15"/>
                <w:szCs w:val="15"/>
                <w:color w:val="0000EE"/>
              </w:rPr>
            </w:pPr>
            <w:hyperlink w:anchor="page26">
              <w:r>
                <w:rPr>
                  <w:rFonts w:ascii="Arial" w:cs="Arial" w:eastAsia="Arial" w:hAnsi="Arial"/>
                  <w:sz w:val="15"/>
                  <w:szCs w:val="15"/>
                  <w:color w:val="0000EE"/>
                </w:rPr>
                <w:t>OTHER INFORMATION</w:t>
              </w:r>
            </w:hyperlink>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r>
      <w:tr>
        <w:trPr>
          <w:trHeight w:val="29"/>
        </w:trPr>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r>
      <w:tr>
        <w:trPr>
          <w:trHeight w:val="146"/>
        </w:trPr>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6"/>
          </w:tcPr>
          <w:p>
            <w:pPr>
              <w:ind w:left="180"/>
              <w:spacing w:after="0" w:line="146" w:lineRule="exact"/>
              <w:rPr>
                <w:rFonts w:ascii="Arial" w:cs="Arial" w:eastAsia="Arial" w:hAnsi="Arial"/>
                <w:sz w:val="15"/>
                <w:szCs w:val="15"/>
                <w:color w:val="0000EE"/>
              </w:rPr>
            </w:pPr>
            <w:hyperlink w:anchor="page26">
              <w:r>
                <w:rPr>
                  <w:rFonts w:ascii="Arial" w:cs="Arial" w:eastAsia="Arial" w:hAnsi="Arial"/>
                  <w:sz w:val="15"/>
                  <w:szCs w:val="15"/>
                  <w:color w:val="0000EE"/>
                </w:rPr>
                <w:t>Item 1.</w:t>
              </w:r>
            </w:hyperlink>
          </w:p>
        </w:tc>
        <w:tc>
          <w:tcPr>
            <w:tcW w:w="6080" w:type="dxa"/>
            <w:vAlign w:val="bottom"/>
            <w:gridSpan w:val="14"/>
          </w:tcPr>
          <w:p>
            <w:pPr>
              <w:spacing w:after="0" w:line="146" w:lineRule="exact"/>
              <w:rPr>
                <w:rFonts w:ascii="Arial" w:cs="Arial" w:eastAsia="Arial" w:hAnsi="Arial"/>
                <w:sz w:val="15"/>
                <w:szCs w:val="15"/>
                <w:color w:val="0000EE"/>
              </w:rPr>
            </w:pPr>
            <w:hyperlink w:anchor="page26">
              <w:r>
                <w:rPr>
                  <w:rFonts w:ascii="Arial" w:cs="Arial" w:eastAsia="Arial" w:hAnsi="Arial"/>
                  <w:sz w:val="15"/>
                  <w:szCs w:val="15"/>
                  <w:color w:val="0000EE"/>
                </w:rPr>
                <w:t>Legal Proceedings</w:t>
              </w:r>
            </w:hyperlink>
          </w:p>
        </w:tc>
        <w:tc>
          <w:tcPr>
            <w:tcW w:w="1060" w:type="dxa"/>
            <w:vAlign w:val="bottom"/>
            <w:gridSpan w:val="2"/>
          </w:tcPr>
          <w:p>
            <w:pPr>
              <w:jc w:val="right"/>
              <w:ind w:right="40"/>
              <w:spacing w:after="0" w:line="146" w:lineRule="exact"/>
              <w:rPr>
                <w:sz w:val="20"/>
                <w:szCs w:val="20"/>
                <w:color w:val="auto"/>
              </w:rPr>
            </w:pPr>
            <w:r>
              <w:rPr>
                <w:rFonts w:ascii="Arial" w:cs="Arial" w:eastAsia="Arial" w:hAnsi="Arial"/>
                <w:sz w:val="15"/>
                <w:szCs w:val="15"/>
                <w:color w:val="auto"/>
              </w:rPr>
              <w:t>24</w:t>
            </w:r>
          </w:p>
        </w:tc>
      </w:tr>
      <w:tr>
        <w:trPr>
          <w:trHeight w:val="29"/>
        </w:trPr>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146"/>
        </w:trPr>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0" w:type="dxa"/>
            <w:vAlign w:val="bottom"/>
            <w:gridSpan w:val="6"/>
            <w:shd w:val="clear" w:color="auto" w:fill="CCEEFF"/>
          </w:tcPr>
          <w:p>
            <w:pPr>
              <w:ind w:left="180"/>
              <w:spacing w:after="0" w:line="146" w:lineRule="exact"/>
              <w:rPr>
                <w:rFonts w:ascii="Arial" w:cs="Arial" w:eastAsia="Arial" w:hAnsi="Arial"/>
                <w:sz w:val="15"/>
                <w:szCs w:val="15"/>
                <w:color w:val="0000EE"/>
              </w:rPr>
            </w:pPr>
            <w:hyperlink w:anchor="page26">
              <w:r>
                <w:rPr>
                  <w:rFonts w:ascii="Arial" w:cs="Arial" w:eastAsia="Arial" w:hAnsi="Arial"/>
                  <w:sz w:val="15"/>
                  <w:szCs w:val="15"/>
                  <w:color w:val="0000EE"/>
                </w:rPr>
                <w:t>Item 1A.</w:t>
              </w:r>
            </w:hyperlink>
          </w:p>
        </w:tc>
        <w:tc>
          <w:tcPr>
            <w:tcW w:w="6080" w:type="dxa"/>
            <w:vAlign w:val="bottom"/>
            <w:gridSpan w:val="14"/>
            <w:shd w:val="clear" w:color="auto" w:fill="CCEEFF"/>
          </w:tcPr>
          <w:p>
            <w:pPr>
              <w:spacing w:after="0" w:line="146" w:lineRule="exact"/>
              <w:rPr>
                <w:rFonts w:ascii="Arial" w:cs="Arial" w:eastAsia="Arial" w:hAnsi="Arial"/>
                <w:sz w:val="15"/>
                <w:szCs w:val="15"/>
                <w:color w:val="0000EE"/>
              </w:rPr>
            </w:pPr>
            <w:hyperlink w:anchor="page26">
              <w:r>
                <w:rPr>
                  <w:rFonts w:ascii="Arial" w:cs="Arial" w:eastAsia="Arial" w:hAnsi="Arial"/>
                  <w:sz w:val="15"/>
                  <w:szCs w:val="15"/>
                  <w:color w:val="0000EE"/>
                </w:rPr>
                <w:t>Risk Factors</w:t>
              </w:r>
            </w:hyperlink>
          </w:p>
        </w:tc>
        <w:tc>
          <w:tcPr>
            <w:tcW w:w="106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5"/>
                <w:szCs w:val="15"/>
                <w:color w:val="auto"/>
              </w:rPr>
              <w:t>24</w:t>
            </w:r>
          </w:p>
        </w:tc>
      </w:tr>
      <w:tr>
        <w:trPr>
          <w:trHeight w:val="29"/>
        </w:trPr>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r>
      <w:tr>
        <w:trPr>
          <w:trHeight w:val="146"/>
        </w:trPr>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6"/>
          </w:tcPr>
          <w:p>
            <w:pPr>
              <w:ind w:left="180"/>
              <w:spacing w:after="0" w:line="146" w:lineRule="exact"/>
              <w:rPr>
                <w:rFonts w:ascii="Arial" w:cs="Arial" w:eastAsia="Arial" w:hAnsi="Arial"/>
                <w:sz w:val="15"/>
                <w:szCs w:val="15"/>
                <w:color w:val="0000EE"/>
              </w:rPr>
            </w:pPr>
            <w:hyperlink w:anchor="page26">
              <w:r>
                <w:rPr>
                  <w:rFonts w:ascii="Arial" w:cs="Arial" w:eastAsia="Arial" w:hAnsi="Arial"/>
                  <w:sz w:val="15"/>
                  <w:szCs w:val="15"/>
                  <w:color w:val="0000EE"/>
                </w:rPr>
                <w:t>Item 2.</w:t>
              </w:r>
            </w:hyperlink>
          </w:p>
        </w:tc>
        <w:tc>
          <w:tcPr>
            <w:tcW w:w="6080" w:type="dxa"/>
            <w:vAlign w:val="bottom"/>
            <w:gridSpan w:val="14"/>
          </w:tcPr>
          <w:p>
            <w:pPr>
              <w:spacing w:after="0" w:line="146" w:lineRule="exact"/>
              <w:rPr>
                <w:rFonts w:ascii="Arial" w:cs="Arial" w:eastAsia="Arial" w:hAnsi="Arial"/>
                <w:sz w:val="15"/>
                <w:szCs w:val="15"/>
                <w:color w:val="0000EE"/>
              </w:rPr>
            </w:pPr>
            <w:hyperlink w:anchor="page26">
              <w:r>
                <w:rPr>
                  <w:rFonts w:ascii="Arial" w:cs="Arial" w:eastAsia="Arial" w:hAnsi="Arial"/>
                  <w:sz w:val="15"/>
                  <w:szCs w:val="15"/>
                  <w:color w:val="0000EE"/>
                </w:rPr>
                <w:t>Unregistered Sales of Equity Securities and Use of Proceeds</w:t>
              </w:r>
            </w:hyperlink>
          </w:p>
        </w:tc>
        <w:tc>
          <w:tcPr>
            <w:tcW w:w="1060" w:type="dxa"/>
            <w:vAlign w:val="bottom"/>
            <w:gridSpan w:val="2"/>
          </w:tcPr>
          <w:p>
            <w:pPr>
              <w:jc w:val="right"/>
              <w:ind w:right="40"/>
              <w:spacing w:after="0" w:line="146" w:lineRule="exact"/>
              <w:rPr>
                <w:sz w:val="20"/>
                <w:szCs w:val="20"/>
                <w:color w:val="auto"/>
              </w:rPr>
            </w:pPr>
            <w:r>
              <w:rPr>
                <w:rFonts w:ascii="Arial" w:cs="Arial" w:eastAsia="Arial" w:hAnsi="Arial"/>
                <w:sz w:val="15"/>
                <w:szCs w:val="15"/>
                <w:color w:val="auto"/>
              </w:rPr>
              <w:t>24</w:t>
            </w:r>
          </w:p>
        </w:tc>
      </w:tr>
      <w:tr>
        <w:trPr>
          <w:trHeight w:val="29"/>
        </w:trPr>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14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175"/>
        </w:trPr>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gridSpan w:val="6"/>
            <w:shd w:val="clear" w:color="auto" w:fill="CCEEFF"/>
          </w:tcPr>
          <w:p>
            <w:pPr>
              <w:ind w:left="180"/>
              <w:spacing w:after="0" w:line="146" w:lineRule="exact"/>
              <w:rPr>
                <w:rFonts w:ascii="Arial" w:cs="Arial" w:eastAsia="Arial" w:hAnsi="Arial"/>
                <w:sz w:val="15"/>
                <w:szCs w:val="15"/>
                <w:color w:val="0000EE"/>
              </w:rPr>
            </w:pPr>
            <w:hyperlink w:anchor="page26">
              <w:r>
                <w:rPr>
                  <w:rFonts w:ascii="Arial" w:cs="Arial" w:eastAsia="Arial" w:hAnsi="Arial"/>
                  <w:sz w:val="15"/>
                  <w:szCs w:val="15"/>
                  <w:color w:val="0000EE"/>
                </w:rPr>
                <w:t>Item 6.</w:t>
              </w:r>
            </w:hyperlink>
          </w:p>
        </w:tc>
        <w:tc>
          <w:tcPr>
            <w:tcW w:w="6080" w:type="dxa"/>
            <w:vAlign w:val="bottom"/>
            <w:gridSpan w:val="14"/>
            <w:shd w:val="clear" w:color="auto" w:fill="CCEEFF"/>
          </w:tcPr>
          <w:p>
            <w:pPr>
              <w:spacing w:after="0" w:line="146" w:lineRule="exact"/>
              <w:rPr>
                <w:rFonts w:ascii="Arial" w:cs="Arial" w:eastAsia="Arial" w:hAnsi="Arial"/>
                <w:sz w:val="15"/>
                <w:szCs w:val="15"/>
                <w:color w:val="0000EE"/>
              </w:rPr>
            </w:pPr>
            <w:hyperlink w:anchor="page26">
              <w:r>
                <w:rPr>
                  <w:rFonts w:ascii="Arial" w:cs="Arial" w:eastAsia="Arial" w:hAnsi="Arial"/>
                  <w:sz w:val="15"/>
                  <w:szCs w:val="15"/>
                  <w:color w:val="0000EE"/>
                </w:rPr>
                <w:t>Exhibits</w:t>
              </w:r>
            </w:hyperlink>
          </w:p>
        </w:tc>
        <w:tc>
          <w:tcPr>
            <w:tcW w:w="106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5"/>
                <w:szCs w:val="15"/>
                <w:color w:val="auto"/>
              </w:rPr>
              <w:t>24</w:t>
            </w:r>
          </w:p>
        </w:tc>
      </w:tr>
      <w:tr>
        <w:trPr>
          <w:trHeight w:val="195"/>
        </w:trPr>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70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r>
      <w:tr>
        <w:trPr>
          <w:trHeight w:val="175"/>
        </w:trPr>
        <w:tc>
          <w:tcPr>
            <w:tcW w:w="100" w:type="dxa"/>
            <w:vAlign w:val="bottom"/>
            <w:shd w:val="clear" w:color="auto" w:fill="CCEEFF"/>
          </w:tcPr>
          <w:p>
            <w:pPr>
              <w:spacing w:after="0"/>
              <w:rPr>
                <w:sz w:val="15"/>
                <w:szCs w:val="15"/>
                <w:color w:val="auto"/>
              </w:rPr>
            </w:pPr>
          </w:p>
        </w:tc>
        <w:tc>
          <w:tcPr>
            <w:tcW w:w="1040" w:type="dxa"/>
            <w:vAlign w:val="bottom"/>
            <w:gridSpan w:val="5"/>
            <w:shd w:val="clear" w:color="auto" w:fill="CCEEFF"/>
          </w:tcPr>
          <w:p>
            <w:pPr>
              <w:spacing w:after="0" w:line="146" w:lineRule="exact"/>
              <w:rPr>
                <w:rFonts w:ascii="Arial" w:cs="Arial" w:eastAsia="Arial" w:hAnsi="Arial"/>
                <w:sz w:val="15"/>
                <w:szCs w:val="15"/>
                <w:color w:val="0000EE"/>
              </w:rPr>
            </w:pPr>
            <w:hyperlink w:anchor="page27">
              <w:r>
                <w:rPr>
                  <w:rFonts w:ascii="Arial" w:cs="Arial" w:eastAsia="Arial" w:hAnsi="Arial"/>
                  <w:sz w:val="15"/>
                  <w:szCs w:val="15"/>
                  <w:color w:val="0000EE"/>
                </w:rPr>
                <w:t>SIGNATURE</w:t>
              </w:r>
            </w:hyperlink>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5"/>
                <w:szCs w:val="15"/>
                <w:color w:val="auto"/>
              </w:rPr>
              <w:t>25</w:t>
            </w:r>
          </w:p>
        </w:tc>
      </w:tr>
      <w:tr>
        <w:trPr>
          <w:trHeight w:val="195"/>
        </w:trPr>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340" w:type="dxa"/>
            <w:vAlign w:val="bottom"/>
            <w:tcBorders>
              <w:top w:val="single" w:sz="8" w:color="CCEEFF"/>
            </w:tcBorders>
            <w:gridSpan w:val="2"/>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70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r>
      <w:tr>
        <w:trPr>
          <w:trHeight w:val="175"/>
        </w:trPr>
        <w:tc>
          <w:tcPr>
            <w:tcW w:w="100" w:type="dxa"/>
            <w:vAlign w:val="bottom"/>
            <w:shd w:val="clear" w:color="auto" w:fill="CCEEFF"/>
          </w:tcPr>
          <w:p>
            <w:pPr>
              <w:spacing w:after="0"/>
              <w:rPr>
                <w:sz w:val="15"/>
                <w:szCs w:val="15"/>
                <w:color w:val="auto"/>
              </w:rPr>
            </w:pPr>
          </w:p>
        </w:tc>
        <w:tc>
          <w:tcPr>
            <w:tcW w:w="2440" w:type="dxa"/>
            <w:vAlign w:val="bottom"/>
            <w:gridSpan w:val="11"/>
            <w:shd w:val="clear" w:color="auto" w:fill="CCEEFF"/>
          </w:tcPr>
          <w:p>
            <w:pPr>
              <w:spacing w:after="0" w:line="146" w:lineRule="exact"/>
              <w:rPr>
                <w:rFonts w:ascii="Arial" w:cs="Arial" w:eastAsia="Arial" w:hAnsi="Arial"/>
                <w:sz w:val="15"/>
                <w:szCs w:val="15"/>
                <w:color w:val="0000EE"/>
              </w:rPr>
            </w:pPr>
            <w:hyperlink w:anchor="page28">
              <w:r>
                <w:rPr>
                  <w:rFonts w:ascii="Arial" w:cs="Arial" w:eastAsia="Arial" w:hAnsi="Arial"/>
                  <w:sz w:val="15"/>
                  <w:szCs w:val="15"/>
                  <w:color w:val="0000EE"/>
                </w:rPr>
                <w:t>INDEX OF EXHIBITS</w:t>
              </w:r>
            </w:hyperlink>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5"/>
                <w:szCs w:val="15"/>
                <w:color w:val="auto"/>
              </w:rPr>
              <w:t>26</w:t>
            </w:r>
          </w:p>
        </w:tc>
      </w:tr>
      <w:tr>
        <w:trPr>
          <w:trHeight w:val="1545"/>
        </w:trPr>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0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36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240" w:type="dxa"/>
            <w:vAlign w:val="bottom"/>
            <w:tcBorders>
              <w:top w:val="single" w:sz="8" w:color="0000EE"/>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660" w:type="dxa"/>
            <w:vAlign w:val="bottom"/>
            <w:tcBorders>
              <w:top w:val="single" w:sz="8" w:color="CCEEFF"/>
              <w:bottom w:val="single" w:sz="8" w:color="9A9A9A"/>
            </w:tcBorders>
          </w:tcPr>
          <w:p>
            <w:pPr>
              <w:spacing w:after="0"/>
              <w:rPr>
                <w:sz w:val="24"/>
                <w:szCs w:val="24"/>
                <w:color w:val="auto"/>
              </w:rPr>
            </w:pPr>
          </w:p>
        </w:tc>
        <w:tc>
          <w:tcPr>
            <w:tcW w:w="46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CCEEFF"/>
              <w:bottom w:val="single" w:sz="8" w:color="9A9A9A"/>
            </w:tcBorders>
          </w:tcPr>
          <w:p>
            <w:pPr>
              <w:spacing w:after="0"/>
              <w:rPr>
                <w:sz w:val="24"/>
                <w:szCs w:val="24"/>
                <w:color w:val="auto"/>
              </w:rPr>
            </w:pPr>
          </w:p>
        </w:tc>
        <w:tc>
          <w:tcPr>
            <w:tcW w:w="42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320" w:type="dxa"/>
            <w:vAlign w:val="bottom"/>
            <w:tcBorders>
              <w:top w:val="single" w:sz="8" w:color="CCEEFF"/>
              <w:bottom w:val="single" w:sz="8" w:color="9A9A9A"/>
            </w:tcBorders>
          </w:tcPr>
          <w:p>
            <w:pPr>
              <w:spacing w:after="0"/>
              <w:rPr>
                <w:sz w:val="24"/>
                <w:szCs w:val="24"/>
                <w:color w:val="auto"/>
              </w:rPr>
            </w:pPr>
          </w:p>
        </w:tc>
        <w:tc>
          <w:tcPr>
            <w:tcW w:w="1140" w:type="dxa"/>
            <w:vAlign w:val="bottom"/>
            <w:tcBorders>
              <w:top w:val="single" w:sz="8" w:color="CCEEFF"/>
              <w:bottom w:val="single" w:sz="8" w:color="9A9A9A"/>
            </w:tcBorders>
          </w:tcPr>
          <w:p>
            <w:pPr>
              <w:spacing w:after="0"/>
              <w:rPr>
                <w:sz w:val="24"/>
                <w:szCs w:val="24"/>
                <w:color w:val="auto"/>
              </w:rPr>
            </w:pPr>
          </w:p>
        </w:tc>
        <w:tc>
          <w:tcPr>
            <w:tcW w:w="68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32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CCEEFF"/>
              <w:bottom w:val="single" w:sz="8" w:color="9A9A9A"/>
            </w:tcBorders>
          </w:tcPr>
          <w:p>
            <w:pPr>
              <w:spacing w:after="0"/>
              <w:rPr>
                <w:sz w:val="24"/>
                <w:szCs w:val="24"/>
                <w:color w:val="auto"/>
              </w:rPr>
            </w:pPr>
          </w:p>
        </w:tc>
        <w:tc>
          <w:tcPr>
            <w:tcW w:w="1700" w:type="dxa"/>
            <w:vAlign w:val="bottom"/>
            <w:tcBorders>
              <w:top w:val="single" w:sz="8" w:color="CCEEFF"/>
              <w:bottom w:val="single" w:sz="8" w:color="9A9A9A"/>
            </w:tcBorders>
          </w:tcPr>
          <w:p>
            <w:pPr>
              <w:spacing w:after="0"/>
              <w:rPr>
                <w:sz w:val="24"/>
                <w:szCs w:val="24"/>
                <w:color w:val="auto"/>
              </w:rPr>
            </w:pPr>
          </w:p>
        </w:tc>
        <w:tc>
          <w:tcPr>
            <w:tcW w:w="780" w:type="dxa"/>
            <w:vAlign w:val="bottom"/>
            <w:tcBorders>
              <w:top w:val="single" w:sz="8" w:color="CCEEFF"/>
              <w:bottom w:val="single" w:sz="8" w:color="9A9A9A"/>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70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5953125</wp:posOffset>
            </wp:positionH>
            <wp:positionV relativeFrom="paragraph">
              <wp:posOffset>-34925</wp:posOffset>
            </wp:positionV>
            <wp:extent cx="33020" cy="482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-34925</wp:posOffset>
            </wp:positionV>
            <wp:extent cx="33020" cy="48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9680"/>
          </w:cols>
          <w:pgMar w:left="1120" w:top="115" w:right="1099" w:bottom="1440" w:gutter="0" w:footer="0" w:header="0"/>
        </w:sectPr>
      </w:pPr>
    </w:p>
    <w:bookmarkStart w:id="2" w:name="page3"/>
    <w:bookmarkEnd w:id="2"/>
    <w:p>
      <w:pPr>
        <w:spacing w:after="0"/>
        <w:rPr>
          <w:sz w:val="20"/>
          <w:szCs w:val="20"/>
          <w:color w:val="auto"/>
        </w:rPr>
      </w:pPr>
      <w:r>
        <w:rPr>
          <w:rFonts w:ascii="Arial" w:cs="Arial" w:eastAsia="Arial" w:hAnsi="Arial"/>
          <w:sz w:val="15"/>
          <w:szCs w:val="15"/>
          <w:b w:val="1"/>
          <w:bCs w:val="1"/>
          <w:color w:val="auto"/>
        </w:rPr>
        <w:t>PART I - FINANCIAL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Item 1. Financial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BALANCE SHEETS</w:t>
      </w:r>
    </w:p>
    <w:p>
      <w:pPr>
        <w:jc w:val="center"/>
        <w:spacing w:after="0"/>
        <w:rPr>
          <w:sz w:val="20"/>
          <w:szCs w:val="20"/>
          <w:color w:val="auto"/>
        </w:rPr>
      </w:pPr>
      <w:r>
        <w:rPr>
          <w:rFonts w:ascii="Arial" w:cs="Arial" w:eastAsia="Arial" w:hAnsi="Arial"/>
          <w:sz w:val="15"/>
          <w:szCs w:val="15"/>
          <w:color w:val="auto"/>
        </w:rPr>
        <w:t>($ in millions, except shares)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jc w:val="center"/>
              <w:ind w:right="423"/>
              <w:spacing w:after="0"/>
              <w:rPr>
                <w:sz w:val="20"/>
                <w:szCs w:val="20"/>
                <w:color w:val="auto"/>
              </w:rPr>
            </w:pPr>
            <w:r>
              <w:rPr>
                <w:rFonts w:ascii="Arial" w:cs="Arial" w:eastAsia="Arial" w:hAnsi="Arial"/>
                <w:sz w:val="15"/>
                <w:szCs w:val="15"/>
                <w:b w:val="1"/>
                <w:bCs w:val="1"/>
                <w:color w:val="auto"/>
              </w:rPr>
              <w:t>May 5,</w:t>
            </w:r>
          </w:p>
        </w:tc>
        <w:tc>
          <w:tcPr>
            <w:tcW w:w="300" w:type="dxa"/>
            <w:vAlign w:val="bottom"/>
          </w:tcPr>
          <w:p>
            <w:pPr>
              <w:spacing w:after="0"/>
              <w:rPr>
                <w:sz w:val="15"/>
                <w:szCs w:val="15"/>
                <w:color w:val="auto"/>
              </w:rPr>
            </w:pPr>
          </w:p>
        </w:tc>
        <w:tc>
          <w:tcPr>
            <w:tcW w:w="1140" w:type="dxa"/>
            <w:vAlign w:val="bottom"/>
          </w:tcPr>
          <w:p>
            <w:pPr>
              <w:jc w:val="center"/>
              <w:ind w:right="363"/>
              <w:spacing w:after="0"/>
              <w:rPr>
                <w:sz w:val="20"/>
                <w:szCs w:val="20"/>
                <w:color w:val="auto"/>
              </w:rPr>
            </w:pPr>
            <w:r>
              <w:rPr>
                <w:rFonts w:ascii="Arial" w:cs="Arial" w:eastAsia="Arial" w:hAnsi="Arial"/>
                <w:sz w:val="15"/>
                <w:szCs w:val="15"/>
                <w:b w:val="1"/>
                <w:bCs w:val="1"/>
                <w:color w:val="auto"/>
              </w:rPr>
              <w:t>April 29,</w:t>
            </w:r>
          </w:p>
        </w:tc>
        <w:tc>
          <w:tcPr>
            <w:tcW w:w="1260" w:type="dxa"/>
            <w:vAlign w:val="bottom"/>
            <w:gridSpan w:val="2"/>
          </w:tcPr>
          <w:p>
            <w:pPr>
              <w:jc w:val="right"/>
              <w:ind w:right="123"/>
              <w:spacing w:after="0"/>
              <w:rPr>
                <w:sz w:val="20"/>
                <w:szCs w:val="20"/>
                <w:color w:val="auto"/>
              </w:rPr>
            </w:pPr>
            <w:r>
              <w:rPr>
                <w:rFonts w:ascii="Arial" w:cs="Arial" w:eastAsia="Arial" w:hAnsi="Arial"/>
                <w:sz w:val="15"/>
                <w:szCs w:val="15"/>
                <w:b w:val="1"/>
                <w:bCs w:val="1"/>
                <w:color w:val="auto"/>
              </w:rPr>
              <w:t>February 3,</w:t>
            </w:r>
          </w:p>
        </w:tc>
        <w:tc>
          <w:tcPr>
            <w:tcW w:w="0" w:type="dxa"/>
            <w:vAlign w:val="bottom"/>
          </w:tcPr>
          <w:p>
            <w:pPr>
              <w:spacing w:after="0"/>
              <w:rPr>
                <w:sz w:val="1"/>
                <w:szCs w:val="1"/>
                <w:color w:val="auto"/>
              </w:rPr>
            </w:pPr>
          </w:p>
        </w:tc>
      </w:tr>
      <w:tr>
        <w:trPr>
          <w:trHeight w:val="194"/>
        </w:trPr>
        <w:tc>
          <w:tcPr>
            <w:tcW w:w="48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423"/>
              <w:spacing w:after="0"/>
              <w:rPr>
                <w:sz w:val="20"/>
                <w:szCs w:val="20"/>
                <w:color w:val="auto"/>
              </w:rPr>
            </w:pPr>
            <w:r>
              <w:rPr>
                <w:rFonts w:ascii="Arial" w:cs="Arial" w:eastAsia="Arial" w:hAnsi="Arial"/>
                <w:sz w:val="15"/>
                <w:szCs w:val="15"/>
                <w:b w:val="1"/>
                <w:bCs w:val="1"/>
                <w:color w:val="auto"/>
              </w:rPr>
              <w:t>2018</w:t>
            </w: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63"/>
              <w:spacing w:after="0"/>
              <w:rPr>
                <w:sz w:val="20"/>
                <w:szCs w:val="20"/>
                <w:color w:val="auto"/>
              </w:rPr>
            </w:pPr>
            <w:r>
              <w:rPr>
                <w:rFonts w:ascii="Arial" w:cs="Arial" w:eastAsia="Arial" w:hAnsi="Arial"/>
                <w:sz w:val="15"/>
                <w:szCs w:val="15"/>
                <w:b w:val="1"/>
                <w:bCs w:val="1"/>
                <w:color w:val="auto"/>
              </w:rPr>
              <w:t>2017</w:t>
            </w: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2018</w:t>
            </w:r>
          </w:p>
        </w:tc>
        <w:tc>
          <w:tcPr>
            <w:tcW w:w="0" w:type="dxa"/>
            <w:vAlign w:val="bottom"/>
          </w:tcPr>
          <w:p>
            <w:pPr>
              <w:spacing w:after="0"/>
              <w:rPr>
                <w:sz w:val="1"/>
                <w:szCs w:val="1"/>
                <w:color w:val="auto"/>
              </w:rPr>
            </w:pPr>
          </w:p>
        </w:tc>
      </w:tr>
      <w:tr>
        <w:trPr>
          <w:trHeight w:val="187"/>
        </w:trPr>
        <w:tc>
          <w:tcPr>
            <w:tcW w:w="4880" w:type="dxa"/>
            <w:vAlign w:val="bottom"/>
          </w:tcPr>
          <w:p>
            <w:pPr>
              <w:spacing w:after="0"/>
              <w:rPr>
                <w:sz w:val="16"/>
                <w:szCs w:val="16"/>
                <w:color w:val="auto"/>
              </w:rPr>
            </w:pPr>
          </w:p>
        </w:tc>
        <w:tc>
          <w:tcPr>
            <w:tcW w:w="1520" w:type="dxa"/>
            <w:vAlign w:val="bottom"/>
            <w:gridSpan w:val="2"/>
          </w:tcPr>
          <w:p>
            <w:pPr>
              <w:jc w:val="center"/>
              <w:ind w:right="23"/>
              <w:spacing w:after="0"/>
              <w:rPr>
                <w:sz w:val="20"/>
                <w:szCs w:val="20"/>
                <w:color w:val="auto"/>
              </w:rPr>
            </w:pPr>
            <w:r>
              <w:rPr>
                <w:rFonts w:ascii="Arial" w:cs="Arial" w:eastAsia="Arial" w:hAnsi="Arial"/>
                <w:sz w:val="15"/>
                <w:szCs w:val="15"/>
                <w:b w:val="1"/>
                <w:bCs w:val="1"/>
                <w:color w:val="auto"/>
              </w:rPr>
              <w:t>(Unaudited)</w:t>
            </w:r>
          </w:p>
        </w:tc>
        <w:tc>
          <w:tcPr>
            <w:tcW w:w="1440" w:type="dxa"/>
            <w:vAlign w:val="bottom"/>
            <w:gridSpan w:val="2"/>
          </w:tcPr>
          <w:p>
            <w:pPr>
              <w:jc w:val="center"/>
              <w:ind w:right="63"/>
              <w:spacing w:after="0"/>
              <w:rPr>
                <w:sz w:val="20"/>
                <w:szCs w:val="20"/>
                <w:color w:val="auto"/>
              </w:rPr>
            </w:pPr>
            <w:r>
              <w:rPr>
                <w:rFonts w:ascii="Arial" w:cs="Arial" w:eastAsia="Arial" w:hAnsi="Arial"/>
                <w:sz w:val="15"/>
                <w:szCs w:val="15"/>
                <w:b w:val="1"/>
                <w:bCs w:val="1"/>
                <w:color w:val="auto"/>
              </w:rPr>
              <w:t>(Unaudited)</w:t>
            </w:r>
          </w:p>
        </w:tc>
        <w:tc>
          <w:tcPr>
            <w:tcW w:w="360" w:type="dxa"/>
            <w:vAlign w:val="bottom"/>
          </w:tcPr>
          <w:p>
            <w:pPr>
              <w:spacing w:after="0"/>
              <w:rPr>
                <w:sz w:val="16"/>
                <w:szCs w:val="16"/>
                <w:color w:val="auto"/>
              </w:rPr>
            </w:pPr>
          </w:p>
        </w:tc>
        <w:tc>
          <w:tcPr>
            <w:tcW w:w="900" w:type="dxa"/>
            <w:vAlign w:val="bottom"/>
          </w:tcPr>
          <w:p>
            <w:pPr>
              <w:jc w:val="right"/>
              <w:ind w:right="503"/>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07"/>
        </w:trPr>
        <w:tc>
          <w:tcPr>
            <w:tcW w:w="48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880" w:type="dxa"/>
            <w:vAlign w:val="bottom"/>
            <w:shd w:val="clear" w:color="auto" w:fill="CCEEFF"/>
          </w:tcPr>
          <w:p>
            <w:pPr>
              <w:spacing w:after="0"/>
              <w:rPr>
                <w:sz w:val="20"/>
                <w:szCs w:val="20"/>
                <w:color w:val="auto"/>
              </w:rPr>
            </w:pPr>
            <w:r>
              <w:rPr>
                <w:rFonts w:ascii="Arial" w:cs="Arial" w:eastAsia="Arial" w:hAnsi="Arial"/>
                <w:sz w:val="15"/>
                <w:szCs w:val="15"/>
                <w:color w:val="auto"/>
              </w:rPr>
              <w:t>Current assets:</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880" w:type="dxa"/>
            <w:vAlign w:val="bottom"/>
          </w:tcPr>
          <w:p>
            <w:pPr>
              <w:ind w:left="100"/>
              <w:spacing w:after="0"/>
              <w:rPr>
                <w:sz w:val="20"/>
                <w:szCs w:val="20"/>
                <w:color w:val="auto"/>
              </w:rPr>
            </w:pPr>
            <w:r>
              <w:rPr>
                <w:rFonts w:ascii="Arial" w:cs="Arial" w:eastAsia="Arial" w:hAnsi="Arial"/>
                <w:sz w:val="15"/>
                <w:szCs w:val="15"/>
                <w:color w:val="auto"/>
              </w:rPr>
              <w:t>Cash and cash equivalents</w:t>
            </w:r>
          </w:p>
        </w:tc>
        <w:tc>
          <w:tcPr>
            <w:tcW w:w="400" w:type="dxa"/>
            <w:vAlign w:val="bottom"/>
          </w:tcPr>
          <w:p>
            <w:pPr>
              <w:jc w:val="right"/>
              <w:ind w:right="23"/>
              <w:spacing w:after="0"/>
              <w:rPr>
                <w:sz w:val="20"/>
                <w:szCs w:val="20"/>
                <w:color w:val="auto"/>
              </w:rPr>
            </w:pPr>
            <w:r>
              <w:rPr>
                <w:rFonts w:ascii="Arial" w:cs="Arial" w:eastAsia="Arial" w:hAnsi="Arial"/>
                <w:sz w:val="15"/>
                <w:szCs w:val="15"/>
                <w:b w:val="1"/>
                <w:bCs w:val="1"/>
                <w:color w:val="auto"/>
              </w:rPr>
              <w:t>$</w:t>
            </w:r>
          </w:p>
        </w:tc>
        <w:tc>
          <w:tcPr>
            <w:tcW w:w="1120" w:type="dxa"/>
            <w:vAlign w:val="bottom"/>
          </w:tcPr>
          <w:p>
            <w:pPr>
              <w:jc w:val="right"/>
              <w:ind w:right="143"/>
              <w:spacing w:after="0"/>
              <w:rPr>
                <w:sz w:val="20"/>
                <w:szCs w:val="20"/>
                <w:color w:val="auto"/>
              </w:rPr>
            </w:pPr>
            <w:r>
              <w:rPr>
                <w:rFonts w:ascii="Arial" w:cs="Arial" w:eastAsia="Arial" w:hAnsi="Arial"/>
                <w:sz w:val="15"/>
                <w:szCs w:val="15"/>
                <w:b w:val="1"/>
                <w:bCs w:val="1"/>
                <w:color w:val="auto"/>
              </w:rPr>
              <w:t>1,029</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143"/>
              <w:spacing w:after="0"/>
              <w:rPr>
                <w:sz w:val="20"/>
                <w:szCs w:val="20"/>
                <w:color w:val="auto"/>
              </w:rPr>
            </w:pPr>
            <w:r>
              <w:rPr>
                <w:rFonts w:ascii="Arial" w:cs="Arial" w:eastAsia="Arial" w:hAnsi="Arial"/>
                <w:sz w:val="15"/>
                <w:szCs w:val="15"/>
                <w:color w:val="auto"/>
              </w:rPr>
              <w:t>1,049</w:t>
            </w:r>
          </w:p>
        </w:tc>
        <w:tc>
          <w:tcPr>
            <w:tcW w:w="3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849</w:t>
            </w:r>
          </w:p>
        </w:tc>
        <w:tc>
          <w:tcPr>
            <w:tcW w:w="0" w:type="dxa"/>
            <w:vAlign w:val="bottom"/>
          </w:tcPr>
          <w:p>
            <w:pPr>
              <w:spacing w:after="0"/>
              <w:rPr>
                <w:sz w:val="1"/>
                <w:szCs w:val="1"/>
                <w:color w:val="auto"/>
              </w:rPr>
            </w:pPr>
          </w:p>
        </w:tc>
      </w:tr>
      <w:tr>
        <w:trPr>
          <w:trHeight w:val="207"/>
        </w:trPr>
        <w:tc>
          <w:tcPr>
            <w:tcW w:w="48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Merchandise inventories</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1,210</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1,279</w:t>
            </w: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1,278</w:t>
            </w:r>
          </w:p>
        </w:tc>
        <w:tc>
          <w:tcPr>
            <w:tcW w:w="0" w:type="dxa"/>
            <w:vAlign w:val="bottom"/>
          </w:tcPr>
          <w:p>
            <w:pPr>
              <w:spacing w:after="0"/>
              <w:rPr>
                <w:sz w:val="1"/>
                <w:szCs w:val="1"/>
                <w:color w:val="auto"/>
              </w:rPr>
            </w:pPr>
          </w:p>
        </w:tc>
      </w:tr>
      <w:tr>
        <w:trPr>
          <w:trHeight w:val="207"/>
        </w:trPr>
        <w:tc>
          <w:tcPr>
            <w:tcW w:w="488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Other current assets</w:t>
            </w: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301</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294</w:t>
            </w: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424</w:t>
            </w:r>
          </w:p>
        </w:tc>
        <w:tc>
          <w:tcPr>
            <w:tcW w:w="0" w:type="dxa"/>
            <w:vAlign w:val="bottom"/>
          </w:tcPr>
          <w:p>
            <w:pPr>
              <w:spacing w:after="0"/>
              <w:rPr>
                <w:sz w:val="1"/>
                <w:szCs w:val="1"/>
                <w:color w:val="auto"/>
              </w:rPr>
            </w:pPr>
          </w:p>
        </w:tc>
      </w:tr>
      <w:tr>
        <w:trPr>
          <w:trHeight w:val="187"/>
        </w:trPr>
        <w:tc>
          <w:tcPr>
            <w:tcW w:w="48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2,540</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2,622</w:t>
            </w: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2,551</w:t>
            </w:r>
          </w:p>
        </w:tc>
        <w:tc>
          <w:tcPr>
            <w:tcW w:w="0" w:type="dxa"/>
            <w:vAlign w:val="bottom"/>
          </w:tcPr>
          <w:p>
            <w:pPr>
              <w:spacing w:after="0"/>
              <w:rPr>
                <w:sz w:val="1"/>
                <w:szCs w:val="1"/>
                <w:color w:val="auto"/>
              </w:rPr>
            </w:pPr>
          </w:p>
        </w:tc>
      </w:tr>
      <w:tr>
        <w:trPr>
          <w:trHeight w:val="207"/>
        </w:trPr>
        <w:tc>
          <w:tcPr>
            <w:tcW w:w="4880" w:type="dxa"/>
            <w:vAlign w:val="bottom"/>
          </w:tcPr>
          <w:p>
            <w:pPr>
              <w:spacing w:after="0"/>
              <w:rPr>
                <w:sz w:val="20"/>
                <w:szCs w:val="20"/>
                <w:color w:val="auto"/>
              </w:rPr>
            </w:pPr>
            <w:r>
              <w:rPr>
                <w:rFonts w:ascii="Arial" w:cs="Arial" w:eastAsia="Arial" w:hAnsi="Arial"/>
                <w:sz w:val="15"/>
                <w:szCs w:val="15"/>
                <w:color w:val="auto"/>
              </w:rPr>
              <w:t>Property and equipment, net</w:t>
            </w:r>
          </w:p>
        </w:tc>
        <w:tc>
          <w:tcPr>
            <w:tcW w:w="400" w:type="dxa"/>
            <w:vAlign w:val="bottom"/>
          </w:tcPr>
          <w:p>
            <w:pPr>
              <w:spacing w:after="0"/>
              <w:rPr>
                <w:sz w:val="17"/>
                <w:szCs w:val="17"/>
                <w:color w:val="auto"/>
              </w:rPr>
            </w:pPr>
          </w:p>
        </w:tc>
        <w:tc>
          <w:tcPr>
            <w:tcW w:w="1120" w:type="dxa"/>
            <w:vAlign w:val="bottom"/>
          </w:tcPr>
          <w:p>
            <w:pPr>
              <w:jc w:val="right"/>
              <w:ind w:right="143"/>
              <w:spacing w:after="0"/>
              <w:rPr>
                <w:sz w:val="20"/>
                <w:szCs w:val="20"/>
                <w:color w:val="auto"/>
              </w:rPr>
            </w:pPr>
            <w:r>
              <w:rPr>
                <w:rFonts w:ascii="Arial" w:cs="Arial" w:eastAsia="Arial" w:hAnsi="Arial"/>
                <w:sz w:val="15"/>
                <w:szCs w:val="15"/>
                <w:b w:val="1"/>
                <w:bCs w:val="1"/>
                <w:color w:val="auto"/>
              </w:rPr>
              <w:t>843</w:t>
            </w:r>
          </w:p>
        </w:tc>
        <w:tc>
          <w:tcPr>
            <w:tcW w:w="300" w:type="dxa"/>
            <w:vAlign w:val="bottom"/>
          </w:tcPr>
          <w:p>
            <w:pPr>
              <w:spacing w:after="0"/>
              <w:rPr>
                <w:sz w:val="17"/>
                <w:szCs w:val="17"/>
                <w:color w:val="auto"/>
              </w:rPr>
            </w:pPr>
          </w:p>
        </w:tc>
        <w:tc>
          <w:tcPr>
            <w:tcW w:w="1140" w:type="dxa"/>
            <w:vAlign w:val="bottom"/>
          </w:tcPr>
          <w:p>
            <w:pPr>
              <w:jc w:val="right"/>
              <w:ind w:right="143"/>
              <w:spacing w:after="0"/>
              <w:rPr>
                <w:sz w:val="20"/>
                <w:szCs w:val="20"/>
                <w:color w:val="auto"/>
              </w:rPr>
            </w:pPr>
            <w:r>
              <w:rPr>
                <w:rFonts w:ascii="Arial" w:cs="Arial" w:eastAsia="Arial" w:hAnsi="Arial"/>
                <w:sz w:val="15"/>
                <w:szCs w:val="15"/>
                <w:color w:val="auto"/>
              </w:rPr>
              <w:t>792</w:t>
            </w: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866</w:t>
            </w:r>
          </w:p>
        </w:tc>
        <w:tc>
          <w:tcPr>
            <w:tcW w:w="0" w:type="dxa"/>
            <w:vAlign w:val="bottom"/>
          </w:tcPr>
          <w:p>
            <w:pPr>
              <w:spacing w:after="0"/>
              <w:rPr>
                <w:sz w:val="1"/>
                <w:szCs w:val="1"/>
                <w:color w:val="auto"/>
              </w:rPr>
            </w:pPr>
          </w:p>
        </w:tc>
      </w:tr>
      <w:tr>
        <w:trPr>
          <w:trHeight w:val="207"/>
        </w:trPr>
        <w:tc>
          <w:tcPr>
            <w:tcW w:w="4880" w:type="dxa"/>
            <w:vAlign w:val="bottom"/>
            <w:shd w:val="clear" w:color="auto" w:fill="CCEEFF"/>
          </w:tcPr>
          <w:p>
            <w:pPr>
              <w:spacing w:after="0"/>
              <w:rPr>
                <w:sz w:val="20"/>
                <w:szCs w:val="20"/>
                <w:color w:val="auto"/>
              </w:rPr>
            </w:pPr>
            <w:r>
              <w:rPr>
                <w:rFonts w:ascii="Arial" w:cs="Arial" w:eastAsia="Arial" w:hAnsi="Arial"/>
                <w:sz w:val="15"/>
                <w:szCs w:val="15"/>
                <w:color w:val="auto"/>
              </w:rPr>
              <w:t>Deferred taxes</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104</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162</w:t>
            </w: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w:t>
            </w:r>
          </w:p>
        </w:tc>
        <w:tc>
          <w:tcPr>
            <w:tcW w:w="0" w:type="dxa"/>
            <w:vAlign w:val="bottom"/>
          </w:tcPr>
          <w:p>
            <w:pPr>
              <w:spacing w:after="0"/>
              <w:rPr>
                <w:sz w:val="1"/>
                <w:szCs w:val="1"/>
                <w:color w:val="auto"/>
              </w:rPr>
            </w:pPr>
          </w:p>
        </w:tc>
      </w:tr>
      <w:tr>
        <w:trPr>
          <w:trHeight w:val="207"/>
        </w:trPr>
        <w:tc>
          <w:tcPr>
            <w:tcW w:w="4880" w:type="dxa"/>
            <w:vAlign w:val="bottom"/>
          </w:tcPr>
          <w:p>
            <w:pPr>
              <w:spacing w:after="0"/>
              <w:rPr>
                <w:sz w:val="20"/>
                <w:szCs w:val="20"/>
                <w:color w:val="auto"/>
              </w:rPr>
            </w:pPr>
            <w:r>
              <w:rPr>
                <w:rFonts w:ascii="Arial" w:cs="Arial" w:eastAsia="Arial" w:hAnsi="Arial"/>
                <w:sz w:val="15"/>
                <w:szCs w:val="15"/>
                <w:color w:val="auto"/>
              </w:rPr>
              <w:t>Goodwill</w:t>
            </w:r>
          </w:p>
        </w:tc>
        <w:tc>
          <w:tcPr>
            <w:tcW w:w="400" w:type="dxa"/>
            <w:vAlign w:val="bottom"/>
          </w:tcPr>
          <w:p>
            <w:pPr>
              <w:spacing w:after="0"/>
              <w:rPr>
                <w:sz w:val="17"/>
                <w:szCs w:val="17"/>
                <w:color w:val="auto"/>
              </w:rPr>
            </w:pPr>
          </w:p>
        </w:tc>
        <w:tc>
          <w:tcPr>
            <w:tcW w:w="1120" w:type="dxa"/>
            <w:vAlign w:val="bottom"/>
          </w:tcPr>
          <w:p>
            <w:pPr>
              <w:jc w:val="right"/>
              <w:ind w:right="143"/>
              <w:spacing w:after="0"/>
              <w:rPr>
                <w:sz w:val="20"/>
                <w:szCs w:val="20"/>
                <w:color w:val="auto"/>
              </w:rPr>
            </w:pPr>
            <w:r>
              <w:rPr>
                <w:rFonts w:ascii="Arial" w:cs="Arial" w:eastAsia="Arial" w:hAnsi="Arial"/>
                <w:sz w:val="15"/>
                <w:szCs w:val="15"/>
                <w:b w:val="1"/>
                <w:bCs w:val="1"/>
                <w:color w:val="auto"/>
              </w:rPr>
              <w:t>158</w:t>
            </w:r>
          </w:p>
        </w:tc>
        <w:tc>
          <w:tcPr>
            <w:tcW w:w="300" w:type="dxa"/>
            <w:vAlign w:val="bottom"/>
          </w:tcPr>
          <w:p>
            <w:pPr>
              <w:spacing w:after="0"/>
              <w:rPr>
                <w:sz w:val="17"/>
                <w:szCs w:val="17"/>
                <w:color w:val="auto"/>
              </w:rPr>
            </w:pPr>
          </w:p>
        </w:tc>
        <w:tc>
          <w:tcPr>
            <w:tcW w:w="1140" w:type="dxa"/>
            <w:vAlign w:val="bottom"/>
          </w:tcPr>
          <w:p>
            <w:pPr>
              <w:jc w:val="right"/>
              <w:ind w:right="143"/>
              <w:spacing w:after="0"/>
              <w:rPr>
                <w:sz w:val="20"/>
                <w:szCs w:val="20"/>
                <w:color w:val="auto"/>
              </w:rPr>
            </w:pPr>
            <w:r>
              <w:rPr>
                <w:rFonts w:ascii="Arial" w:cs="Arial" w:eastAsia="Arial" w:hAnsi="Arial"/>
                <w:sz w:val="15"/>
                <w:szCs w:val="15"/>
                <w:color w:val="auto"/>
              </w:rPr>
              <w:t>156</w:t>
            </w: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160</w:t>
            </w:r>
          </w:p>
        </w:tc>
        <w:tc>
          <w:tcPr>
            <w:tcW w:w="0" w:type="dxa"/>
            <w:vAlign w:val="bottom"/>
          </w:tcPr>
          <w:p>
            <w:pPr>
              <w:spacing w:after="0"/>
              <w:rPr>
                <w:sz w:val="1"/>
                <w:szCs w:val="1"/>
                <w:color w:val="auto"/>
              </w:rPr>
            </w:pPr>
          </w:p>
        </w:tc>
      </w:tr>
      <w:tr>
        <w:trPr>
          <w:trHeight w:val="207"/>
        </w:trPr>
        <w:tc>
          <w:tcPr>
            <w:tcW w:w="4880" w:type="dxa"/>
            <w:vAlign w:val="bottom"/>
            <w:shd w:val="clear" w:color="auto" w:fill="CCEEFF"/>
          </w:tcPr>
          <w:p>
            <w:pPr>
              <w:spacing w:after="0"/>
              <w:rPr>
                <w:sz w:val="20"/>
                <w:szCs w:val="20"/>
                <w:color w:val="auto"/>
              </w:rPr>
            </w:pPr>
            <w:r>
              <w:rPr>
                <w:rFonts w:ascii="Arial" w:cs="Arial" w:eastAsia="Arial" w:hAnsi="Arial"/>
                <w:sz w:val="15"/>
                <w:szCs w:val="15"/>
                <w:color w:val="auto"/>
              </w:rPr>
              <w:t>Other intangible assets, net</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43</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43</w:t>
            </w: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r>
        <w:trPr>
          <w:trHeight w:val="207"/>
        </w:trPr>
        <w:tc>
          <w:tcPr>
            <w:tcW w:w="48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Other assets</w:t>
            </w: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275</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102</w:t>
            </w: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290</w:t>
            </w:r>
          </w:p>
        </w:tc>
        <w:tc>
          <w:tcPr>
            <w:tcW w:w="0" w:type="dxa"/>
            <w:vAlign w:val="bottom"/>
          </w:tcPr>
          <w:p>
            <w:pPr>
              <w:spacing w:after="0"/>
              <w:rPr>
                <w:sz w:val="1"/>
                <w:szCs w:val="1"/>
                <w:color w:val="auto"/>
              </w:rPr>
            </w:pPr>
          </w:p>
        </w:tc>
      </w:tr>
      <w:tr>
        <w:trPr>
          <w:trHeight w:val="179"/>
        </w:trPr>
        <w:tc>
          <w:tcPr>
            <w:tcW w:w="488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w:t>
            </w:r>
          </w:p>
        </w:tc>
        <w:tc>
          <w:tcPr>
            <w:tcW w:w="11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3,963</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3,877</w:t>
            </w:r>
          </w:p>
        </w:tc>
        <w:tc>
          <w:tcPr>
            <w:tcW w:w="3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3,961</w:t>
            </w:r>
          </w:p>
        </w:tc>
        <w:tc>
          <w:tcPr>
            <w:tcW w:w="0" w:type="dxa"/>
            <w:vAlign w:val="bottom"/>
          </w:tcPr>
          <w:p>
            <w:pPr>
              <w:spacing w:after="0"/>
              <w:rPr>
                <w:sz w:val="1"/>
                <w:szCs w:val="1"/>
                <w:color w:val="auto"/>
              </w:rPr>
            </w:pPr>
          </w:p>
        </w:tc>
      </w:tr>
      <w:tr>
        <w:trPr>
          <w:trHeight w:val="195"/>
        </w:trPr>
        <w:tc>
          <w:tcPr>
            <w:tcW w:w="4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8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LIABILITIES AND SHAREHOLDERS’ EQUITY</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880" w:type="dxa"/>
            <w:vAlign w:val="bottom"/>
            <w:shd w:val="clear" w:color="auto" w:fill="CCEEFF"/>
          </w:tcPr>
          <w:p>
            <w:pPr>
              <w:spacing w:after="0"/>
              <w:rPr>
                <w:sz w:val="20"/>
                <w:szCs w:val="20"/>
                <w:color w:val="auto"/>
              </w:rPr>
            </w:pPr>
            <w:r>
              <w:rPr>
                <w:rFonts w:ascii="Arial" w:cs="Arial" w:eastAsia="Arial" w:hAnsi="Arial"/>
                <w:sz w:val="15"/>
                <w:szCs w:val="15"/>
                <w:color w:val="auto"/>
              </w:rPr>
              <w:t>Current liabilities:</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880" w:type="dxa"/>
            <w:vAlign w:val="bottom"/>
          </w:tcPr>
          <w:p>
            <w:pPr>
              <w:ind w:left="100"/>
              <w:spacing w:after="0"/>
              <w:rPr>
                <w:sz w:val="20"/>
                <w:szCs w:val="20"/>
                <w:color w:val="auto"/>
              </w:rPr>
            </w:pPr>
            <w:r>
              <w:rPr>
                <w:rFonts w:ascii="Arial" w:cs="Arial" w:eastAsia="Arial" w:hAnsi="Arial"/>
                <w:sz w:val="15"/>
                <w:szCs w:val="15"/>
                <w:color w:val="auto"/>
              </w:rPr>
              <w:t>Accounts payable</w:t>
            </w:r>
          </w:p>
        </w:tc>
        <w:tc>
          <w:tcPr>
            <w:tcW w:w="400" w:type="dxa"/>
            <w:vAlign w:val="bottom"/>
          </w:tcPr>
          <w:p>
            <w:pPr>
              <w:jc w:val="right"/>
              <w:ind w:right="23"/>
              <w:spacing w:after="0"/>
              <w:rPr>
                <w:sz w:val="20"/>
                <w:szCs w:val="20"/>
                <w:color w:val="auto"/>
              </w:rPr>
            </w:pPr>
            <w:r>
              <w:rPr>
                <w:rFonts w:ascii="Arial" w:cs="Arial" w:eastAsia="Arial" w:hAnsi="Arial"/>
                <w:sz w:val="15"/>
                <w:szCs w:val="15"/>
                <w:b w:val="1"/>
                <w:bCs w:val="1"/>
                <w:color w:val="auto"/>
              </w:rPr>
              <w:t>$</w:t>
            </w:r>
          </w:p>
        </w:tc>
        <w:tc>
          <w:tcPr>
            <w:tcW w:w="1120" w:type="dxa"/>
            <w:vAlign w:val="bottom"/>
          </w:tcPr>
          <w:p>
            <w:pPr>
              <w:jc w:val="right"/>
              <w:ind w:right="143"/>
              <w:spacing w:after="0"/>
              <w:rPr>
                <w:sz w:val="20"/>
                <w:szCs w:val="20"/>
                <w:color w:val="auto"/>
              </w:rPr>
            </w:pPr>
            <w:r>
              <w:rPr>
                <w:rFonts w:ascii="Arial" w:cs="Arial" w:eastAsia="Arial" w:hAnsi="Arial"/>
                <w:sz w:val="15"/>
                <w:szCs w:val="15"/>
                <w:b w:val="1"/>
                <w:bCs w:val="1"/>
                <w:color w:val="auto"/>
              </w:rPr>
              <w:t>344</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143"/>
              <w:spacing w:after="0"/>
              <w:rPr>
                <w:sz w:val="20"/>
                <w:szCs w:val="20"/>
                <w:color w:val="auto"/>
              </w:rPr>
            </w:pPr>
            <w:r>
              <w:rPr>
                <w:rFonts w:ascii="Arial" w:cs="Arial" w:eastAsia="Arial" w:hAnsi="Arial"/>
                <w:sz w:val="15"/>
                <w:szCs w:val="15"/>
                <w:color w:val="auto"/>
              </w:rPr>
              <w:t>208</w:t>
            </w:r>
          </w:p>
        </w:tc>
        <w:tc>
          <w:tcPr>
            <w:tcW w:w="3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258</w:t>
            </w:r>
          </w:p>
        </w:tc>
        <w:tc>
          <w:tcPr>
            <w:tcW w:w="0" w:type="dxa"/>
            <w:vAlign w:val="bottom"/>
          </w:tcPr>
          <w:p>
            <w:pPr>
              <w:spacing w:after="0"/>
              <w:rPr>
                <w:sz w:val="1"/>
                <w:szCs w:val="1"/>
                <w:color w:val="auto"/>
              </w:rPr>
            </w:pPr>
          </w:p>
        </w:tc>
      </w:tr>
      <w:tr>
        <w:trPr>
          <w:trHeight w:val="207"/>
        </w:trPr>
        <w:tc>
          <w:tcPr>
            <w:tcW w:w="48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5"/>
                <w:szCs w:val="15"/>
                <w:color w:val="auto"/>
              </w:rPr>
              <w:t>Accrued and other liabilities</w:t>
            </w:r>
          </w:p>
        </w:tc>
        <w:tc>
          <w:tcPr>
            <w:tcW w:w="4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309</w:t>
            </w:r>
          </w:p>
        </w:tc>
        <w:tc>
          <w:tcPr>
            <w:tcW w:w="30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327</w:t>
            </w:r>
          </w:p>
        </w:tc>
        <w:tc>
          <w:tcPr>
            <w:tcW w:w="3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358</w:t>
            </w:r>
          </w:p>
        </w:tc>
        <w:tc>
          <w:tcPr>
            <w:tcW w:w="0" w:type="dxa"/>
            <w:vAlign w:val="bottom"/>
          </w:tcPr>
          <w:p>
            <w:pPr>
              <w:spacing w:after="0"/>
              <w:rPr>
                <w:sz w:val="1"/>
                <w:szCs w:val="1"/>
                <w:color w:val="auto"/>
              </w:rPr>
            </w:pPr>
          </w:p>
        </w:tc>
      </w:tr>
      <w:tr>
        <w:trPr>
          <w:trHeight w:val="187"/>
        </w:trPr>
        <w:tc>
          <w:tcPr>
            <w:tcW w:w="4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jc w:val="right"/>
              <w:ind w:right="143"/>
              <w:spacing w:after="0"/>
              <w:rPr>
                <w:sz w:val="20"/>
                <w:szCs w:val="20"/>
                <w:color w:val="auto"/>
              </w:rPr>
            </w:pPr>
            <w:r>
              <w:rPr>
                <w:rFonts w:ascii="Arial" w:cs="Arial" w:eastAsia="Arial" w:hAnsi="Arial"/>
                <w:sz w:val="15"/>
                <w:szCs w:val="15"/>
                <w:b w:val="1"/>
                <w:bCs w:val="1"/>
                <w:color w:val="auto"/>
              </w:rPr>
              <w:t>653</w:t>
            </w:r>
          </w:p>
        </w:tc>
        <w:tc>
          <w:tcPr>
            <w:tcW w:w="300" w:type="dxa"/>
            <w:vAlign w:val="bottom"/>
          </w:tcPr>
          <w:p>
            <w:pPr>
              <w:spacing w:after="0"/>
              <w:rPr>
                <w:sz w:val="16"/>
                <w:szCs w:val="16"/>
                <w:color w:val="auto"/>
              </w:rPr>
            </w:pPr>
          </w:p>
        </w:tc>
        <w:tc>
          <w:tcPr>
            <w:tcW w:w="1140" w:type="dxa"/>
            <w:vAlign w:val="bottom"/>
          </w:tcPr>
          <w:p>
            <w:pPr>
              <w:jc w:val="right"/>
              <w:ind w:right="143"/>
              <w:spacing w:after="0"/>
              <w:rPr>
                <w:sz w:val="20"/>
                <w:szCs w:val="20"/>
                <w:color w:val="auto"/>
              </w:rPr>
            </w:pPr>
            <w:r>
              <w:rPr>
                <w:rFonts w:ascii="Arial" w:cs="Arial" w:eastAsia="Arial" w:hAnsi="Arial"/>
                <w:sz w:val="15"/>
                <w:szCs w:val="15"/>
                <w:color w:val="auto"/>
              </w:rPr>
              <w:t>535</w:t>
            </w: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616</w:t>
            </w:r>
          </w:p>
        </w:tc>
        <w:tc>
          <w:tcPr>
            <w:tcW w:w="0" w:type="dxa"/>
            <w:vAlign w:val="bottom"/>
          </w:tcPr>
          <w:p>
            <w:pPr>
              <w:spacing w:after="0"/>
              <w:rPr>
                <w:sz w:val="1"/>
                <w:szCs w:val="1"/>
                <w:color w:val="auto"/>
              </w:rPr>
            </w:pPr>
          </w:p>
        </w:tc>
      </w:tr>
      <w:tr>
        <w:trPr>
          <w:trHeight w:val="207"/>
        </w:trPr>
        <w:tc>
          <w:tcPr>
            <w:tcW w:w="4880" w:type="dxa"/>
            <w:vAlign w:val="bottom"/>
            <w:shd w:val="clear" w:color="auto" w:fill="CCEEFF"/>
          </w:tcPr>
          <w:p>
            <w:pPr>
              <w:spacing w:after="0"/>
              <w:rPr>
                <w:sz w:val="20"/>
                <w:szCs w:val="20"/>
                <w:color w:val="auto"/>
              </w:rPr>
            </w:pPr>
            <w:r>
              <w:rPr>
                <w:rFonts w:ascii="Arial" w:cs="Arial" w:eastAsia="Arial" w:hAnsi="Arial"/>
                <w:sz w:val="15"/>
                <w:szCs w:val="15"/>
                <w:color w:val="auto"/>
              </w:rPr>
              <w:t>Long-term debt</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125</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127</w:t>
            </w: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w:t>
            </w:r>
          </w:p>
        </w:tc>
        <w:tc>
          <w:tcPr>
            <w:tcW w:w="0" w:type="dxa"/>
            <w:vAlign w:val="bottom"/>
          </w:tcPr>
          <w:p>
            <w:pPr>
              <w:spacing w:after="0"/>
              <w:rPr>
                <w:sz w:val="1"/>
                <w:szCs w:val="1"/>
                <w:color w:val="auto"/>
              </w:rPr>
            </w:pPr>
          </w:p>
        </w:tc>
      </w:tr>
      <w:tr>
        <w:trPr>
          <w:trHeight w:val="207"/>
        </w:trPr>
        <w:tc>
          <w:tcPr>
            <w:tcW w:w="48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Other liabilities</w:t>
            </w: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642</w:t>
            </w: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393</w:t>
            </w: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701</w:t>
            </w:r>
          </w:p>
        </w:tc>
        <w:tc>
          <w:tcPr>
            <w:tcW w:w="0" w:type="dxa"/>
            <w:vAlign w:val="bottom"/>
          </w:tcPr>
          <w:p>
            <w:pPr>
              <w:spacing w:after="0"/>
              <w:rPr>
                <w:sz w:val="1"/>
                <w:szCs w:val="1"/>
                <w:color w:val="auto"/>
              </w:rPr>
            </w:pPr>
          </w:p>
        </w:tc>
      </w:tr>
      <w:tr>
        <w:trPr>
          <w:trHeight w:val="187"/>
        </w:trPr>
        <w:tc>
          <w:tcPr>
            <w:tcW w:w="4880" w:type="dxa"/>
            <w:vAlign w:val="bottom"/>
            <w:shd w:val="clear" w:color="auto" w:fill="CCEEFF"/>
          </w:tcPr>
          <w:p>
            <w:pPr>
              <w:spacing w:after="0"/>
              <w:rPr>
                <w:sz w:val="20"/>
                <w:szCs w:val="20"/>
                <w:color w:val="auto"/>
              </w:rPr>
            </w:pPr>
            <w:r>
              <w:rPr>
                <w:rFonts w:ascii="Arial" w:cs="Arial" w:eastAsia="Arial" w:hAnsi="Arial"/>
                <w:sz w:val="15"/>
                <w:szCs w:val="15"/>
                <w:color w:val="auto"/>
              </w:rPr>
              <w:t>Total liabilities</w:t>
            </w:r>
          </w:p>
        </w:tc>
        <w:tc>
          <w:tcPr>
            <w:tcW w:w="4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1,420</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1,055</w:t>
            </w: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1,442</w:t>
            </w:r>
          </w:p>
        </w:tc>
        <w:tc>
          <w:tcPr>
            <w:tcW w:w="0" w:type="dxa"/>
            <w:vAlign w:val="bottom"/>
          </w:tcPr>
          <w:p>
            <w:pPr>
              <w:spacing w:after="0"/>
              <w:rPr>
                <w:sz w:val="1"/>
                <w:szCs w:val="1"/>
                <w:color w:val="auto"/>
              </w:rPr>
            </w:pPr>
          </w:p>
        </w:tc>
      </w:tr>
      <w:tr>
        <w:trPr>
          <w:trHeight w:val="207"/>
        </w:trPr>
        <w:tc>
          <w:tcPr>
            <w:tcW w:w="4880" w:type="dxa"/>
            <w:vAlign w:val="bottom"/>
          </w:tcPr>
          <w:p>
            <w:pPr>
              <w:spacing w:after="0"/>
              <w:rPr>
                <w:sz w:val="20"/>
                <w:szCs w:val="20"/>
                <w:color w:val="auto"/>
              </w:rPr>
            </w:pPr>
            <w:r>
              <w:rPr>
                <w:rFonts w:ascii="Arial" w:cs="Arial" w:eastAsia="Arial" w:hAnsi="Arial"/>
                <w:sz w:val="15"/>
                <w:szCs w:val="15"/>
                <w:color w:val="auto"/>
              </w:rPr>
              <w:t>Shareholders’ equity:</w:t>
            </w: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6"/>
        </w:trPr>
        <w:tc>
          <w:tcPr>
            <w:tcW w:w="48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Common stock and paid-in capital: 121,341,925; 133,088,450; and</w:t>
            </w:r>
          </w:p>
        </w:tc>
        <w:tc>
          <w:tcPr>
            <w:tcW w:w="400" w:type="dxa"/>
            <w:vAlign w:val="bottom"/>
            <w:shd w:val="clear" w:color="auto" w:fill="CCEEFF"/>
          </w:tcPr>
          <w:p>
            <w:pPr>
              <w:spacing w:after="0"/>
              <w:rPr>
                <w:sz w:val="24"/>
                <w:szCs w:val="24"/>
                <w:color w:val="auto"/>
              </w:rPr>
            </w:pPr>
          </w:p>
        </w:tc>
        <w:tc>
          <w:tcPr>
            <w:tcW w:w="1120" w:type="dxa"/>
            <w:vAlign w:val="bottom"/>
            <w:vMerge w:val="restart"/>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848</w:t>
            </w: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8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121,262,456 shares outstanding, respectively</w:t>
            </w:r>
          </w:p>
        </w:tc>
        <w:tc>
          <w:tcPr>
            <w:tcW w:w="400" w:type="dxa"/>
            <w:vAlign w:val="bottom"/>
            <w:shd w:val="clear" w:color="auto" w:fill="CCEEFF"/>
          </w:tcPr>
          <w:p>
            <w:pPr>
              <w:spacing w:after="0"/>
              <w:rPr>
                <w:sz w:val="15"/>
                <w:szCs w:val="15"/>
                <w:color w:val="auto"/>
              </w:rPr>
            </w:pPr>
          </w:p>
        </w:tc>
        <w:tc>
          <w:tcPr>
            <w:tcW w:w="1120" w:type="dxa"/>
            <w:vAlign w:val="bottom"/>
            <w:vMerge w:val="continue"/>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914</w:t>
            </w:r>
          </w:p>
        </w:tc>
        <w:tc>
          <w:tcPr>
            <w:tcW w:w="3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842</w:t>
            </w:r>
          </w:p>
        </w:tc>
        <w:tc>
          <w:tcPr>
            <w:tcW w:w="0" w:type="dxa"/>
            <w:vAlign w:val="bottom"/>
          </w:tcPr>
          <w:p>
            <w:pPr>
              <w:spacing w:after="0"/>
              <w:rPr>
                <w:sz w:val="1"/>
                <w:szCs w:val="1"/>
                <w:color w:val="auto"/>
              </w:rPr>
            </w:pPr>
          </w:p>
        </w:tc>
      </w:tr>
      <w:tr>
        <w:trPr>
          <w:trHeight w:val="207"/>
        </w:trPr>
        <w:tc>
          <w:tcPr>
            <w:tcW w:w="4880" w:type="dxa"/>
            <w:vAlign w:val="bottom"/>
          </w:tcPr>
          <w:p>
            <w:pPr>
              <w:ind w:left="100"/>
              <w:spacing w:after="0"/>
              <w:rPr>
                <w:sz w:val="20"/>
                <w:szCs w:val="20"/>
                <w:color w:val="auto"/>
              </w:rPr>
            </w:pPr>
            <w:r>
              <w:rPr>
                <w:rFonts w:ascii="Arial" w:cs="Arial" w:eastAsia="Arial" w:hAnsi="Arial"/>
                <w:sz w:val="15"/>
                <w:szCs w:val="15"/>
                <w:color w:val="auto"/>
              </w:rPr>
              <w:t>Retained earnings</w:t>
            </w:r>
          </w:p>
        </w:tc>
        <w:tc>
          <w:tcPr>
            <w:tcW w:w="400" w:type="dxa"/>
            <w:vAlign w:val="bottom"/>
          </w:tcPr>
          <w:p>
            <w:pPr>
              <w:spacing w:after="0"/>
              <w:rPr>
                <w:sz w:val="17"/>
                <w:szCs w:val="17"/>
                <w:color w:val="auto"/>
              </w:rPr>
            </w:pPr>
          </w:p>
        </w:tc>
        <w:tc>
          <w:tcPr>
            <w:tcW w:w="1120" w:type="dxa"/>
            <w:vAlign w:val="bottom"/>
          </w:tcPr>
          <w:p>
            <w:pPr>
              <w:jc w:val="right"/>
              <w:ind w:right="143"/>
              <w:spacing w:after="0"/>
              <w:rPr>
                <w:sz w:val="20"/>
                <w:szCs w:val="20"/>
                <w:color w:val="auto"/>
              </w:rPr>
            </w:pPr>
            <w:r>
              <w:rPr>
                <w:rFonts w:ascii="Arial" w:cs="Arial" w:eastAsia="Arial" w:hAnsi="Arial"/>
                <w:sz w:val="15"/>
                <w:szCs w:val="15"/>
                <w:b w:val="1"/>
                <w:bCs w:val="1"/>
                <w:color w:val="auto"/>
              </w:rPr>
              <w:t>2,184</w:t>
            </w:r>
          </w:p>
        </w:tc>
        <w:tc>
          <w:tcPr>
            <w:tcW w:w="300" w:type="dxa"/>
            <w:vAlign w:val="bottom"/>
          </w:tcPr>
          <w:p>
            <w:pPr>
              <w:spacing w:after="0"/>
              <w:rPr>
                <w:sz w:val="17"/>
                <w:szCs w:val="17"/>
                <w:color w:val="auto"/>
              </w:rPr>
            </w:pPr>
          </w:p>
        </w:tc>
        <w:tc>
          <w:tcPr>
            <w:tcW w:w="1140" w:type="dxa"/>
            <w:vAlign w:val="bottom"/>
          </w:tcPr>
          <w:p>
            <w:pPr>
              <w:jc w:val="right"/>
              <w:ind w:right="143"/>
              <w:spacing w:after="0"/>
              <w:rPr>
                <w:sz w:val="20"/>
                <w:szCs w:val="20"/>
                <w:color w:val="auto"/>
              </w:rPr>
            </w:pPr>
            <w:r>
              <w:rPr>
                <w:rFonts w:ascii="Arial" w:cs="Arial" w:eastAsia="Arial" w:hAnsi="Arial"/>
                <w:sz w:val="15"/>
                <w:szCs w:val="15"/>
                <w:color w:val="auto"/>
              </w:rPr>
              <w:t>2,393</w:t>
            </w: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2,019</w:t>
            </w:r>
          </w:p>
        </w:tc>
        <w:tc>
          <w:tcPr>
            <w:tcW w:w="0" w:type="dxa"/>
            <w:vAlign w:val="bottom"/>
          </w:tcPr>
          <w:p>
            <w:pPr>
              <w:spacing w:after="0"/>
              <w:rPr>
                <w:sz w:val="1"/>
                <w:szCs w:val="1"/>
                <w:color w:val="auto"/>
              </w:rPr>
            </w:pPr>
          </w:p>
        </w:tc>
      </w:tr>
      <w:tr>
        <w:trPr>
          <w:trHeight w:val="207"/>
        </w:trPr>
        <w:tc>
          <w:tcPr>
            <w:tcW w:w="48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Accumulated other comprehensive loss</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(313)</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(357)</w:t>
            </w: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(279)</w:t>
            </w:r>
          </w:p>
        </w:tc>
        <w:tc>
          <w:tcPr>
            <w:tcW w:w="0" w:type="dxa"/>
            <w:vAlign w:val="bottom"/>
          </w:tcPr>
          <w:p>
            <w:pPr>
              <w:spacing w:after="0"/>
              <w:rPr>
                <w:sz w:val="1"/>
                <w:szCs w:val="1"/>
                <w:color w:val="auto"/>
              </w:rPr>
            </w:pPr>
          </w:p>
        </w:tc>
      </w:tr>
      <w:tr>
        <w:trPr>
          <w:trHeight w:val="226"/>
        </w:trPr>
        <w:tc>
          <w:tcPr>
            <w:tcW w:w="4880" w:type="dxa"/>
            <w:vAlign w:val="bottom"/>
          </w:tcPr>
          <w:p>
            <w:pPr>
              <w:ind w:left="100"/>
              <w:spacing w:after="0"/>
              <w:rPr>
                <w:sz w:val="20"/>
                <w:szCs w:val="20"/>
                <w:color w:val="auto"/>
              </w:rPr>
            </w:pPr>
            <w:r>
              <w:rPr>
                <w:rFonts w:ascii="Arial" w:cs="Arial" w:eastAsia="Arial" w:hAnsi="Arial"/>
                <w:sz w:val="15"/>
                <w:szCs w:val="15"/>
                <w:color w:val="auto"/>
              </w:rPr>
              <w:t>Less: Treasury stock at cost: 4,080,653; 1,791,789; and 1,433,433</w:t>
            </w:r>
          </w:p>
        </w:tc>
        <w:tc>
          <w:tcPr>
            <w:tcW w:w="400" w:type="dxa"/>
            <w:vAlign w:val="bottom"/>
          </w:tcPr>
          <w:p>
            <w:pPr>
              <w:spacing w:after="0"/>
              <w:rPr>
                <w:sz w:val="19"/>
                <w:szCs w:val="19"/>
                <w:color w:val="auto"/>
              </w:rPr>
            </w:pPr>
          </w:p>
        </w:tc>
        <w:tc>
          <w:tcPr>
            <w:tcW w:w="1120" w:type="dxa"/>
            <w:vAlign w:val="bottom"/>
            <w:vMerge w:val="restart"/>
          </w:tcPr>
          <w:p>
            <w:pPr>
              <w:jc w:val="right"/>
              <w:ind w:right="103"/>
              <w:spacing w:after="0"/>
              <w:rPr>
                <w:sz w:val="20"/>
                <w:szCs w:val="20"/>
                <w:color w:val="auto"/>
              </w:rPr>
            </w:pPr>
            <w:r>
              <w:rPr>
                <w:rFonts w:ascii="Arial" w:cs="Arial" w:eastAsia="Arial" w:hAnsi="Arial"/>
                <w:sz w:val="15"/>
                <w:szCs w:val="15"/>
                <w:b w:val="1"/>
                <w:bCs w:val="1"/>
                <w:color w:val="auto"/>
              </w:rPr>
              <w:t>(176)</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880" w:type="dxa"/>
            <w:vAlign w:val="bottom"/>
            <w:tcBorders>
              <w:bottom w:val="single" w:sz="8" w:color="auto"/>
            </w:tcBorders>
          </w:tcPr>
          <w:p>
            <w:pPr>
              <w:ind w:left="220"/>
              <w:spacing w:after="0"/>
              <w:rPr>
                <w:sz w:val="20"/>
                <w:szCs w:val="20"/>
                <w:color w:val="auto"/>
              </w:rPr>
            </w:pPr>
            <w:r>
              <w:rPr>
                <w:rFonts w:ascii="Arial" w:cs="Arial" w:eastAsia="Arial" w:hAnsi="Arial"/>
                <w:sz w:val="15"/>
                <w:szCs w:val="15"/>
                <w:color w:val="auto"/>
              </w:rPr>
              <w:t>shares, respectively</w:t>
            </w: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(128)</w:t>
            </w:r>
          </w:p>
        </w:tc>
        <w:tc>
          <w:tcPr>
            <w:tcW w:w="3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w:t>
            </w:r>
          </w:p>
        </w:tc>
        <w:tc>
          <w:tcPr>
            <w:tcW w:w="0" w:type="dxa"/>
            <w:vAlign w:val="bottom"/>
          </w:tcPr>
          <w:p>
            <w:pPr>
              <w:spacing w:after="0"/>
              <w:rPr>
                <w:sz w:val="1"/>
                <w:szCs w:val="1"/>
                <w:color w:val="auto"/>
              </w:rPr>
            </w:pPr>
          </w:p>
        </w:tc>
      </w:tr>
      <w:tr>
        <w:trPr>
          <w:trHeight w:val="187"/>
        </w:trPr>
        <w:tc>
          <w:tcPr>
            <w:tcW w:w="4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Total shareholders' equity</w:t>
            </w:r>
          </w:p>
        </w:tc>
        <w:tc>
          <w:tcPr>
            <w:tcW w:w="4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2,543</w:t>
            </w:r>
          </w:p>
        </w:tc>
        <w:tc>
          <w:tcPr>
            <w:tcW w:w="3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2,822</w:t>
            </w:r>
          </w:p>
        </w:tc>
        <w:tc>
          <w:tcPr>
            <w:tcW w:w="3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2,519</w:t>
            </w:r>
          </w:p>
        </w:tc>
        <w:tc>
          <w:tcPr>
            <w:tcW w:w="0" w:type="dxa"/>
            <w:vAlign w:val="bottom"/>
          </w:tcPr>
          <w:p>
            <w:pPr>
              <w:spacing w:after="0"/>
              <w:rPr>
                <w:sz w:val="1"/>
                <w:szCs w:val="1"/>
                <w:color w:val="auto"/>
              </w:rPr>
            </w:pPr>
          </w:p>
        </w:tc>
      </w:tr>
      <w:tr>
        <w:trPr>
          <w:trHeight w:val="179"/>
        </w:trPr>
        <w:tc>
          <w:tcPr>
            <w:tcW w:w="48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w:t>
            </w:r>
          </w:p>
        </w:tc>
        <w:tc>
          <w:tcPr>
            <w:tcW w:w="11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3,963</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3,877</w:t>
            </w:r>
          </w:p>
        </w:tc>
        <w:tc>
          <w:tcPr>
            <w:tcW w:w="3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3,961</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Condensed Consolidated Financial Statements.</w:t>
      </w:r>
    </w:p>
    <w:p>
      <w:pPr>
        <w:spacing w:after="0" w:line="173" w:lineRule="exact"/>
        <w:rPr>
          <w:sz w:val="20"/>
          <w:szCs w:val="20"/>
          <w:color w:val="auto"/>
        </w:rPr>
      </w:pPr>
    </w:p>
    <w:p>
      <w:pPr>
        <w:jc w:val="both"/>
        <w:ind w:firstLine="5"/>
        <w:spacing w:after="0" w:line="239" w:lineRule="auto"/>
        <w:tabs>
          <w:tab w:leader="none" w:pos="102" w:val="left"/>
        </w:tabs>
        <w:numPr>
          <w:ilvl w:val="0"/>
          <w:numId w:val="2"/>
        </w:numPr>
        <w:rPr>
          <w:rFonts w:ascii="Arial" w:cs="Arial" w:eastAsia="Arial" w:hAnsi="Arial"/>
          <w:sz w:val="12"/>
          <w:szCs w:val="12"/>
          <w:color w:val="auto"/>
        </w:rPr>
      </w:pPr>
      <w:r>
        <w:rPr>
          <w:rFonts w:ascii="Arial" w:cs="Arial" w:eastAsia="Arial" w:hAnsi="Arial"/>
          <w:sz w:val="12"/>
          <w:szCs w:val="12"/>
          <w:color w:val="auto"/>
        </w:rPr>
        <w:t>The balance sheet at February 3, 2018 has been derived from the previously reported audited financial statements at that date, but does not include all of the information and footnotes required by U.S. generally accepted accounting principles for complete financial statements. For further information, refer to the consolidated financial statements and footnotes thereto included in Foot Locker, Inc.’s Annual Report on Form 10-K for the year ended February 3,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5" w:right="1399" w:bottom="1440" w:gutter="0" w:footer="0" w:header="0"/>
        </w:sectPr>
      </w:pPr>
    </w:p>
    <w:bookmarkStart w:id="3" w:name="page4"/>
    <w:bookmarkEnd w:id="3"/>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OPERATIONS</w:t>
      </w:r>
    </w:p>
    <w:p>
      <w:pPr>
        <w:jc w:val="center"/>
        <w:spacing w:after="0" w:line="236" w:lineRule="auto"/>
        <w:rPr>
          <w:sz w:val="20"/>
          <w:szCs w:val="20"/>
          <w:color w:val="auto"/>
        </w:rPr>
      </w:pPr>
      <w:r>
        <w:rPr>
          <w:rFonts w:ascii="Arial" w:cs="Arial" w:eastAsia="Arial" w:hAnsi="Arial"/>
          <w:sz w:val="15"/>
          <w:szCs w:val="15"/>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(in millions, except per share amounts)</w:t>
      </w:r>
    </w:p>
    <w:p>
      <w:pPr>
        <w:spacing w:after="0" w:line="200" w:lineRule="exact"/>
        <w:rPr>
          <w:sz w:val="20"/>
          <w:szCs w:val="20"/>
          <w:color w:val="auto"/>
        </w:rPr>
      </w:pPr>
    </w:p>
    <w:p>
      <w:pPr>
        <w:spacing w:after="0" w:line="278" w:lineRule="exact"/>
        <w:rPr>
          <w:sz w:val="20"/>
          <w:szCs w:val="20"/>
          <w:color w:val="auto"/>
        </w:rPr>
      </w:pPr>
    </w:p>
    <w:p>
      <w:pPr>
        <w:ind w:left="6640"/>
        <w:spacing w:after="0"/>
        <w:rPr>
          <w:sz w:val="20"/>
          <w:szCs w:val="20"/>
          <w:color w:val="auto"/>
        </w:rPr>
      </w:pPr>
      <w:r>
        <w:rPr>
          <w:rFonts w:ascii="Arial" w:cs="Arial" w:eastAsia="Arial" w:hAnsi="Arial"/>
          <w:sz w:val="15"/>
          <w:szCs w:val="15"/>
          <w:b w:val="1"/>
          <w:bCs w:val="1"/>
          <w:color w:val="auto"/>
        </w:rPr>
        <w:t>Thirteen weeks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980" w:type="dxa"/>
            <w:vAlign w:val="bottom"/>
            <w:tcBorders>
              <w:top w:val="single" w:sz="8" w:color="auto"/>
            </w:tcBorders>
          </w:tcPr>
          <w:p>
            <w:pPr>
              <w:spacing w:after="0"/>
              <w:rPr>
                <w:sz w:val="13"/>
                <w:szCs w:val="13"/>
                <w:color w:val="auto"/>
              </w:rPr>
            </w:pPr>
          </w:p>
        </w:tc>
        <w:tc>
          <w:tcPr>
            <w:tcW w:w="184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5"/>
                <w:szCs w:val="15"/>
                <w:b w:val="1"/>
                <w:bCs w:val="1"/>
                <w:color w:val="auto"/>
              </w:rPr>
              <w:t>May 5,</w:t>
            </w:r>
          </w:p>
        </w:tc>
        <w:tc>
          <w:tcPr>
            <w:tcW w:w="72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383"/>
              <w:spacing w:after="0" w:line="151" w:lineRule="exact"/>
              <w:rPr>
                <w:sz w:val="20"/>
                <w:szCs w:val="20"/>
                <w:color w:val="auto"/>
              </w:rPr>
            </w:pPr>
            <w:r>
              <w:rPr>
                <w:rFonts w:ascii="Arial" w:cs="Arial" w:eastAsia="Arial" w:hAnsi="Arial"/>
                <w:sz w:val="15"/>
                <w:szCs w:val="15"/>
                <w:b w:val="1"/>
                <w:bCs w:val="1"/>
                <w:color w:val="auto"/>
              </w:rPr>
              <w:t>April 29,</w:t>
            </w:r>
          </w:p>
        </w:tc>
        <w:tc>
          <w:tcPr>
            <w:tcW w:w="20" w:type="dxa"/>
            <w:vAlign w:val="bottom"/>
          </w:tcPr>
          <w:p>
            <w:pPr>
              <w:spacing w:after="0"/>
              <w:rPr>
                <w:sz w:val="13"/>
                <w:szCs w:val="13"/>
                <w:color w:val="auto"/>
              </w:rPr>
            </w:pPr>
          </w:p>
        </w:tc>
      </w:tr>
      <w:tr>
        <w:trPr>
          <w:trHeight w:val="194"/>
        </w:trPr>
        <w:tc>
          <w:tcPr>
            <w:tcW w:w="49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2018</w:t>
            </w:r>
          </w:p>
        </w:tc>
        <w:tc>
          <w:tcPr>
            <w:tcW w:w="7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2017</w:t>
            </w:r>
          </w:p>
        </w:tc>
        <w:tc>
          <w:tcPr>
            <w:tcW w:w="20" w:type="dxa"/>
            <w:vAlign w:val="bottom"/>
          </w:tcPr>
          <w:p>
            <w:pPr>
              <w:spacing w:after="0"/>
              <w:rPr>
                <w:sz w:val="16"/>
                <w:szCs w:val="16"/>
                <w:color w:val="auto"/>
              </w:rPr>
            </w:pPr>
          </w:p>
        </w:tc>
      </w:tr>
      <w:tr>
        <w:trPr>
          <w:trHeight w:val="187"/>
        </w:trPr>
        <w:tc>
          <w:tcPr>
            <w:tcW w:w="49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7"/>
        </w:trPr>
        <w:tc>
          <w:tcPr>
            <w:tcW w:w="49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Sales</w:t>
            </w:r>
          </w:p>
        </w:tc>
        <w:tc>
          <w:tcPr>
            <w:tcW w:w="1840" w:type="dxa"/>
            <w:vAlign w:val="bottom"/>
            <w:shd w:val="clear" w:color="auto" w:fill="CCEEFF"/>
          </w:tcPr>
          <w:p>
            <w:pPr>
              <w:jc w:val="right"/>
              <w:ind w:right="663"/>
              <w:spacing w:after="0"/>
              <w:rPr>
                <w:sz w:val="20"/>
                <w:szCs w:val="20"/>
                <w:color w:val="auto"/>
              </w:rPr>
            </w:pPr>
            <w:r>
              <w:rPr>
                <w:rFonts w:ascii="Arial" w:cs="Arial" w:eastAsia="Arial" w:hAnsi="Arial"/>
                <w:sz w:val="15"/>
                <w:szCs w:val="15"/>
                <w:b w:val="1"/>
                <w:bCs w:val="1"/>
                <w:color w:val="auto"/>
              </w:rPr>
              <w:t>$</w:t>
            </w:r>
          </w:p>
        </w:tc>
        <w:tc>
          <w:tcPr>
            <w:tcW w:w="720" w:type="dxa"/>
            <w:vAlign w:val="bottom"/>
            <w:shd w:val="clear" w:color="auto" w:fill="CCEEFF"/>
          </w:tcPr>
          <w:p>
            <w:pPr>
              <w:jc w:val="right"/>
              <w:ind w:right="203"/>
              <w:spacing w:after="0"/>
              <w:rPr>
                <w:sz w:val="20"/>
                <w:szCs w:val="20"/>
                <w:color w:val="auto"/>
              </w:rPr>
            </w:pPr>
            <w:r>
              <w:rPr>
                <w:rFonts w:ascii="Arial" w:cs="Arial" w:eastAsia="Arial" w:hAnsi="Arial"/>
                <w:sz w:val="15"/>
                <w:szCs w:val="15"/>
                <w:b w:val="1"/>
                <w:bCs w:val="1"/>
                <w:color w:val="auto"/>
              </w:rPr>
              <w:t>2,025</w:t>
            </w:r>
          </w:p>
        </w:tc>
        <w:tc>
          <w:tcPr>
            <w:tcW w:w="4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2,001</w:t>
            </w:r>
          </w:p>
        </w:tc>
        <w:tc>
          <w:tcPr>
            <w:tcW w:w="20" w:type="dxa"/>
            <w:vAlign w:val="bottom"/>
          </w:tcPr>
          <w:p>
            <w:pPr>
              <w:spacing w:after="0"/>
              <w:rPr>
                <w:sz w:val="17"/>
                <w:szCs w:val="17"/>
                <w:color w:val="auto"/>
              </w:rPr>
            </w:pPr>
          </w:p>
        </w:tc>
      </w:tr>
      <w:tr>
        <w:trPr>
          <w:trHeight w:val="207"/>
        </w:trPr>
        <w:tc>
          <w:tcPr>
            <w:tcW w:w="49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7"/>
        </w:trPr>
        <w:tc>
          <w:tcPr>
            <w:tcW w:w="4980" w:type="dxa"/>
            <w:vAlign w:val="bottom"/>
            <w:shd w:val="clear" w:color="auto" w:fill="CCEEFF"/>
          </w:tcPr>
          <w:p>
            <w:pPr>
              <w:spacing w:after="0"/>
              <w:rPr>
                <w:sz w:val="20"/>
                <w:szCs w:val="20"/>
                <w:color w:val="auto"/>
              </w:rPr>
            </w:pPr>
            <w:r>
              <w:rPr>
                <w:rFonts w:ascii="Arial" w:cs="Arial" w:eastAsia="Arial" w:hAnsi="Arial"/>
                <w:sz w:val="15"/>
                <w:szCs w:val="15"/>
                <w:color w:val="auto"/>
              </w:rPr>
              <w:t>Cost of sales</w:t>
            </w:r>
          </w:p>
        </w:tc>
        <w:tc>
          <w:tcPr>
            <w:tcW w:w="18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203"/>
              <w:spacing w:after="0"/>
              <w:rPr>
                <w:sz w:val="20"/>
                <w:szCs w:val="20"/>
                <w:color w:val="auto"/>
              </w:rPr>
            </w:pPr>
            <w:r>
              <w:rPr>
                <w:rFonts w:ascii="Arial" w:cs="Arial" w:eastAsia="Arial" w:hAnsi="Arial"/>
                <w:sz w:val="15"/>
                <w:szCs w:val="15"/>
                <w:b w:val="1"/>
                <w:bCs w:val="1"/>
                <w:color w:val="auto"/>
              </w:rPr>
              <w:t>1,359</w:t>
            </w: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1,321</w:t>
            </w:r>
          </w:p>
        </w:tc>
        <w:tc>
          <w:tcPr>
            <w:tcW w:w="20" w:type="dxa"/>
            <w:vAlign w:val="bottom"/>
          </w:tcPr>
          <w:p>
            <w:pPr>
              <w:spacing w:after="0"/>
              <w:rPr>
                <w:sz w:val="17"/>
                <w:szCs w:val="17"/>
                <w:color w:val="auto"/>
              </w:rPr>
            </w:pPr>
          </w:p>
        </w:tc>
      </w:tr>
      <w:tr>
        <w:trPr>
          <w:trHeight w:val="207"/>
        </w:trPr>
        <w:tc>
          <w:tcPr>
            <w:tcW w:w="4980" w:type="dxa"/>
            <w:vAlign w:val="bottom"/>
          </w:tcPr>
          <w:p>
            <w:pPr>
              <w:spacing w:after="0"/>
              <w:rPr>
                <w:sz w:val="20"/>
                <w:szCs w:val="20"/>
                <w:color w:val="auto"/>
              </w:rPr>
            </w:pPr>
            <w:r>
              <w:rPr>
                <w:rFonts w:ascii="Arial" w:cs="Arial" w:eastAsia="Arial" w:hAnsi="Arial"/>
                <w:sz w:val="15"/>
                <w:szCs w:val="15"/>
                <w:color w:val="auto"/>
              </w:rPr>
              <w:t>Selling, general and administrative expenses</w:t>
            </w:r>
          </w:p>
        </w:tc>
        <w:tc>
          <w:tcPr>
            <w:tcW w:w="1840" w:type="dxa"/>
            <w:vAlign w:val="bottom"/>
          </w:tcPr>
          <w:p>
            <w:pPr>
              <w:spacing w:after="0"/>
              <w:rPr>
                <w:sz w:val="17"/>
                <w:szCs w:val="17"/>
                <w:color w:val="auto"/>
              </w:rPr>
            </w:pPr>
          </w:p>
        </w:tc>
        <w:tc>
          <w:tcPr>
            <w:tcW w:w="720" w:type="dxa"/>
            <w:vAlign w:val="bottom"/>
          </w:tcPr>
          <w:p>
            <w:pPr>
              <w:jc w:val="right"/>
              <w:ind w:right="203"/>
              <w:spacing w:after="0"/>
              <w:rPr>
                <w:sz w:val="20"/>
                <w:szCs w:val="20"/>
                <w:color w:val="auto"/>
              </w:rPr>
            </w:pPr>
            <w:r>
              <w:rPr>
                <w:rFonts w:ascii="Arial" w:cs="Arial" w:eastAsia="Arial" w:hAnsi="Arial"/>
                <w:sz w:val="15"/>
                <w:szCs w:val="15"/>
                <w:b w:val="1"/>
                <w:bCs w:val="1"/>
                <w:color w:val="auto"/>
              </w:rPr>
              <w:t>385</w:t>
            </w:r>
          </w:p>
        </w:tc>
        <w:tc>
          <w:tcPr>
            <w:tcW w:w="4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371</w:t>
            </w:r>
          </w:p>
        </w:tc>
        <w:tc>
          <w:tcPr>
            <w:tcW w:w="20" w:type="dxa"/>
            <w:vAlign w:val="bottom"/>
          </w:tcPr>
          <w:p>
            <w:pPr>
              <w:spacing w:after="0"/>
              <w:rPr>
                <w:sz w:val="17"/>
                <w:szCs w:val="17"/>
                <w:color w:val="auto"/>
              </w:rPr>
            </w:pPr>
          </w:p>
        </w:tc>
      </w:tr>
      <w:tr>
        <w:trPr>
          <w:trHeight w:val="207"/>
        </w:trPr>
        <w:tc>
          <w:tcPr>
            <w:tcW w:w="4980" w:type="dxa"/>
            <w:vAlign w:val="bottom"/>
            <w:shd w:val="clear" w:color="auto" w:fill="CCEEFF"/>
          </w:tcPr>
          <w:p>
            <w:pPr>
              <w:spacing w:after="0"/>
              <w:rPr>
                <w:sz w:val="20"/>
                <w:szCs w:val="20"/>
                <w:color w:val="auto"/>
              </w:rPr>
            </w:pPr>
            <w:r>
              <w:rPr>
                <w:rFonts w:ascii="Arial" w:cs="Arial" w:eastAsia="Arial" w:hAnsi="Arial"/>
                <w:sz w:val="15"/>
                <w:szCs w:val="15"/>
                <w:color w:val="auto"/>
              </w:rPr>
              <w:t>Depreciation and amortization</w:t>
            </w:r>
          </w:p>
        </w:tc>
        <w:tc>
          <w:tcPr>
            <w:tcW w:w="18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203"/>
              <w:spacing w:after="0"/>
              <w:rPr>
                <w:sz w:val="20"/>
                <w:szCs w:val="20"/>
                <w:color w:val="auto"/>
              </w:rPr>
            </w:pPr>
            <w:r>
              <w:rPr>
                <w:rFonts w:ascii="Arial" w:cs="Arial" w:eastAsia="Arial" w:hAnsi="Arial"/>
                <w:sz w:val="15"/>
                <w:szCs w:val="15"/>
                <w:b w:val="1"/>
                <w:bCs w:val="1"/>
                <w:color w:val="auto"/>
              </w:rPr>
              <w:t>45</w:t>
            </w: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w:t>
            </w:r>
          </w:p>
        </w:tc>
        <w:tc>
          <w:tcPr>
            <w:tcW w:w="20" w:type="dxa"/>
            <w:vAlign w:val="bottom"/>
          </w:tcPr>
          <w:p>
            <w:pPr>
              <w:spacing w:after="0"/>
              <w:rPr>
                <w:sz w:val="17"/>
                <w:szCs w:val="17"/>
                <w:color w:val="auto"/>
              </w:rPr>
            </w:pPr>
          </w:p>
        </w:tc>
      </w:tr>
      <w:tr>
        <w:trPr>
          <w:trHeight w:val="207"/>
        </w:trPr>
        <w:tc>
          <w:tcPr>
            <w:tcW w:w="4980" w:type="dxa"/>
            <w:vAlign w:val="bottom"/>
          </w:tcPr>
          <w:p>
            <w:pPr>
              <w:spacing w:after="0"/>
              <w:rPr>
                <w:sz w:val="20"/>
                <w:szCs w:val="20"/>
                <w:color w:val="auto"/>
              </w:rPr>
            </w:pPr>
            <w:r>
              <w:rPr>
                <w:rFonts w:ascii="Arial" w:cs="Arial" w:eastAsia="Arial" w:hAnsi="Arial"/>
                <w:sz w:val="15"/>
                <w:szCs w:val="15"/>
                <w:color w:val="auto"/>
              </w:rPr>
              <w:t>Litigation and other charges</w:t>
            </w:r>
          </w:p>
        </w:tc>
        <w:tc>
          <w:tcPr>
            <w:tcW w:w="1840" w:type="dxa"/>
            <w:vAlign w:val="bottom"/>
          </w:tcPr>
          <w:p>
            <w:pPr>
              <w:spacing w:after="0"/>
              <w:rPr>
                <w:sz w:val="17"/>
                <w:szCs w:val="17"/>
                <w:color w:val="auto"/>
              </w:rPr>
            </w:pPr>
          </w:p>
        </w:tc>
        <w:tc>
          <w:tcPr>
            <w:tcW w:w="720" w:type="dxa"/>
            <w:vAlign w:val="bottom"/>
          </w:tcPr>
          <w:p>
            <w:pPr>
              <w:jc w:val="right"/>
              <w:ind w:right="203"/>
              <w:spacing w:after="0"/>
              <w:rPr>
                <w:sz w:val="20"/>
                <w:szCs w:val="20"/>
                <w:color w:val="auto"/>
              </w:rPr>
            </w:pPr>
            <w:r>
              <w:rPr>
                <w:rFonts w:ascii="Arial" w:cs="Arial" w:eastAsia="Arial" w:hAnsi="Arial"/>
                <w:sz w:val="15"/>
                <w:szCs w:val="15"/>
                <w:b w:val="1"/>
                <w:bCs w:val="1"/>
                <w:color w:val="auto"/>
              </w:rPr>
              <w:t>12</w:t>
            </w:r>
          </w:p>
        </w:tc>
        <w:tc>
          <w:tcPr>
            <w:tcW w:w="42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r>
      <w:tr>
        <w:trPr>
          <w:trHeight w:val="187"/>
        </w:trPr>
        <w:tc>
          <w:tcPr>
            <w:tcW w:w="4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Income from operations</w:t>
            </w:r>
          </w:p>
        </w:tc>
        <w:tc>
          <w:tcPr>
            <w:tcW w:w="184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b w:val="1"/>
                <w:bCs w:val="1"/>
                <w:color w:val="auto"/>
              </w:rPr>
              <w:t>224</w:t>
            </w:r>
          </w:p>
        </w:tc>
        <w:tc>
          <w:tcPr>
            <w:tcW w:w="4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268</w:t>
            </w:r>
          </w:p>
        </w:tc>
        <w:tc>
          <w:tcPr>
            <w:tcW w:w="20" w:type="dxa"/>
            <w:vAlign w:val="bottom"/>
          </w:tcPr>
          <w:p>
            <w:pPr>
              <w:spacing w:after="0"/>
              <w:rPr>
                <w:sz w:val="16"/>
                <w:szCs w:val="16"/>
                <w:color w:val="auto"/>
              </w:rPr>
            </w:pPr>
          </w:p>
        </w:tc>
      </w:tr>
      <w:tr>
        <w:trPr>
          <w:trHeight w:val="207"/>
        </w:trPr>
        <w:tc>
          <w:tcPr>
            <w:tcW w:w="49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gridSpan w:val="2"/>
          </w:tcPr>
          <w:p>
            <w:pPr>
              <w:spacing w:after="0"/>
              <w:rPr>
                <w:sz w:val="17"/>
                <w:szCs w:val="17"/>
                <w:color w:val="auto"/>
              </w:rPr>
            </w:pPr>
          </w:p>
        </w:tc>
      </w:tr>
      <w:tr>
        <w:trPr>
          <w:trHeight w:val="207"/>
        </w:trPr>
        <w:tc>
          <w:tcPr>
            <w:tcW w:w="4980" w:type="dxa"/>
            <w:vAlign w:val="bottom"/>
            <w:shd w:val="clear" w:color="auto" w:fill="CCEEFF"/>
          </w:tcPr>
          <w:p>
            <w:pPr>
              <w:spacing w:after="0"/>
              <w:rPr>
                <w:sz w:val="20"/>
                <w:szCs w:val="20"/>
                <w:color w:val="auto"/>
              </w:rPr>
            </w:pPr>
            <w:r>
              <w:rPr>
                <w:rFonts w:ascii="Arial" w:cs="Arial" w:eastAsia="Arial" w:hAnsi="Arial"/>
                <w:sz w:val="15"/>
                <w:szCs w:val="15"/>
                <w:color w:val="auto"/>
              </w:rPr>
              <w:t>Interest income, net</w:t>
            </w:r>
          </w:p>
        </w:tc>
        <w:tc>
          <w:tcPr>
            <w:tcW w:w="184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63"/>
              <w:spacing w:after="0"/>
              <w:rPr>
                <w:sz w:val="20"/>
                <w:szCs w:val="20"/>
                <w:color w:val="auto"/>
              </w:rPr>
            </w:pPr>
            <w:r>
              <w:rPr>
                <w:rFonts w:ascii="Arial" w:cs="Arial" w:eastAsia="Arial" w:hAnsi="Arial"/>
                <w:sz w:val="15"/>
                <w:szCs w:val="15"/>
                <w:b w:val="1"/>
                <w:bCs w:val="1"/>
                <w:color w:val="auto"/>
              </w:rPr>
              <w:t>(2)</w:t>
            </w: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r>
      <w:tr>
        <w:trPr>
          <w:trHeight w:val="207"/>
        </w:trPr>
        <w:tc>
          <w:tcPr>
            <w:tcW w:w="4980" w:type="dxa"/>
            <w:vAlign w:val="bottom"/>
          </w:tcPr>
          <w:p>
            <w:pPr>
              <w:spacing w:after="0"/>
              <w:rPr>
                <w:sz w:val="20"/>
                <w:szCs w:val="20"/>
                <w:color w:val="auto"/>
              </w:rPr>
            </w:pPr>
            <w:r>
              <w:rPr>
                <w:rFonts w:ascii="Arial" w:cs="Arial" w:eastAsia="Arial" w:hAnsi="Arial"/>
                <w:sz w:val="15"/>
                <w:szCs w:val="15"/>
                <w:color w:val="auto"/>
              </w:rPr>
              <w:t>Other income</w:t>
            </w:r>
          </w:p>
        </w:tc>
        <w:tc>
          <w:tcPr>
            <w:tcW w:w="1840" w:type="dxa"/>
            <w:vAlign w:val="bottom"/>
          </w:tcPr>
          <w:p>
            <w:pPr>
              <w:spacing w:after="0"/>
              <w:rPr>
                <w:sz w:val="17"/>
                <w:szCs w:val="17"/>
                <w:color w:val="auto"/>
              </w:rPr>
            </w:pPr>
          </w:p>
        </w:tc>
        <w:tc>
          <w:tcPr>
            <w:tcW w:w="720" w:type="dxa"/>
            <w:vAlign w:val="bottom"/>
          </w:tcPr>
          <w:p>
            <w:pPr>
              <w:jc w:val="right"/>
              <w:ind w:right="163"/>
              <w:spacing w:after="0"/>
              <w:rPr>
                <w:sz w:val="20"/>
                <w:szCs w:val="20"/>
                <w:color w:val="auto"/>
              </w:rPr>
            </w:pPr>
            <w:r>
              <w:rPr>
                <w:rFonts w:ascii="Arial" w:cs="Arial" w:eastAsia="Arial" w:hAnsi="Arial"/>
                <w:sz w:val="15"/>
                <w:szCs w:val="15"/>
                <w:b w:val="1"/>
                <w:bCs w:val="1"/>
                <w:color w:val="auto"/>
              </w:rPr>
              <w:t>(3)</w:t>
            </w:r>
          </w:p>
        </w:tc>
        <w:tc>
          <w:tcPr>
            <w:tcW w:w="42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5"/>
                <w:szCs w:val="15"/>
                <w:color w:val="auto"/>
              </w:rPr>
              <w:t>(1)</w:t>
            </w:r>
          </w:p>
        </w:tc>
      </w:tr>
      <w:tr>
        <w:trPr>
          <w:trHeight w:val="187"/>
        </w:trPr>
        <w:tc>
          <w:tcPr>
            <w:tcW w:w="4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Income before income taxes</w:t>
            </w:r>
          </w:p>
        </w:tc>
        <w:tc>
          <w:tcPr>
            <w:tcW w:w="184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b w:val="1"/>
                <w:bCs w:val="1"/>
                <w:color w:val="auto"/>
              </w:rPr>
              <w:t>229</w:t>
            </w:r>
          </w:p>
        </w:tc>
        <w:tc>
          <w:tcPr>
            <w:tcW w:w="4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269</w:t>
            </w:r>
          </w:p>
        </w:tc>
        <w:tc>
          <w:tcPr>
            <w:tcW w:w="20" w:type="dxa"/>
            <w:vAlign w:val="bottom"/>
          </w:tcPr>
          <w:p>
            <w:pPr>
              <w:spacing w:after="0"/>
              <w:rPr>
                <w:sz w:val="16"/>
                <w:szCs w:val="16"/>
                <w:color w:val="auto"/>
              </w:rPr>
            </w:pPr>
          </w:p>
        </w:tc>
      </w:tr>
      <w:tr>
        <w:trPr>
          <w:trHeight w:val="207"/>
        </w:trPr>
        <w:tc>
          <w:tcPr>
            <w:tcW w:w="49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Income tax expense</w:t>
            </w:r>
          </w:p>
        </w:tc>
        <w:tc>
          <w:tcPr>
            <w:tcW w:w="18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64</w:t>
            </w: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w:t>
            </w:r>
          </w:p>
        </w:tc>
        <w:tc>
          <w:tcPr>
            <w:tcW w:w="20" w:type="dxa"/>
            <w:vAlign w:val="bottom"/>
          </w:tcPr>
          <w:p>
            <w:pPr>
              <w:spacing w:after="0"/>
              <w:rPr>
                <w:sz w:val="17"/>
                <w:szCs w:val="17"/>
                <w:color w:val="auto"/>
              </w:rPr>
            </w:pPr>
          </w:p>
        </w:tc>
      </w:tr>
      <w:tr>
        <w:trPr>
          <w:trHeight w:val="179"/>
        </w:trPr>
        <w:tc>
          <w:tcPr>
            <w:tcW w:w="4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Net income</w:t>
            </w:r>
          </w:p>
        </w:tc>
        <w:tc>
          <w:tcPr>
            <w:tcW w:w="1840" w:type="dxa"/>
            <w:vAlign w:val="bottom"/>
            <w:tcBorders>
              <w:bottom w:val="single" w:sz="8" w:color="auto"/>
            </w:tcBorders>
            <w:shd w:val="clear" w:color="auto" w:fill="CCEEFF"/>
          </w:tcPr>
          <w:p>
            <w:pPr>
              <w:jc w:val="right"/>
              <w:ind w:right="663"/>
              <w:spacing w:after="0"/>
              <w:rPr>
                <w:sz w:val="20"/>
                <w:szCs w:val="20"/>
                <w:color w:val="auto"/>
              </w:rPr>
            </w:pPr>
            <w:r>
              <w:rPr>
                <w:rFonts w:ascii="Arial" w:cs="Arial" w:eastAsia="Arial" w:hAnsi="Arial"/>
                <w:sz w:val="15"/>
                <w:szCs w:val="15"/>
                <w:b w:val="1"/>
                <w:bCs w:val="1"/>
                <w:color w:val="auto"/>
              </w:rPr>
              <w:t>$</w:t>
            </w:r>
          </w:p>
        </w:tc>
        <w:tc>
          <w:tcPr>
            <w:tcW w:w="72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b w:val="1"/>
                <w:bCs w:val="1"/>
                <w:color w:val="auto"/>
              </w:rPr>
              <w:t>165</w:t>
            </w:r>
          </w:p>
        </w:tc>
        <w:tc>
          <w:tcPr>
            <w:tcW w:w="4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180</w:t>
            </w:r>
          </w:p>
        </w:tc>
        <w:tc>
          <w:tcPr>
            <w:tcW w:w="20" w:type="dxa"/>
            <w:vAlign w:val="bottom"/>
          </w:tcPr>
          <w:p>
            <w:pPr>
              <w:spacing w:after="0"/>
              <w:rPr>
                <w:sz w:val="15"/>
                <w:szCs w:val="15"/>
                <w:color w:val="auto"/>
              </w:rPr>
            </w:pPr>
          </w:p>
        </w:tc>
      </w:tr>
      <w:tr>
        <w:trPr>
          <w:trHeight w:val="195"/>
        </w:trPr>
        <w:tc>
          <w:tcPr>
            <w:tcW w:w="49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7"/>
        </w:trPr>
        <w:tc>
          <w:tcPr>
            <w:tcW w:w="49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Basic earnings per share</w:t>
            </w:r>
          </w:p>
        </w:tc>
        <w:tc>
          <w:tcPr>
            <w:tcW w:w="1840" w:type="dxa"/>
            <w:vAlign w:val="bottom"/>
            <w:shd w:val="clear" w:color="auto" w:fill="CCEEFF"/>
          </w:tcPr>
          <w:p>
            <w:pPr>
              <w:jc w:val="right"/>
              <w:ind w:right="663"/>
              <w:spacing w:after="0"/>
              <w:rPr>
                <w:sz w:val="20"/>
                <w:szCs w:val="20"/>
                <w:color w:val="auto"/>
              </w:rPr>
            </w:pPr>
            <w:r>
              <w:rPr>
                <w:rFonts w:ascii="Arial" w:cs="Arial" w:eastAsia="Arial" w:hAnsi="Arial"/>
                <w:sz w:val="15"/>
                <w:szCs w:val="15"/>
                <w:b w:val="1"/>
                <w:bCs w:val="1"/>
                <w:color w:val="auto"/>
              </w:rPr>
              <w:t>$</w:t>
            </w:r>
          </w:p>
        </w:tc>
        <w:tc>
          <w:tcPr>
            <w:tcW w:w="720" w:type="dxa"/>
            <w:vAlign w:val="bottom"/>
            <w:shd w:val="clear" w:color="auto" w:fill="CCEEFF"/>
          </w:tcPr>
          <w:p>
            <w:pPr>
              <w:jc w:val="right"/>
              <w:ind w:right="203"/>
              <w:spacing w:after="0"/>
              <w:rPr>
                <w:sz w:val="20"/>
                <w:szCs w:val="20"/>
                <w:color w:val="auto"/>
              </w:rPr>
            </w:pPr>
            <w:r>
              <w:rPr>
                <w:rFonts w:ascii="Arial" w:cs="Arial" w:eastAsia="Arial" w:hAnsi="Arial"/>
                <w:sz w:val="15"/>
                <w:szCs w:val="15"/>
                <w:b w:val="1"/>
                <w:bCs w:val="1"/>
                <w:color w:val="auto"/>
              </w:rPr>
              <w:t>1.39</w:t>
            </w:r>
          </w:p>
        </w:tc>
        <w:tc>
          <w:tcPr>
            <w:tcW w:w="4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w:t>
            </w:r>
          </w:p>
        </w:tc>
        <w:tc>
          <w:tcPr>
            <w:tcW w:w="20" w:type="dxa"/>
            <w:vAlign w:val="bottom"/>
          </w:tcPr>
          <w:p>
            <w:pPr>
              <w:spacing w:after="0"/>
              <w:rPr>
                <w:sz w:val="17"/>
                <w:szCs w:val="17"/>
                <w:color w:val="auto"/>
              </w:rPr>
            </w:pPr>
          </w:p>
        </w:tc>
      </w:tr>
      <w:tr>
        <w:trPr>
          <w:trHeight w:val="207"/>
        </w:trPr>
        <w:tc>
          <w:tcPr>
            <w:tcW w:w="4980" w:type="dxa"/>
            <w:vAlign w:val="bottom"/>
          </w:tcPr>
          <w:p>
            <w:pPr>
              <w:ind w:left="100"/>
              <w:spacing w:after="0"/>
              <w:rPr>
                <w:sz w:val="20"/>
                <w:szCs w:val="20"/>
                <w:color w:val="auto"/>
              </w:rPr>
            </w:pPr>
            <w:r>
              <w:rPr>
                <w:rFonts w:ascii="Arial" w:cs="Arial" w:eastAsia="Arial" w:hAnsi="Arial"/>
                <w:sz w:val="15"/>
                <w:szCs w:val="15"/>
                <w:color w:val="auto"/>
              </w:rPr>
              <w:t>Weighted-average shares outstanding</w:t>
            </w:r>
          </w:p>
        </w:tc>
        <w:tc>
          <w:tcPr>
            <w:tcW w:w="1840" w:type="dxa"/>
            <w:vAlign w:val="bottom"/>
          </w:tcPr>
          <w:p>
            <w:pPr>
              <w:spacing w:after="0"/>
              <w:rPr>
                <w:sz w:val="17"/>
                <w:szCs w:val="17"/>
                <w:color w:val="auto"/>
              </w:rPr>
            </w:pPr>
          </w:p>
        </w:tc>
        <w:tc>
          <w:tcPr>
            <w:tcW w:w="720" w:type="dxa"/>
            <w:vAlign w:val="bottom"/>
          </w:tcPr>
          <w:p>
            <w:pPr>
              <w:jc w:val="right"/>
              <w:ind w:right="203"/>
              <w:spacing w:after="0"/>
              <w:rPr>
                <w:sz w:val="20"/>
                <w:szCs w:val="20"/>
                <w:color w:val="auto"/>
              </w:rPr>
            </w:pPr>
            <w:r>
              <w:rPr>
                <w:rFonts w:ascii="Arial" w:cs="Arial" w:eastAsia="Arial" w:hAnsi="Arial"/>
                <w:sz w:val="15"/>
                <w:szCs w:val="15"/>
                <w:b w:val="1"/>
                <w:bCs w:val="1"/>
                <w:color w:val="auto"/>
              </w:rPr>
              <w:t>118.7</w:t>
            </w:r>
          </w:p>
        </w:tc>
        <w:tc>
          <w:tcPr>
            <w:tcW w:w="4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131.4</w:t>
            </w:r>
          </w:p>
        </w:tc>
        <w:tc>
          <w:tcPr>
            <w:tcW w:w="20" w:type="dxa"/>
            <w:vAlign w:val="bottom"/>
          </w:tcPr>
          <w:p>
            <w:pPr>
              <w:spacing w:after="0"/>
              <w:rPr>
                <w:sz w:val="17"/>
                <w:szCs w:val="17"/>
                <w:color w:val="auto"/>
              </w:rPr>
            </w:pPr>
          </w:p>
        </w:tc>
      </w:tr>
      <w:tr>
        <w:trPr>
          <w:trHeight w:val="207"/>
        </w:trPr>
        <w:tc>
          <w:tcPr>
            <w:tcW w:w="498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7"/>
        </w:trPr>
        <w:tc>
          <w:tcPr>
            <w:tcW w:w="4980" w:type="dxa"/>
            <w:vAlign w:val="bottom"/>
          </w:tcPr>
          <w:p>
            <w:pPr>
              <w:ind w:left="100"/>
              <w:spacing w:after="0"/>
              <w:rPr>
                <w:sz w:val="20"/>
                <w:szCs w:val="20"/>
                <w:color w:val="auto"/>
              </w:rPr>
            </w:pPr>
            <w:r>
              <w:rPr>
                <w:rFonts w:ascii="Arial" w:cs="Arial" w:eastAsia="Arial" w:hAnsi="Arial"/>
                <w:sz w:val="15"/>
                <w:szCs w:val="15"/>
                <w:color w:val="auto"/>
              </w:rPr>
              <w:t>Diluted earnings per share</w:t>
            </w:r>
          </w:p>
        </w:tc>
        <w:tc>
          <w:tcPr>
            <w:tcW w:w="1840" w:type="dxa"/>
            <w:vAlign w:val="bottom"/>
          </w:tcPr>
          <w:p>
            <w:pPr>
              <w:jc w:val="right"/>
              <w:ind w:right="663"/>
              <w:spacing w:after="0"/>
              <w:rPr>
                <w:sz w:val="20"/>
                <w:szCs w:val="20"/>
                <w:color w:val="auto"/>
              </w:rPr>
            </w:pPr>
            <w:r>
              <w:rPr>
                <w:rFonts w:ascii="Arial" w:cs="Arial" w:eastAsia="Arial" w:hAnsi="Arial"/>
                <w:sz w:val="15"/>
                <w:szCs w:val="15"/>
                <w:b w:val="1"/>
                <w:bCs w:val="1"/>
                <w:color w:val="auto"/>
              </w:rPr>
              <w:t>$</w:t>
            </w:r>
          </w:p>
        </w:tc>
        <w:tc>
          <w:tcPr>
            <w:tcW w:w="720" w:type="dxa"/>
            <w:vAlign w:val="bottom"/>
          </w:tcPr>
          <w:p>
            <w:pPr>
              <w:jc w:val="right"/>
              <w:ind w:right="203"/>
              <w:spacing w:after="0"/>
              <w:rPr>
                <w:sz w:val="20"/>
                <w:szCs w:val="20"/>
                <w:color w:val="auto"/>
              </w:rPr>
            </w:pPr>
            <w:r>
              <w:rPr>
                <w:rFonts w:ascii="Arial" w:cs="Arial" w:eastAsia="Arial" w:hAnsi="Arial"/>
                <w:sz w:val="15"/>
                <w:szCs w:val="15"/>
                <w:b w:val="1"/>
                <w:bCs w:val="1"/>
                <w:color w:val="auto"/>
              </w:rPr>
              <w:t>1.38</w:t>
            </w:r>
          </w:p>
        </w:tc>
        <w:tc>
          <w:tcPr>
            <w:tcW w:w="42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1.36</w:t>
            </w:r>
          </w:p>
        </w:tc>
        <w:tc>
          <w:tcPr>
            <w:tcW w:w="20" w:type="dxa"/>
            <w:vAlign w:val="bottom"/>
          </w:tcPr>
          <w:p>
            <w:pPr>
              <w:spacing w:after="0"/>
              <w:rPr>
                <w:sz w:val="17"/>
                <w:szCs w:val="17"/>
                <w:color w:val="auto"/>
              </w:rPr>
            </w:pPr>
          </w:p>
        </w:tc>
      </w:tr>
      <w:tr>
        <w:trPr>
          <w:trHeight w:val="207"/>
        </w:trPr>
        <w:tc>
          <w:tcPr>
            <w:tcW w:w="49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5"/>
                <w:szCs w:val="15"/>
                <w:color w:val="auto"/>
              </w:rPr>
              <w:t>Weighted-average shares outstanding, assuming dilution</w:t>
            </w:r>
          </w:p>
        </w:tc>
        <w:tc>
          <w:tcPr>
            <w:tcW w:w="18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b w:val="1"/>
                <w:bCs w:val="1"/>
                <w:color w:val="auto"/>
              </w:rPr>
              <w:t>119.1</w:t>
            </w:r>
          </w:p>
        </w:tc>
        <w:tc>
          <w:tcPr>
            <w:tcW w:w="4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132.6</w:t>
            </w:r>
          </w:p>
        </w:tc>
        <w:tc>
          <w:tcPr>
            <w:tcW w:w="20" w:type="dxa"/>
            <w:vAlign w:val="bottom"/>
          </w:tcPr>
          <w:p>
            <w:pPr>
              <w:spacing w:after="0"/>
              <w:rPr>
                <w:sz w:val="17"/>
                <w:szCs w:val="17"/>
                <w:color w:val="auto"/>
              </w:rPr>
            </w:pPr>
          </w:p>
        </w:tc>
      </w:tr>
    </w:tbl>
    <w:p>
      <w:pPr>
        <w:spacing w:after="0" w:line="3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6" w:right="1399" w:bottom="1440" w:gutter="0" w:footer="0" w:header="0"/>
        </w:sectPr>
      </w:pPr>
    </w:p>
    <w:bookmarkStart w:id="4" w:name="page5"/>
    <w:bookmarkEnd w:id="4"/>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COMPREHENSIVE INCOME</w:t>
      </w:r>
    </w:p>
    <w:p>
      <w:pPr>
        <w:jc w:val="center"/>
        <w:spacing w:after="0" w:line="236" w:lineRule="auto"/>
        <w:rPr>
          <w:sz w:val="20"/>
          <w:szCs w:val="20"/>
          <w:color w:val="auto"/>
        </w:rPr>
      </w:pPr>
      <w:r>
        <w:rPr>
          <w:rFonts w:ascii="Arial" w:cs="Arial" w:eastAsia="Arial" w:hAnsi="Arial"/>
          <w:sz w:val="15"/>
          <w:szCs w:val="15"/>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in millions)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780"/>
        <w:spacing w:after="0"/>
        <w:rPr>
          <w:sz w:val="20"/>
          <w:szCs w:val="20"/>
          <w:color w:val="auto"/>
        </w:rPr>
      </w:pPr>
      <w:r>
        <w:rPr>
          <w:rFonts w:ascii="Arial" w:cs="Arial" w:eastAsia="Arial" w:hAnsi="Arial"/>
          <w:sz w:val="15"/>
          <w:szCs w:val="15"/>
          <w:b w:val="1"/>
          <w:bCs w:val="1"/>
          <w:color w:val="auto"/>
        </w:rPr>
        <w:t>Thirteen weeks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540" w:type="dxa"/>
            <w:vAlign w:val="bottom"/>
            <w:tcBorders>
              <w:top w:val="single" w:sz="8" w:color="auto"/>
            </w:tcBorders>
          </w:tcPr>
          <w:p>
            <w:pPr>
              <w:spacing w:after="0"/>
              <w:rPr>
                <w:sz w:val="13"/>
                <w:szCs w:val="13"/>
                <w:color w:val="auto"/>
              </w:rPr>
            </w:pPr>
          </w:p>
        </w:tc>
        <w:tc>
          <w:tcPr>
            <w:tcW w:w="288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center"/>
              <w:ind w:right="463"/>
              <w:spacing w:after="0" w:line="151" w:lineRule="exact"/>
              <w:rPr>
                <w:sz w:val="20"/>
                <w:szCs w:val="20"/>
                <w:color w:val="auto"/>
              </w:rPr>
            </w:pPr>
            <w:r>
              <w:rPr>
                <w:rFonts w:ascii="Arial" w:cs="Arial" w:eastAsia="Arial" w:hAnsi="Arial"/>
                <w:sz w:val="15"/>
                <w:szCs w:val="15"/>
                <w:b w:val="1"/>
                <w:bCs w:val="1"/>
                <w:color w:val="auto"/>
              </w:rPr>
              <w:t>May 5,</w:t>
            </w:r>
          </w:p>
        </w:tc>
        <w:tc>
          <w:tcPr>
            <w:tcW w:w="3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center"/>
              <w:ind w:right="243"/>
              <w:spacing w:after="0" w:line="151" w:lineRule="exact"/>
              <w:rPr>
                <w:sz w:val="20"/>
                <w:szCs w:val="20"/>
                <w:color w:val="auto"/>
              </w:rPr>
            </w:pPr>
            <w:r>
              <w:rPr>
                <w:rFonts w:ascii="Arial" w:cs="Arial" w:eastAsia="Arial" w:hAnsi="Arial"/>
                <w:sz w:val="15"/>
                <w:szCs w:val="15"/>
                <w:b w:val="1"/>
                <w:bCs w:val="1"/>
                <w:color w:val="auto"/>
              </w:rPr>
              <w:t>April 29,</w:t>
            </w:r>
          </w:p>
        </w:tc>
      </w:tr>
      <w:tr>
        <w:trPr>
          <w:trHeight w:val="194"/>
        </w:trPr>
        <w:tc>
          <w:tcPr>
            <w:tcW w:w="35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23"/>
              <w:spacing w:after="0"/>
              <w:rPr>
                <w:sz w:val="20"/>
                <w:szCs w:val="20"/>
                <w:color w:val="auto"/>
              </w:rPr>
            </w:pPr>
            <w:r>
              <w:rPr>
                <w:rFonts w:ascii="Arial" w:cs="Arial" w:eastAsia="Arial" w:hAnsi="Arial"/>
                <w:sz w:val="15"/>
                <w:szCs w:val="15"/>
                <w:b w:val="1"/>
                <w:bCs w:val="1"/>
                <w:color w:val="auto"/>
              </w:rPr>
              <w:t>2018</w:t>
            </w: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2017</w:t>
            </w:r>
          </w:p>
        </w:tc>
      </w:tr>
      <w:tr>
        <w:trPr>
          <w:trHeight w:val="187"/>
        </w:trPr>
        <w:tc>
          <w:tcPr>
            <w:tcW w:w="35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Net income</w:t>
            </w:r>
          </w:p>
        </w:tc>
        <w:tc>
          <w:tcPr>
            <w:tcW w:w="288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w:t>
            </w:r>
          </w:p>
        </w:tc>
        <w:tc>
          <w:tcPr>
            <w:tcW w:w="1220" w:type="dxa"/>
            <w:vAlign w:val="bottom"/>
            <w:shd w:val="clear" w:color="auto" w:fill="CCEEFF"/>
          </w:tcPr>
          <w:p>
            <w:pPr>
              <w:jc w:val="right"/>
              <w:ind w:right="163"/>
              <w:spacing w:after="0"/>
              <w:rPr>
                <w:sz w:val="20"/>
                <w:szCs w:val="20"/>
                <w:color w:val="auto"/>
              </w:rPr>
            </w:pPr>
            <w:r>
              <w:rPr>
                <w:rFonts w:ascii="Arial" w:cs="Arial" w:eastAsia="Arial" w:hAnsi="Arial"/>
                <w:sz w:val="15"/>
                <w:szCs w:val="15"/>
                <w:b w:val="1"/>
                <w:bCs w:val="1"/>
                <w:color w:val="auto"/>
              </w:rPr>
              <w:t>165</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w:t>
            </w:r>
          </w:p>
        </w:tc>
      </w:tr>
    </w:tbl>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Other comprehensive income, net of income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5777230" cy="1314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77230" cy="131445"/>
                    </a:xfrm>
                    <a:prstGeom prst="rect">
                      <a:avLst/>
                    </a:prstGeom>
                    <a:noFill/>
                  </pic:spPr>
                </pic:pic>
              </a:graphicData>
            </a:graphic>
          </wp:anchor>
        </w:drawing>
      </w:r>
    </w:p>
    <w:p>
      <w:pPr>
        <w:spacing w:after="0" w:line="205" w:lineRule="exact"/>
        <w:rPr>
          <w:sz w:val="20"/>
          <w:szCs w:val="20"/>
          <w:color w:val="auto"/>
        </w:rPr>
      </w:pPr>
    </w:p>
    <w:p>
      <w:pPr>
        <w:ind w:left="100"/>
        <w:spacing w:after="0"/>
        <w:rPr>
          <w:sz w:val="20"/>
          <w:szCs w:val="20"/>
          <w:color w:val="auto"/>
        </w:rPr>
      </w:pPr>
      <w:r>
        <w:rPr>
          <w:rFonts w:ascii="Arial" w:cs="Arial" w:eastAsia="Arial" w:hAnsi="Arial"/>
          <w:sz w:val="15"/>
          <w:szCs w:val="15"/>
          <w:i w:val="1"/>
          <w:iCs w:val="1"/>
          <w:color w:val="auto"/>
        </w:rPr>
        <w:t>Foreign currency translation adjustment:</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9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Translation adjustment arising during the period, net of income tax benefit of $(5)</w:t>
            </w:r>
          </w:p>
        </w:tc>
        <w:tc>
          <w:tcPr>
            <w:tcW w:w="76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(38)</w:t>
            </w:r>
          </w:p>
        </w:tc>
        <w:tc>
          <w:tcPr>
            <w:tcW w:w="7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980" w:type="dxa"/>
            <w:vAlign w:val="bottom"/>
            <w:shd w:val="clear" w:color="auto" w:fill="CCEEFF"/>
          </w:tcPr>
          <w:p>
            <w:pPr>
              <w:ind w:left="300"/>
              <w:spacing w:after="0"/>
              <w:rPr>
                <w:sz w:val="20"/>
                <w:szCs w:val="20"/>
                <w:color w:val="auto"/>
              </w:rPr>
            </w:pPr>
            <w:r>
              <w:rPr>
                <w:rFonts w:ascii="Arial" w:cs="Arial" w:eastAsia="Arial" w:hAnsi="Arial"/>
                <w:sz w:val="15"/>
                <w:szCs w:val="15"/>
                <w:color w:val="auto"/>
              </w:rPr>
              <w:t>and $(1) million, respectively</w:t>
            </w:r>
          </w:p>
        </w:tc>
        <w:tc>
          <w:tcPr>
            <w:tcW w:w="76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07"/>
        </w:trPr>
        <w:tc>
          <w:tcPr>
            <w:tcW w:w="59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980" w:type="dxa"/>
            <w:vAlign w:val="bottom"/>
            <w:shd w:val="clear" w:color="auto" w:fill="CCEEFF"/>
          </w:tcPr>
          <w:p>
            <w:pPr>
              <w:ind w:left="100"/>
              <w:spacing w:after="0"/>
              <w:rPr>
                <w:sz w:val="20"/>
                <w:szCs w:val="20"/>
                <w:color w:val="auto"/>
              </w:rPr>
            </w:pPr>
            <w:r>
              <w:rPr>
                <w:rFonts w:ascii="Arial" w:cs="Arial" w:eastAsia="Arial" w:hAnsi="Arial"/>
                <w:sz w:val="15"/>
                <w:szCs w:val="15"/>
                <w:i w:val="1"/>
                <w:iCs w:val="1"/>
                <w:color w:val="auto"/>
              </w:rPr>
              <w:t>Cash flow hedges:</w:t>
            </w:r>
          </w:p>
        </w:tc>
        <w:tc>
          <w:tcPr>
            <w:tcW w:w="7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980" w:type="dxa"/>
            <w:vAlign w:val="bottom"/>
          </w:tcPr>
          <w:p>
            <w:pPr>
              <w:ind w:left="200"/>
              <w:spacing w:after="0"/>
              <w:rPr>
                <w:sz w:val="20"/>
                <w:szCs w:val="20"/>
                <w:color w:val="auto"/>
              </w:rPr>
            </w:pPr>
            <w:r>
              <w:rPr>
                <w:rFonts w:ascii="Arial" w:cs="Arial" w:eastAsia="Arial" w:hAnsi="Arial"/>
                <w:sz w:val="15"/>
                <w:szCs w:val="15"/>
                <w:color w:val="auto"/>
              </w:rPr>
              <w:t>Change in fair value of derivatives, net of income tax</w:t>
            </w:r>
          </w:p>
        </w:tc>
        <w:tc>
          <w:tcPr>
            <w:tcW w:w="760" w:type="dxa"/>
            <w:vAlign w:val="bottom"/>
          </w:tcPr>
          <w:p>
            <w:pPr>
              <w:spacing w:after="0"/>
              <w:rPr>
                <w:sz w:val="17"/>
                <w:szCs w:val="17"/>
                <w:color w:val="auto"/>
              </w:rPr>
            </w:pPr>
          </w:p>
        </w:tc>
        <w:tc>
          <w:tcPr>
            <w:tcW w:w="920" w:type="dxa"/>
            <w:vAlign w:val="bottom"/>
          </w:tcPr>
          <w:p>
            <w:pPr>
              <w:jc w:val="right"/>
              <w:ind w:right="183"/>
              <w:spacing w:after="0"/>
              <w:rPr>
                <w:sz w:val="20"/>
                <w:szCs w:val="20"/>
                <w:color w:val="auto"/>
              </w:rPr>
            </w:pPr>
            <w:r>
              <w:rPr>
                <w:rFonts w:ascii="Arial" w:cs="Arial" w:eastAsia="Arial" w:hAnsi="Arial"/>
                <w:sz w:val="15"/>
                <w:szCs w:val="15"/>
                <w:b w:val="1"/>
                <w:bCs w:val="1"/>
                <w:color w:val="auto"/>
              </w:rPr>
              <w:t>1</w:t>
            </w:r>
          </w:p>
        </w:tc>
        <w:tc>
          <w:tcPr>
            <w:tcW w:w="7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7"/>
        </w:trPr>
        <w:tc>
          <w:tcPr>
            <w:tcW w:w="59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980" w:type="dxa"/>
            <w:vAlign w:val="bottom"/>
          </w:tcPr>
          <w:p>
            <w:pPr>
              <w:ind w:left="100"/>
              <w:spacing w:after="0"/>
              <w:rPr>
                <w:sz w:val="20"/>
                <w:szCs w:val="20"/>
                <w:color w:val="auto"/>
              </w:rPr>
            </w:pPr>
            <w:r>
              <w:rPr>
                <w:rFonts w:ascii="Arial" w:cs="Arial" w:eastAsia="Arial" w:hAnsi="Arial"/>
                <w:sz w:val="15"/>
                <w:szCs w:val="15"/>
                <w:i w:val="1"/>
                <w:iCs w:val="1"/>
                <w:color w:val="auto"/>
              </w:rPr>
              <w:t>Pension and postretirement adjustments:</w:t>
            </w: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59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Amortization of net actuarial gain/loss and prior service cost included in net</w:t>
            </w:r>
          </w:p>
        </w:tc>
        <w:tc>
          <w:tcPr>
            <w:tcW w:w="7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5980" w:type="dxa"/>
            <w:vAlign w:val="bottom"/>
            <w:shd w:val="clear" w:color="auto" w:fill="CCEEFF"/>
          </w:tcPr>
          <w:p>
            <w:pPr>
              <w:ind w:left="300"/>
              <w:spacing w:after="0" w:line="170" w:lineRule="exact"/>
              <w:rPr>
                <w:sz w:val="20"/>
                <w:szCs w:val="20"/>
                <w:color w:val="auto"/>
              </w:rPr>
            </w:pPr>
            <w:r>
              <w:rPr>
                <w:rFonts w:ascii="Arial" w:cs="Arial" w:eastAsia="Arial" w:hAnsi="Arial"/>
                <w:sz w:val="15"/>
                <w:szCs w:val="15"/>
                <w:color w:val="auto"/>
              </w:rPr>
              <w:t>periodic benefit costs, net of income tax expense of $1 and $1 million,</w:t>
            </w:r>
          </w:p>
        </w:tc>
        <w:tc>
          <w:tcPr>
            <w:tcW w:w="7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3</w:t>
            </w:r>
          </w:p>
        </w:tc>
        <w:tc>
          <w:tcPr>
            <w:tcW w:w="7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98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5"/>
                <w:szCs w:val="15"/>
                <w:color w:val="auto"/>
              </w:rPr>
              <w:t>respectively, and foreign currency fluctuations</w:t>
            </w:r>
          </w:p>
        </w:tc>
        <w:tc>
          <w:tcPr>
            <w:tcW w:w="7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vMerge w:val="continue"/>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79"/>
        </w:trPr>
        <w:tc>
          <w:tcPr>
            <w:tcW w:w="59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Comprehensive income</w:t>
            </w:r>
          </w:p>
        </w:tc>
        <w:tc>
          <w:tcPr>
            <w:tcW w:w="76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b w:val="1"/>
                <w:bCs w:val="1"/>
                <w:color w:val="auto"/>
              </w:rPr>
              <w:t>$</w:t>
            </w:r>
          </w:p>
        </w:tc>
        <w:tc>
          <w:tcPr>
            <w:tcW w:w="92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131</w:t>
            </w:r>
          </w:p>
        </w:tc>
        <w:tc>
          <w:tcPr>
            <w:tcW w:w="72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186</w:t>
            </w:r>
          </w:p>
        </w:tc>
        <w:tc>
          <w:tcPr>
            <w:tcW w:w="0" w:type="dxa"/>
            <w:vAlign w:val="bottom"/>
          </w:tcPr>
          <w:p>
            <w:pPr>
              <w:spacing w:after="0"/>
              <w:rPr>
                <w:sz w:val="1"/>
                <w:szCs w:val="1"/>
                <w:color w:val="auto"/>
              </w:rPr>
            </w:pPr>
          </w:p>
        </w:tc>
      </w:tr>
    </w:tbl>
    <w:p>
      <w:pPr>
        <w:spacing w:after="0" w:line="3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6" w:right="1399" w:bottom="1440" w:gutter="0" w:footer="0" w:header="0"/>
        </w:sectPr>
      </w:pPr>
    </w:p>
    <w:bookmarkStart w:id="5" w:name="page6"/>
    <w:bookmarkEnd w:id="5"/>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CASH FLOWS</w:t>
      </w:r>
    </w:p>
    <w:p>
      <w:pPr>
        <w:jc w:val="center"/>
        <w:spacing w:after="0" w:line="236" w:lineRule="auto"/>
        <w:rPr>
          <w:sz w:val="20"/>
          <w:szCs w:val="20"/>
          <w:color w:val="auto"/>
        </w:rPr>
      </w:pPr>
      <w:r>
        <w:rPr>
          <w:rFonts w:ascii="Arial" w:cs="Arial" w:eastAsia="Arial" w:hAnsi="Arial"/>
          <w:sz w:val="15"/>
          <w:szCs w:val="15"/>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in millions)</w:t>
      </w:r>
    </w:p>
    <w:p>
      <w:pPr>
        <w:spacing w:after="0" w:line="200" w:lineRule="exact"/>
        <w:rPr>
          <w:sz w:val="20"/>
          <w:szCs w:val="20"/>
          <w:color w:val="auto"/>
        </w:rPr>
      </w:pPr>
    </w:p>
    <w:p>
      <w:pPr>
        <w:spacing w:after="0" w:line="278" w:lineRule="exact"/>
        <w:rPr>
          <w:sz w:val="20"/>
          <w:szCs w:val="20"/>
          <w:color w:val="auto"/>
        </w:rPr>
      </w:pPr>
    </w:p>
    <w:p>
      <w:pPr>
        <w:ind w:left="6860"/>
        <w:spacing w:after="0"/>
        <w:rPr>
          <w:sz w:val="20"/>
          <w:szCs w:val="20"/>
          <w:color w:val="auto"/>
        </w:rPr>
      </w:pPr>
      <w:r>
        <w:rPr>
          <w:rFonts w:ascii="Arial" w:cs="Arial" w:eastAsia="Arial" w:hAnsi="Arial"/>
          <w:sz w:val="15"/>
          <w:szCs w:val="15"/>
          <w:b w:val="1"/>
          <w:bCs w:val="1"/>
          <w:color w:val="auto"/>
        </w:rPr>
        <w:t>Thirteen weeks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9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May 5,</w:t>
            </w:r>
          </w:p>
        </w:tc>
        <w:tc>
          <w:tcPr>
            <w:tcW w:w="6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263"/>
              <w:spacing w:after="0"/>
              <w:rPr>
                <w:sz w:val="20"/>
                <w:szCs w:val="20"/>
                <w:color w:val="auto"/>
              </w:rPr>
            </w:pPr>
            <w:r>
              <w:rPr>
                <w:rFonts w:ascii="Arial" w:cs="Arial" w:eastAsia="Arial" w:hAnsi="Arial"/>
                <w:sz w:val="15"/>
                <w:szCs w:val="15"/>
                <w:b w:val="1"/>
                <w:bCs w:val="1"/>
                <w:color w:val="auto"/>
              </w:rPr>
              <w:t>April 29,</w:t>
            </w:r>
          </w:p>
        </w:tc>
      </w:tr>
      <w:tr>
        <w:trPr>
          <w:trHeight w:val="194"/>
        </w:trPr>
        <w:tc>
          <w:tcPr>
            <w:tcW w:w="59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2018</w:t>
            </w:r>
          </w:p>
        </w:tc>
        <w:tc>
          <w:tcPr>
            <w:tcW w:w="6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2017</w:t>
            </w:r>
          </w:p>
        </w:tc>
      </w:tr>
      <w:tr>
        <w:trPr>
          <w:trHeight w:val="187"/>
        </w:trPr>
        <w:tc>
          <w:tcPr>
            <w:tcW w:w="59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7"/>
        </w:trPr>
        <w:tc>
          <w:tcPr>
            <w:tcW w:w="59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From operating activities:</w:t>
            </w:r>
          </w:p>
        </w:tc>
        <w:tc>
          <w:tcPr>
            <w:tcW w:w="1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7"/>
        </w:trPr>
        <w:tc>
          <w:tcPr>
            <w:tcW w:w="5960" w:type="dxa"/>
            <w:vAlign w:val="bottom"/>
          </w:tcPr>
          <w:p>
            <w:pPr>
              <w:ind w:left="140"/>
              <w:spacing w:after="0"/>
              <w:rPr>
                <w:sz w:val="20"/>
                <w:szCs w:val="20"/>
                <w:color w:val="auto"/>
              </w:rPr>
            </w:pPr>
            <w:r>
              <w:rPr>
                <w:rFonts w:ascii="Arial" w:cs="Arial" w:eastAsia="Arial" w:hAnsi="Arial"/>
                <w:sz w:val="15"/>
                <w:szCs w:val="15"/>
                <w:color w:val="auto"/>
              </w:rPr>
              <w:t>Net income</w:t>
            </w:r>
          </w:p>
        </w:tc>
        <w:tc>
          <w:tcPr>
            <w:tcW w:w="1180" w:type="dxa"/>
            <w:vAlign w:val="bottom"/>
          </w:tcPr>
          <w:p>
            <w:pPr>
              <w:jc w:val="right"/>
              <w:ind w:right="663"/>
              <w:spacing w:after="0"/>
              <w:rPr>
                <w:sz w:val="20"/>
                <w:szCs w:val="20"/>
                <w:color w:val="auto"/>
              </w:rPr>
            </w:pPr>
            <w:r>
              <w:rPr>
                <w:rFonts w:ascii="Arial" w:cs="Arial" w:eastAsia="Arial" w:hAnsi="Arial"/>
                <w:sz w:val="15"/>
                <w:szCs w:val="15"/>
                <w:b w:val="1"/>
                <w:bCs w:val="1"/>
                <w:color w:val="auto"/>
              </w:rPr>
              <w:t>$</w:t>
            </w:r>
          </w:p>
        </w:tc>
        <w:tc>
          <w:tcPr>
            <w:tcW w:w="640" w:type="dxa"/>
            <w:vAlign w:val="bottom"/>
          </w:tcPr>
          <w:p>
            <w:pPr>
              <w:jc w:val="right"/>
              <w:ind w:right="183"/>
              <w:spacing w:after="0"/>
              <w:rPr>
                <w:sz w:val="20"/>
                <w:szCs w:val="20"/>
                <w:color w:val="auto"/>
              </w:rPr>
            </w:pPr>
            <w:r>
              <w:rPr>
                <w:rFonts w:ascii="Arial" w:cs="Arial" w:eastAsia="Arial" w:hAnsi="Arial"/>
                <w:sz w:val="15"/>
                <w:szCs w:val="15"/>
                <w:b w:val="1"/>
                <w:bCs w:val="1"/>
                <w:color w:val="auto"/>
              </w:rPr>
              <w:t>165</w:t>
            </w: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180</w:t>
            </w:r>
          </w:p>
        </w:tc>
      </w:tr>
      <w:tr>
        <w:trPr>
          <w:trHeight w:val="353"/>
        </w:trPr>
        <w:tc>
          <w:tcPr>
            <w:tcW w:w="59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1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07"/>
        </w:trPr>
        <w:tc>
          <w:tcPr>
            <w:tcW w:w="5960" w:type="dxa"/>
            <w:vAlign w:val="bottom"/>
          </w:tcPr>
          <w:p>
            <w:pPr>
              <w:ind w:left="260"/>
              <w:spacing w:after="0"/>
              <w:rPr>
                <w:sz w:val="20"/>
                <w:szCs w:val="20"/>
                <w:color w:val="auto"/>
              </w:rPr>
            </w:pPr>
            <w:r>
              <w:rPr>
                <w:rFonts w:ascii="Arial" w:cs="Arial" w:eastAsia="Arial" w:hAnsi="Arial"/>
                <w:sz w:val="15"/>
                <w:szCs w:val="15"/>
                <w:color w:val="auto"/>
              </w:rPr>
              <w:t>Depreciation and amortization</w:t>
            </w:r>
          </w:p>
        </w:tc>
        <w:tc>
          <w:tcPr>
            <w:tcW w:w="1180" w:type="dxa"/>
            <w:vAlign w:val="bottom"/>
          </w:tcPr>
          <w:p>
            <w:pPr>
              <w:spacing w:after="0"/>
              <w:rPr>
                <w:sz w:val="17"/>
                <w:szCs w:val="17"/>
                <w:color w:val="auto"/>
              </w:rPr>
            </w:pPr>
          </w:p>
        </w:tc>
        <w:tc>
          <w:tcPr>
            <w:tcW w:w="640" w:type="dxa"/>
            <w:vAlign w:val="bottom"/>
          </w:tcPr>
          <w:p>
            <w:pPr>
              <w:jc w:val="right"/>
              <w:ind w:right="183"/>
              <w:spacing w:after="0"/>
              <w:rPr>
                <w:sz w:val="20"/>
                <w:szCs w:val="20"/>
                <w:color w:val="auto"/>
              </w:rPr>
            </w:pPr>
            <w:r>
              <w:rPr>
                <w:rFonts w:ascii="Arial" w:cs="Arial" w:eastAsia="Arial" w:hAnsi="Arial"/>
                <w:sz w:val="15"/>
                <w:szCs w:val="15"/>
                <w:b w:val="1"/>
                <w:bCs w:val="1"/>
                <w:color w:val="auto"/>
              </w:rPr>
              <w:t>45</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41</w:t>
            </w:r>
          </w:p>
        </w:tc>
      </w:tr>
      <w:tr>
        <w:trPr>
          <w:trHeight w:val="207"/>
        </w:trPr>
        <w:tc>
          <w:tcPr>
            <w:tcW w:w="5960" w:type="dxa"/>
            <w:vAlign w:val="bottom"/>
            <w:shd w:val="clear" w:color="auto" w:fill="CCEEFF"/>
          </w:tcPr>
          <w:p>
            <w:pPr>
              <w:ind w:left="260"/>
              <w:spacing w:after="0"/>
              <w:rPr>
                <w:sz w:val="20"/>
                <w:szCs w:val="20"/>
                <w:color w:val="auto"/>
              </w:rPr>
            </w:pPr>
            <w:r>
              <w:rPr>
                <w:rFonts w:ascii="Arial" w:cs="Arial" w:eastAsia="Arial" w:hAnsi="Arial"/>
                <w:sz w:val="15"/>
                <w:szCs w:val="15"/>
                <w:color w:val="auto"/>
              </w:rPr>
              <w:t>Share-based compensation expense</w:t>
            </w:r>
          </w:p>
        </w:tc>
        <w:tc>
          <w:tcPr>
            <w:tcW w:w="11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5</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w:t>
            </w:r>
          </w:p>
        </w:tc>
      </w:tr>
      <w:tr>
        <w:trPr>
          <w:trHeight w:val="207"/>
        </w:trPr>
        <w:tc>
          <w:tcPr>
            <w:tcW w:w="5960" w:type="dxa"/>
            <w:vAlign w:val="bottom"/>
          </w:tcPr>
          <w:p>
            <w:pPr>
              <w:ind w:left="260"/>
              <w:spacing w:after="0"/>
              <w:rPr>
                <w:sz w:val="20"/>
                <w:szCs w:val="20"/>
                <w:color w:val="auto"/>
              </w:rPr>
            </w:pPr>
            <w:r>
              <w:rPr>
                <w:rFonts w:ascii="Arial" w:cs="Arial" w:eastAsia="Arial" w:hAnsi="Arial"/>
                <w:sz w:val="15"/>
                <w:szCs w:val="15"/>
                <w:color w:val="auto"/>
              </w:rPr>
              <w:t>Qualified pension plan contributions</w:t>
            </w:r>
          </w:p>
        </w:tc>
        <w:tc>
          <w:tcPr>
            <w:tcW w:w="1180" w:type="dxa"/>
            <w:vAlign w:val="bottom"/>
          </w:tcPr>
          <w:p>
            <w:pPr>
              <w:spacing w:after="0"/>
              <w:rPr>
                <w:sz w:val="17"/>
                <w:szCs w:val="17"/>
                <w:color w:val="auto"/>
              </w:rPr>
            </w:pPr>
          </w:p>
        </w:tc>
        <w:tc>
          <w:tcPr>
            <w:tcW w:w="640" w:type="dxa"/>
            <w:vAlign w:val="bottom"/>
          </w:tcPr>
          <w:p>
            <w:pPr>
              <w:jc w:val="right"/>
              <w:ind w:right="123"/>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(25)</w:t>
            </w:r>
          </w:p>
        </w:tc>
      </w:tr>
      <w:tr>
        <w:trPr>
          <w:trHeight w:val="207"/>
        </w:trPr>
        <w:tc>
          <w:tcPr>
            <w:tcW w:w="5960" w:type="dxa"/>
            <w:vAlign w:val="bottom"/>
            <w:shd w:val="clear" w:color="auto" w:fill="CCEEFF"/>
          </w:tcPr>
          <w:p>
            <w:pPr>
              <w:ind w:left="260"/>
              <w:spacing w:after="0"/>
              <w:rPr>
                <w:sz w:val="20"/>
                <w:szCs w:val="20"/>
                <w:color w:val="auto"/>
              </w:rPr>
            </w:pPr>
            <w:r>
              <w:rPr>
                <w:rFonts w:ascii="Arial" w:cs="Arial" w:eastAsia="Arial" w:hAnsi="Arial"/>
                <w:sz w:val="15"/>
                <w:szCs w:val="15"/>
                <w:color w:val="auto"/>
              </w:rPr>
              <w:t>Change in assets and liabilities:</w:t>
            </w:r>
          </w:p>
        </w:tc>
        <w:tc>
          <w:tcPr>
            <w:tcW w:w="1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7"/>
        </w:trPr>
        <w:tc>
          <w:tcPr>
            <w:tcW w:w="5960" w:type="dxa"/>
            <w:vAlign w:val="bottom"/>
          </w:tcPr>
          <w:p>
            <w:pPr>
              <w:ind w:left="380"/>
              <w:spacing w:after="0"/>
              <w:rPr>
                <w:sz w:val="20"/>
                <w:szCs w:val="20"/>
                <w:color w:val="auto"/>
              </w:rPr>
            </w:pPr>
            <w:r>
              <w:rPr>
                <w:rFonts w:ascii="Arial" w:cs="Arial" w:eastAsia="Arial" w:hAnsi="Arial"/>
                <w:sz w:val="15"/>
                <w:szCs w:val="15"/>
                <w:color w:val="auto"/>
              </w:rPr>
              <w:t>Merchandise inventories</w:t>
            </w:r>
          </w:p>
        </w:tc>
        <w:tc>
          <w:tcPr>
            <w:tcW w:w="1180" w:type="dxa"/>
            <w:vAlign w:val="bottom"/>
          </w:tcPr>
          <w:p>
            <w:pPr>
              <w:spacing w:after="0"/>
              <w:rPr>
                <w:sz w:val="17"/>
                <w:szCs w:val="17"/>
                <w:color w:val="auto"/>
              </w:rPr>
            </w:pPr>
          </w:p>
        </w:tc>
        <w:tc>
          <w:tcPr>
            <w:tcW w:w="640" w:type="dxa"/>
            <w:vAlign w:val="bottom"/>
          </w:tcPr>
          <w:p>
            <w:pPr>
              <w:jc w:val="right"/>
              <w:ind w:right="183"/>
              <w:spacing w:after="0"/>
              <w:rPr>
                <w:sz w:val="20"/>
                <w:szCs w:val="20"/>
                <w:color w:val="auto"/>
              </w:rPr>
            </w:pPr>
            <w:r>
              <w:rPr>
                <w:rFonts w:ascii="Arial" w:cs="Arial" w:eastAsia="Arial" w:hAnsi="Arial"/>
                <w:sz w:val="15"/>
                <w:szCs w:val="15"/>
                <w:b w:val="1"/>
                <w:bCs w:val="1"/>
                <w:color w:val="auto"/>
              </w:rPr>
              <w:t>53</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31</w:t>
            </w:r>
          </w:p>
        </w:tc>
      </w:tr>
      <w:tr>
        <w:trPr>
          <w:trHeight w:val="207"/>
        </w:trPr>
        <w:tc>
          <w:tcPr>
            <w:tcW w:w="59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Accounts payable</w:t>
            </w:r>
          </w:p>
        </w:tc>
        <w:tc>
          <w:tcPr>
            <w:tcW w:w="11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90</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w:t>
            </w:r>
          </w:p>
        </w:tc>
      </w:tr>
      <w:tr>
        <w:trPr>
          <w:trHeight w:val="207"/>
        </w:trPr>
        <w:tc>
          <w:tcPr>
            <w:tcW w:w="5960" w:type="dxa"/>
            <w:vAlign w:val="bottom"/>
          </w:tcPr>
          <w:p>
            <w:pPr>
              <w:ind w:left="380"/>
              <w:spacing w:after="0"/>
              <w:rPr>
                <w:sz w:val="20"/>
                <w:szCs w:val="20"/>
                <w:color w:val="auto"/>
              </w:rPr>
            </w:pPr>
            <w:r>
              <w:rPr>
                <w:rFonts w:ascii="Arial" w:cs="Arial" w:eastAsia="Arial" w:hAnsi="Arial"/>
                <w:sz w:val="15"/>
                <w:szCs w:val="15"/>
                <w:color w:val="auto"/>
              </w:rPr>
              <w:t>Accrued and other liabilities</w:t>
            </w:r>
          </w:p>
        </w:tc>
        <w:tc>
          <w:tcPr>
            <w:tcW w:w="1180" w:type="dxa"/>
            <w:vAlign w:val="bottom"/>
          </w:tcPr>
          <w:p>
            <w:pPr>
              <w:spacing w:after="0"/>
              <w:rPr>
                <w:sz w:val="17"/>
                <w:szCs w:val="17"/>
                <w:color w:val="auto"/>
              </w:rPr>
            </w:pPr>
          </w:p>
        </w:tc>
        <w:tc>
          <w:tcPr>
            <w:tcW w:w="640" w:type="dxa"/>
            <w:vAlign w:val="bottom"/>
          </w:tcPr>
          <w:p>
            <w:pPr>
              <w:jc w:val="right"/>
              <w:ind w:right="123"/>
              <w:spacing w:after="0"/>
              <w:rPr>
                <w:sz w:val="20"/>
                <w:szCs w:val="20"/>
                <w:color w:val="auto"/>
              </w:rPr>
            </w:pPr>
            <w:r>
              <w:rPr>
                <w:rFonts w:ascii="Arial" w:cs="Arial" w:eastAsia="Arial" w:hAnsi="Arial"/>
                <w:sz w:val="15"/>
                <w:szCs w:val="15"/>
                <w:b w:val="1"/>
                <w:bCs w:val="1"/>
                <w:color w:val="auto"/>
              </w:rPr>
              <w:t>(6)</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(26)</w:t>
            </w:r>
          </w:p>
        </w:tc>
      </w:tr>
      <w:tr>
        <w:trPr>
          <w:trHeight w:val="207"/>
        </w:trPr>
        <w:tc>
          <w:tcPr>
            <w:tcW w:w="59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Pension litigation accrual</w:t>
            </w:r>
          </w:p>
        </w:tc>
        <w:tc>
          <w:tcPr>
            <w:tcW w:w="11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12</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5960" w:type="dxa"/>
            <w:vAlign w:val="bottom"/>
            <w:tcBorders>
              <w:bottom w:val="single" w:sz="8" w:color="auto"/>
            </w:tcBorders>
          </w:tcPr>
          <w:p>
            <w:pPr>
              <w:ind w:left="380"/>
              <w:spacing w:after="0"/>
              <w:rPr>
                <w:sz w:val="20"/>
                <w:szCs w:val="20"/>
                <w:color w:val="auto"/>
              </w:rPr>
            </w:pPr>
            <w:r>
              <w:rPr>
                <w:rFonts w:ascii="Arial" w:cs="Arial" w:eastAsia="Arial" w:hAnsi="Arial"/>
                <w:sz w:val="15"/>
                <w:szCs w:val="15"/>
                <w:color w:val="auto"/>
              </w:rPr>
              <w:t>Other, net</w:t>
            </w:r>
          </w:p>
        </w:tc>
        <w:tc>
          <w:tcPr>
            <w:tcW w:w="1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51</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w:t>
            </w:r>
          </w:p>
        </w:tc>
      </w:tr>
      <w:tr>
        <w:trPr>
          <w:trHeight w:val="187"/>
        </w:trPr>
        <w:tc>
          <w:tcPr>
            <w:tcW w:w="5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Net cash provided by operating activities</w:t>
            </w:r>
          </w:p>
        </w:tc>
        <w:tc>
          <w:tcPr>
            <w:tcW w:w="1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415</w:t>
            </w:r>
          </w:p>
        </w:tc>
        <w:tc>
          <w:tcPr>
            <w:tcW w:w="3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159</w:t>
            </w:r>
          </w:p>
        </w:tc>
      </w:tr>
      <w:tr>
        <w:trPr>
          <w:trHeight w:val="187"/>
        </w:trPr>
        <w:tc>
          <w:tcPr>
            <w:tcW w:w="59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7"/>
        </w:trPr>
        <w:tc>
          <w:tcPr>
            <w:tcW w:w="59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From investing activities:</w:t>
            </w:r>
          </w:p>
        </w:tc>
        <w:tc>
          <w:tcPr>
            <w:tcW w:w="1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7"/>
        </w:trPr>
        <w:tc>
          <w:tcPr>
            <w:tcW w:w="5960" w:type="dxa"/>
            <w:vAlign w:val="bottom"/>
          </w:tcPr>
          <w:p>
            <w:pPr>
              <w:ind w:left="140"/>
              <w:spacing w:after="0"/>
              <w:rPr>
                <w:sz w:val="20"/>
                <w:szCs w:val="20"/>
                <w:color w:val="auto"/>
              </w:rPr>
            </w:pPr>
            <w:r>
              <w:rPr>
                <w:rFonts w:ascii="Arial" w:cs="Arial" w:eastAsia="Arial" w:hAnsi="Arial"/>
                <w:sz w:val="15"/>
                <w:szCs w:val="15"/>
                <w:color w:val="auto"/>
              </w:rPr>
              <w:t>Capital expenditures</w:t>
            </w:r>
          </w:p>
        </w:tc>
        <w:tc>
          <w:tcPr>
            <w:tcW w:w="1180" w:type="dxa"/>
            <w:vAlign w:val="bottom"/>
          </w:tcPr>
          <w:p>
            <w:pPr>
              <w:spacing w:after="0"/>
              <w:rPr>
                <w:sz w:val="17"/>
                <w:szCs w:val="17"/>
                <w:color w:val="auto"/>
              </w:rPr>
            </w:pPr>
          </w:p>
        </w:tc>
        <w:tc>
          <w:tcPr>
            <w:tcW w:w="640" w:type="dxa"/>
            <w:vAlign w:val="bottom"/>
          </w:tcPr>
          <w:p>
            <w:pPr>
              <w:jc w:val="right"/>
              <w:ind w:right="123"/>
              <w:spacing w:after="0"/>
              <w:rPr>
                <w:sz w:val="20"/>
                <w:szCs w:val="20"/>
                <w:color w:val="auto"/>
              </w:rPr>
            </w:pPr>
            <w:r>
              <w:rPr>
                <w:rFonts w:ascii="Arial" w:cs="Arial" w:eastAsia="Arial" w:hAnsi="Arial"/>
                <w:sz w:val="15"/>
                <w:szCs w:val="15"/>
                <w:b w:val="1"/>
                <w:bCs w:val="1"/>
                <w:color w:val="auto"/>
              </w:rPr>
              <w:t>(64)</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(75)</w:t>
            </w:r>
          </w:p>
        </w:tc>
      </w:tr>
      <w:tr>
        <w:trPr>
          <w:trHeight w:val="207"/>
        </w:trPr>
        <w:tc>
          <w:tcPr>
            <w:tcW w:w="59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5"/>
                <w:szCs w:val="15"/>
                <w:color w:val="auto"/>
              </w:rPr>
              <w:t>Insurance proceeds related to loss on property and equipment</w:t>
            </w:r>
          </w:p>
        </w:tc>
        <w:tc>
          <w:tcPr>
            <w:tcW w:w="1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1</w:t>
            </w: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87"/>
        </w:trPr>
        <w:tc>
          <w:tcPr>
            <w:tcW w:w="59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Net cash used in investing activities</w:t>
            </w:r>
          </w:p>
        </w:tc>
        <w:tc>
          <w:tcPr>
            <w:tcW w:w="1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(63)</w:t>
            </w: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w:t>
            </w:r>
          </w:p>
        </w:tc>
      </w:tr>
      <w:tr>
        <w:trPr>
          <w:trHeight w:val="187"/>
        </w:trPr>
        <w:tc>
          <w:tcPr>
            <w:tcW w:w="59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07"/>
        </w:trPr>
        <w:tc>
          <w:tcPr>
            <w:tcW w:w="5960" w:type="dxa"/>
            <w:vAlign w:val="bottom"/>
          </w:tcPr>
          <w:p>
            <w:pPr>
              <w:spacing w:after="0"/>
              <w:rPr>
                <w:sz w:val="20"/>
                <w:szCs w:val="20"/>
                <w:color w:val="auto"/>
              </w:rPr>
            </w:pPr>
            <w:r>
              <w:rPr>
                <w:rFonts w:ascii="Arial" w:cs="Arial" w:eastAsia="Arial" w:hAnsi="Arial"/>
                <w:sz w:val="15"/>
                <w:szCs w:val="15"/>
                <w:b w:val="1"/>
                <w:bCs w:val="1"/>
                <w:color w:val="auto"/>
              </w:rPr>
              <w:t>From financing activities:</w:t>
            </w:r>
          </w:p>
        </w:tc>
        <w:tc>
          <w:tcPr>
            <w:tcW w:w="1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7"/>
        </w:trPr>
        <w:tc>
          <w:tcPr>
            <w:tcW w:w="59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Purchase of treasury shares</w:t>
            </w:r>
          </w:p>
        </w:tc>
        <w:tc>
          <w:tcPr>
            <w:tcW w:w="11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(112)</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w:t>
            </w:r>
          </w:p>
        </w:tc>
      </w:tr>
      <w:tr>
        <w:trPr>
          <w:trHeight w:val="207"/>
        </w:trPr>
        <w:tc>
          <w:tcPr>
            <w:tcW w:w="5960" w:type="dxa"/>
            <w:vAlign w:val="bottom"/>
          </w:tcPr>
          <w:p>
            <w:pPr>
              <w:ind w:left="140"/>
              <w:spacing w:after="0"/>
              <w:rPr>
                <w:sz w:val="20"/>
                <w:szCs w:val="20"/>
                <w:color w:val="auto"/>
              </w:rPr>
            </w:pPr>
            <w:r>
              <w:rPr>
                <w:rFonts w:ascii="Arial" w:cs="Arial" w:eastAsia="Arial" w:hAnsi="Arial"/>
                <w:sz w:val="15"/>
                <w:szCs w:val="15"/>
                <w:color w:val="auto"/>
              </w:rPr>
              <w:t>Dividends paid on common stock</w:t>
            </w:r>
          </w:p>
        </w:tc>
        <w:tc>
          <w:tcPr>
            <w:tcW w:w="1180" w:type="dxa"/>
            <w:vAlign w:val="bottom"/>
          </w:tcPr>
          <w:p>
            <w:pPr>
              <w:spacing w:after="0"/>
              <w:rPr>
                <w:sz w:val="17"/>
                <w:szCs w:val="17"/>
                <w:color w:val="auto"/>
              </w:rPr>
            </w:pPr>
          </w:p>
        </w:tc>
        <w:tc>
          <w:tcPr>
            <w:tcW w:w="640" w:type="dxa"/>
            <w:vAlign w:val="bottom"/>
          </w:tcPr>
          <w:p>
            <w:pPr>
              <w:jc w:val="right"/>
              <w:ind w:right="123"/>
              <w:spacing w:after="0"/>
              <w:rPr>
                <w:sz w:val="20"/>
                <w:szCs w:val="20"/>
                <w:color w:val="auto"/>
              </w:rPr>
            </w:pPr>
            <w:r>
              <w:rPr>
                <w:rFonts w:ascii="Arial" w:cs="Arial" w:eastAsia="Arial" w:hAnsi="Arial"/>
                <w:sz w:val="15"/>
                <w:szCs w:val="15"/>
                <w:b w:val="1"/>
                <w:bCs w:val="1"/>
                <w:color w:val="auto"/>
              </w:rPr>
              <w:t>(41)</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(41)</w:t>
            </w:r>
          </w:p>
        </w:tc>
      </w:tr>
      <w:tr>
        <w:trPr>
          <w:trHeight w:val="207"/>
        </w:trPr>
        <w:tc>
          <w:tcPr>
            <w:tcW w:w="59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Proceeds from exercise of stock options</w:t>
            </w:r>
          </w:p>
        </w:tc>
        <w:tc>
          <w:tcPr>
            <w:tcW w:w="11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w:t>
            </w:r>
          </w:p>
        </w:tc>
      </w:tr>
      <w:tr>
        <w:trPr>
          <w:trHeight w:val="353"/>
        </w:trPr>
        <w:tc>
          <w:tcPr>
            <w:tcW w:w="596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Shares of common stock repurchased to satisfy tax withholding obligations</w:t>
            </w:r>
          </w:p>
        </w:tc>
        <w:tc>
          <w:tcPr>
            <w:tcW w:w="1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(1)</w:t>
            </w: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w:t>
            </w:r>
          </w:p>
        </w:tc>
      </w:tr>
      <w:tr>
        <w:trPr>
          <w:trHeight w:val="187"/>
        </w:trPr>
        <w:tc>
          <w:tcPr>
            <w:tcW w:w="5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Net cash used in financing activities</w:t>
            </w:r>
          </w:p>
        </w:tc>
        <w:tc>
          <w:tcPr>
            <w:tcW w:w="1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(154)</w:t>
            </w:r>
          </w:p>
        </w:tc>
        <w:tc>
          <w:tcPr>
            <w:tcW w:w="3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w:t>
            </w:r>
          </w:p>
        </w:tc>
      </w:tr>
      <w:tr>
        <w:trPr>
          <w:trHeight w:val="187"/>
        </w:trPr>
        <w:tc>
          <w:tcPr>
            <w:tcW w:w="59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65"/>
        </w:trPr>
        <w:tc>
          <w:tcPr>
            <w:tcW w:w="5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Effect of exchange rate fluctuations on cash, cash equivalents, and restricted cash</w:t>
            </w:r>
          </w:p>
        </w:tc>
        <w:tc>
          <w:tcPr>
            <w:tcW w:w="118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(18)</w:t>
            </w:r>
          </w:p>
        </w:tc>
        <w:tc>
          <w:tcPr>
            <w:tcW w:w="3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r>
      <w:tr>
        <w:trPr>
          <w:trHeight w:val="187"/>
        </w:trPr>
        <w:tc>
          <w:tcPr>
            <w:tcW w:w="5960" w:type="dxa"/>
            <w:vAlign w:val="bottom"/>
          </w:tcPr>
          <w:p>
            <w:pPr>
              <w:spacing w:after="0"/>
              <w:rPr>
                <w:sz w:val="20"/>
                <w:szCs w:val="20"/>
                <w:color w:val="auto"/>
              </w:rPr>
            </w:pPr>
            <w:r>
              <w:rPr>
                <w:rFonts w:ascii="Arial" w:cs="Arial" w:eastAsia="Arial" w:hAnsi="Arial"/>
                <w:sz w:val="15"/>
                <w:szCs w:val="15"/>
                <w:color w:val="auto"/>
              </w:rPr>
              <w:t>Net change in cash, cash equivalents, and restricted cash</w:t>
            </w:r>
          </w:p>
        </w:tc>
        <w:tc>
          <w:tcPr>
            <w:tcW w:w="1180" w:type="dxa"/>
            <w:vAlign w:val="bottom"/>
          </w:tcPr>
          <w:p>
            <w:pPr>
              <w:spacing w:after="0"/>
              <w:rPr>
                <w:sz w:val="16"/>
                <w:szCs w:val="16"/>
                <w:color w:val="auto"/>
              </w:rPr>
            </w:pPr>
          </w:p>
        </w:tc>
        <w:tc>
          <w:tcPr>
            <w:tcW w:w="640" w:type="dxa"/>
            <w:vAlign w:val="bottom"/>
          </w:tcPr>
          <w:p>
            <w:pPr>
              <w:jc w:val="right"/>
              <w:ind w:right="183"/>
              <w:spacing w:after="0"/>
              <w:rPr>
                <w:sz w:val="20"/>
                <w:szCs w:val="20"/>
                <w:color w:val="auto"/>
              </w:rPr>
            </w:pPr>
            <w:r>
              <w:rPr>
                <w:rFonts w:ascii="Arial" w:cs="Arial" w:eastAsia="Arial" w:hAnsi="Arial"/>
                <w:sz w:val="15"/>
                <w:szCs w:val="15"/>
                <w:b w:val="1"/>
                <w:bCs w:val="1"/>
                <w:color w:val="auto"/>
              </w:rPr>
              <w:t>180</w:t>
            </w: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207"/>
        </w:trPr>
        <w:tc>
          <w:tcPr>
            <w:tcW w:w="5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Cash, cash equivalents, and restricted cash at beginning of period</w:t>
            </w:r>
          </w:p>
        </w:tc>
        <w:tc>
          <w:tcPr>
            <w:tcW w:w="1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b w:val="1"/>
                <w:bCs w:val="1"/>
                <w:color w:val="auto"/>
                <w:w w:val="95"/>
              </w:rPr>
              <w:t>1,031</w:t>
            </w: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1,073</w:t>
            </w:r>
          </w:p>
        </w:tc>
      </w:tr>
      <w:tr>
        <w:trPr>
          <w:trHeight w:val="179"/>
        </w:trPr>
        <w:tc>
          <w:tcPr>
            <w:tcW w:w="59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Cash, cash equivalents, and restricted cash at end of period</w:t>
            </w:r>
          </w:p>
        </w:tc>
        <w:tc>
          <w:tcPr>
            <w:tcW w:w="1180" w:type="dxa"/>
            <w:vAlign w:val="bottom"/>
            <w:tcBorders>
              <w:bottom w:val="single" w:sz="8" w:color="auto"/>
            </w:tcBorders>
          </w:tcPr>
          <w:p>
            <w:pPr>
              <w:jc w:val="right"/>
              <w:ind w:right="663"/>
              <w:spacing w:after="0"/>
              <w:rPr>
                <w:sz w:val="20"/>
                <w:szCs w:val="20"/>
                <w:color w:val="auto"/>
              </w:rPr>
            </w:pPr>
            <w:r>
              <w:rPr>
                <w:rFonts w:ascii="Arial" w:cs="Arial" w:eastAsia="Arial" w:hAnsi="Arial"/>
                <w:sz w:val="15"/>
                <w:szCs w:val="15"/>
                <w:b w:val="1"/>
                <w:bCs w:val="1"/>
                <w:color w:val="auto"/>
              </w:rPr>
              <w:t>$</w:t>
            </w:r>
          </w:p>
        </w:tc>
        <w:tc>
          <w:tcPr>
            <w:tcW w:w="6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w w:val="95"/>
              </w:rPr>
              <w:t>1,211</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1,077</w:t>
            </w:r>
          </w:p>
        </w:tc>
      </w:tr>
      <w:tr>
        <w:trPr>
          <w:trHeight w:val="195"/>
        </w:trPr>
        <w:tc>
          <w:tcPr>
            <w:tcW w:w="59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07"/>
        </w:trPr>
        <w:tc>
          <w:tcPr>
            <w:tcW w:w="5960" w:type="dxa"/>
            <w:vAlign w:val="bottom"/>
          </w:tcPr>
          <w:p>
            <w:pPr>
              <w:spacing w:after="0"/>
              <w:rPr>
                <w:sz w:val="20"/>
                <w:szCs w:val="20"/>
                <w:color w:val="auto"/>
              </w:rPr>
            </w:pPr>
            <w:r>
              <w:rPr>
                <w:rFonts w:ascii="Arial" w:cs="Arial" w:eastAsia="Arial" w:hAnsi="Arial"/>
                <w:sz w:val="15"/>
                <w:szCs w:val="15"/>
                <w:b w:val="1"/>
                <w:bCs w:val="1"/>
                <w:color w:val="auto"/>
              </w:rPr>
              <w:t>Cash paid during the period:</w:t>
            </w:r>
          </w:p>
        </w:tc>
        <w:tc>
          <w:tcPr>
            <w:tcW w:w="1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7"/>
        </w:trPr>
        <w:tc>
          <w:tcPr>
            <w:tcW w:w="596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Interest</w:t>
            </w:r>
          </w:p>
        </w:tc>
        <w:tc>
          <w:tcPr>
            <w:tcW w:w="1180" w:type="dxa"/>
            <w:vAlign w:val="bottom"/>
            <w:shd w:val="clear" w:color="auto" w:fill="CCEEFF"/>
          </w:tcPr>
          <w:p>
            <w:pPr>
              <w:jc w:val="right"/>
              <w:ind w:right="663"/>
              <w:spacing w:after="0"/>
              <w:rPr>
                <w:sz w:val="20"/>
                <w:szCs w:val="20"/>
                <w:color w:val="auto"/>
              </w:rPr>
            </w:pPr>
            <w:r>
              <w:rPr>
                <w:rFonts w:ascii="Arial" w:cs="Arial" w:eastAsia="Arial" w:hAnsi="Arial"/>
                <w:sz w:val="15"/>
                <w:szCs w:val="15"/>
                <w:b w:val="1"/>
                <w:bCs w:val="1"/>
                <w:color w:val="auto"/>
              </w:rPr>
              <w:t>$</w:t>
            </w:r>
          </w:p>
        </w:tc>
        <w:tc>
          <w:tcPr>
            <w:tcW w:w="64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596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Income taxes</w:t>
            </w:r>
          </w:p>
        </w:tc>
        <w:tc>
          <w:tcPr>
            <w:tcW w:w="1180" w:type="dxa"/>
            <w:vAlign w:val="bottom"/>
            <w:tcBorders>
              <w:bottom w:val="single" w:sz="8" w:color="auto"/>
            </w:tcBorders>
          </w:tcPr>
          <w:p>
            <w:pPr>
              <w:jc w:val="right"/>
              <w:ind w:right="663"/>
              <w:spacing w:after="0"/>
              <w:rPr>
                <w:sz w:val="20"/>
                <w:szCs w:val="20"/>
                <w:color w:val="auto"/>
              </w:rPr>
            </w:pPr>
            <w:r>
              <w:rPr>
                <w:rFonts w:ascii="Arial" w:cs="Arial" w:eastAsia="Arial" w:hAnsi="Arial"/>
                <w:sz w:val="15"/>
                <w:szCs w:val="15"/>
                <w:b w:val="1"/>
                <w:bCs w:val="1"/>
                <w:color w:val="auto"/>
              </w:rPr>
              <w:t>$</w:t>
            </w:r>
          </w:p>
        </w:tc>
        <w:tc>
          <w:tcPr>
            <w:tcW w:w="6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61</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122</w:t>
            </w: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5" w:right="1399" w:bottom="1440" w:gutter="0" w:footer="0" w:header="0"/>
        </w:sectPr>
      </w:pPr>
    </w:p>
    <w:bookmarkStart w:id="6" w:name="page7"/>
    <w:bookmarkEnd w:id="6"/>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8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Summary of Significant Accounting Policies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Basis of Presentation</w:t>
      </w:r>
    </w:p>
    <w:p>
      <w:pPr>
        <w:spacing w:after="0" w:line="184" w:lineRule="exact"/>
        <w:rPr>
          <w:sz w:val="20"/>
          <w:szCs w:val="20"/>
          <w:color w:val="auto"/>
        </w:rPr>
      </w:pPr>
    </w:p>
    <w:p>
      <w:pPr>
        <w:jc w:val="both"/>
        <w:spacing w:after="0" w:line="239" w:lineRule="auto"/>
        <w:rPr>
          <w:sz w:val="20"/>
          <w:szCs w:val="20"/>
          <w:color w:val="auto"/>
        </w:rPr>
      </w:pPr>
      <w:r>
        <w:rPr>
          <w:rFonts w:ascii="Arial" w:cs="Arial" w:eastAsia="Arial" w:hAnsi="Arial"/>
          <w:sz w:val="15"/>
          <w:szCs w:val="15"/>
          <w:color w:val="auto"/>
        </w:rPr>
        <w:t>The accompanying condensed consolidated financial statements contained in this report are unaudited. In the opinion of management, the condensed consolidated financial statements include all normal, recurring adjustments necessary for a fair presentation of the results for the interim periods of the fiscal year ending February 2, 2019 and of the fiscal year ended February 3, 2018. Certain items included in these statements are based on management’s estimates. Actual results may differ from those estimates. The results of operations for any interim period are not necessarily indicative of the results expected for the year. The accompanying unaudited condensed consolidated financial statements should be read in conjunction with the Notes to Consolidated Financial Statements contained in Foot Locker, Inc.’s (the “Company”) Form 10-K for the year ended February 3, 2018, as filed with the U.S. Securities and Exchange Commission (the “SEC”) on March 29, 2018.</w:t>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 xml:space="preserve">Other than the changes to the </w:t>
      </w:r>
      <w:r>
        <w:rPr>
          <w:rFonts w:ascii="Arial" w:cs="Arial" w:eastAsia="Arial" w:hAnsi="Arial"/>
          <w:sz w:val="15"/>
          <w:szCs w:val="15"/>
          <w:i w:val="1"/>
          <w:iCs w:val="1"/>
          <w:color w:val="auto"/>
        </w:rPr>
        <w:t>Revenue Recognition</w:t>
      </w:r>
      <w:r>
        <w:rPr>
          <w:rFonts w:ascii="Arial" w:cs="Arial" w:eastAsia="Arial" w:hAnsi="Arial"/>
          <w:sz w:val="15"/>
          <w:szCs w:val="15"/>
          <w:color w:val="auto"/>
        </w:rPr>
        <w:t xml:space="preserve"> policies as a result of the recently adopted accounting standards discussed below, there were no significant changes to our significant accounting policies disclosed in Note 1, </w:t>
      </w:r>
      <w:r>
        <w:rPr>
          <w:rFonts w:ascii="Arial" w:cs="Arial" w:eastAsia="Arial" w:hAnsi="Arial"/>
          <w:sz w:val="15"/>
          <w:szCs w:val="15"/>
          <w:i w:val="1"/>
          <w:iCs w:val="1"/>
          <w:color w:val="auto"/>
        </w:rPr>
        <w:t>Summary of Significant Accounting</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Policies </w:t>
      </w:r>
      <w:r>
        <w:rPr>
          <w:rFonts w:ascii="Arial" w:cs="Arial" w:eastAsia="Arial" w:hAnsi="Arial"/>
          <w:sz w:val="15"/>
          <w:szCs w:val="15"/>
          <w:color w:val="auto"/>
        </w:rPr>
        <w:t>of our Annual Report on Form 10-K for the year ended February 3, 2018.</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Recently Adopted Accounting Pronouncements</w:t>
      </w:r>
    </w:p>
    <w:p>
      <w:pPr>
        <w:spacing w:after="0" w:line="168"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 xml:space="preserve">In May 2014, the Financial Accounting Standards Board (“FASB”) issued Accounting Standards Update (“ASU”) 2014-09, </w:t>
      </w:r>
      <w:r>
        <w:rPr>
          <w:rFonts w:ascii="Arial" w:cs="Arial" w:eastAsia="Arial" w:hAnsi="Arial"/>
          <w:sz w:val="15"/>
          <w:szCs w:val="15"/>
          <w:i w:val="1"/>
          <w:iCs w:val="1"/>
          <w:color w:val="auto"/>
        </w:rPr>
        <w:t>Revenue</w:t>
      </w:r>
      <w:r>
        <w:rPr>
          <w:rFonts w:ascii="Arial" w:cs="Arial" w:eastAsia="Arial" w:hAnsi="Arial"/>
          <w:sz w:val="15"/>
          <w:szCs w:val="15"/>
          <w:color w:val="auto"/>
        </w:rPr>
        <w:t xml:space="preserve"> </w:t>
      </w:r>
      <w:r>
        <w:rPr>
          <w:rFonts w:ascii="Arial" w:cs="Arial" w:eastAsia="Arial" w:hAnsi="Arial"/>
          <w:sz w:val="15"/>
          <w:szCs w:val="15"/>
          <w:i w:val="1"/>
          <w:iCs w:val="1"/>
          <w:color w:val="auto"/>
        </w:rPr>
        <w:t>from Contracts with Customers (Topic 606)</w:t>
      </w:r>
      <w:r>
        <w:rPr>
          <w:rFonts w:ascii="Arial" w:cs="Arial" w:eastAsia="Arial" w:hAnsi="Arial"/>
          <w:sz w:val="15"/>
          <w:szCs w:val="15"/>
          <w:color w:val="auto"/>
        </w:rPr>
        <w:t>. The core principle of Topic 606 is to recognize revenue to depict the transfer of promised</w:t>
      </w:r>
      <w:r>
        <w:rPr>
          <w:rFonts w:ascii="Arial" w:cs="Arial" w:eastAsia="Arial" w:hAnsi="Arial"/>
          <w:sz w:val="15"/>
          <w:szCs w:val="15"/>
          <w:i w:val="1"/>
          <w:iCs w:val="1"/>
          <w:color w:val="auto"/>
        </w:rPr>
        <w:t xml:space="preserve"> </w:t>
      </w:r>
      <w:r>
        <w:rPr>
          <w:rFonts w:ascii="Arial" w:cs="Arial" w:eastAsia="Arial" w:hAnsi="Arial"/>
          <w:sz w:val="15"/>
          <w:szCs w:val="15"/>
          <w:color w:val="auto"/>
        </w:rPr>
        <w:t>goods or services to customers in an amount that reflects the consideration to which the entity expects to be entitled in exchange for those goods or services. The Company adopted ASU 2014-09 during the first quarter of 2018 using the modified retrospective method. We recognized $5 million, or $4 million net of tax, as the cumulative effect of initially applying the new revenue standard as an increase to the opening balance of retained earnings.</w:t>
      </w:r>
    </w:p>
    <w:p>
      <w:pPr>
        <w:spacing w:after="0" w:line="152"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 xml:space="preserve">In October 2016, the FASB issued ASU 2016-16, </w:t>
      </w:r>
      <w:r>
        <w:rPr>
          <w:rFonts w:ascii="Arial" w:cs="Arial" w:eastAsia="Arial" w:hAnsi="Arial"/>
          <w:sz w:val="15"/>
          <w:szCs w:val="15"/>
          <w:i w:val="1"/>
          <w:iCs w:val="1"/>
          <w:color w:val="auto"/>
        </w:rPr>
        <w:t>Income Taxes (Topic 740): Intra-Entity Transfers of Assets Other Than Inventory</w:t>
      </w:r>
      <w:r>
        <w:rPr>
          <w:rFonts w:ascii="Arial" w:cs="Arial" w:eastAsia="Arial" w:hAnsi="Arial"/>
          <w:sz w:val="15"/>
          <w:szCs w:val="15"/>
          <w:color w:val="auto"/>
        </w:rPr>
        <w:t>. ASU 2016-16 requires recognition of income tax consequences of an intra-entity transfer of an asset other than inventory when the transfer occurs. The Company adopted this ASU during the first quarter of 2018 using the modified retrospective method, and as a result increased deferred income tax assets by $37 million. The Company has written off the income tax effects that had been deferred from past intercompany transactions involving non-inventory assets to opening retained earnings. The Company also recorded deferred tax assets with an offset to opening retained earnings for amounts that were not previously recognized under the previous guidance but are recognized under this ASU.</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color w:val="auto"/>
        </w:rPr>
        <w:t>Other recently adopted ASUs are discussed within the applicable disclosures on the following pages.</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Recent Accounting Pronouncements Not Yet Adopted</w:t>
      </w:r>
    </w:p>
    <w:p>
      <w:pPr>
        <w:spacing w:after="0" w:line="168"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 xml:space="preserve">In February 2016, the FASB issued ASU 2016-02, </w:t>
      </w:r>
      <w:r>
        <w:rPr>
          <w:rFonts w:ascii="Arial" w:cs="Arial" w:eastAsia="Arial" w:hAnsi="Arial"/>
          <w:sz w:val="15"/>
          <w:szCs w:val="15"/>
          <w:i w:val="1"/>
          <w:iCs w:val="1"/>
          <w:color w:val="auto"/>
        </w:rPr>
        <w:t>Leases</w:t>
      </w:r>
      <w:r>
        <w:rPr>
          <w:rFonts w:ascii="Arial" w:cs="Arial" w:eastAsia="Arial" w:hAnsi="Arial"/>
          <w:sz w:val="15"/>
          <w:szCs w:val="15"/>
          <w:color w:val="auto"/>
        </w:rPr>
        <w:t>. This ASU requires lessees to recognize a lease liability and a right-of-use asset for all leases, as well as additional disclosure regarding leasing arrangements. This standard will be effective for fiscal years beginning after December 15, 2018, including interim periods therein, and requires a modified retrospective adoption, with earlier adoption permitted. The Company does not expect to adopt this ASU until required and is evaluating the effect of this guidance. The Company has historically presented a non-GAAP measure to adjust its balance sheet to present operating leases as if they were capital leases. Based upon that analysis and preliminary evaluation of the standard, we estimate the adoption will result in the addition of $3 billion to $4 billion of assets and liabilities to our consolidated balance sheet, with no significant change to our consolidated statements of operations or cash flows.</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Other recently issued accounting pronouncements did not, or are not believed by management to, have a material effect on the Company’s present or future consolidated financial statements.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190500</wp:posOffset>
            </wp:positionV>
            <wp:extent cx="5817870" cy="482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5" w:right="139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Revenue Recognition</w:t>
      </w:r>
    </w:p>
    <w:p>
      <w:pPr>
        <w:spacing w:after="0" w:line="184" w:lineRule="exact"/>
        <w:rPr>
          <w:sz w:val="20"/>
          <w:szCs w:val="20"/>
          <w:color w:val="auto"/>
        </w:rPr>
      </w:pPr>
    </w:p>
    <w:p>
      <w:pPr>
        <w:jc w:val="both"/>
        <w:ind w:right="20"/>
        <w:spacing w:after="0" w:line="254" w:lineRule="auto"/>
        <w:rPr>
          <w:sz w:val="20"/>
          <w:szCs w:val="20"/>
          <w:color w:val="auto"/>
        </w:rPr>
      </w:pPr>
      <w:r>
        <w:rPr>
          <w:rFonts w:ascii="Arial" w:cs="Arial" w:eastAsia="Arial" w:hAnsi="Arial"/>
          <w:sz w:val="15"/>
          <w:szCs w:val="15"/>
          <w:color w:val="auto"/>
        </w:rPr>
        <w:t>Store revenue is recognized at the point of sale and includes merchandise, net of returns, and excludes taxes. Revenue from layaway sales is recognized when the customer receives the product, rather than when the initial deposit is paid.</w:t>
      </w:r>
    </w:p>
    <w:p>
      <w:pPr>
        <w:spacing w:after="0" w:line="146" w:lineRule="exact"/>
        <w:rPr>
          <w:sz w:val="20"/>
          <w:szCs w:val="20"/>
          <w:color w:val="auto"/>
        </w:rPr>
      </w:pPr>
    </w:p>
    <w:p>
      <w:pPr>
        <w:jc w:val="both"/>
        <w:ind w:right="20"/>
        <w:spacing w:after="0"/>
        <w:rPr>
          <w:sz w:val="20"/>
          <w:szCs w:val="20"/>
          <w:color w:val="auto"/>
        </w:rPr>
      </w:pPr>
      <w:r>
        <w:rPr>
          <w:rFonts w:ascii="Arial" w:cs="Arial" w:eastAsia="Arial" w:hAnsi="Arial"/>
          <w:sz w:val="15"/>
          <w:szCs w:val="15"/>
          <w:color w:val="auto"/>
        </w:rPr>
        <w:t>In conjunction with the adoption of Topic 606 during the first quarter of 2018, we have determined that revenue for merchandise that is shipped to our customers from our distribution centers and stores will be recognized upon shipment date. Total revenue recognized includes shipping and handling fees. We have determined that control of the promised good is passed to the customer upon shipment date since the customer has legal title, the rewards of ownership, and paid for the merchandise as of the shipment date. This reflects a change in timing in how we previously recognized revenue for our direct-to-customer sales. Prior to the adoption of Topic 606, the Company recognized such revenue upon date of delivery. As a result of this change, the Company recorded $1 million, net of tax, as an increase to opening retained earnings to reflect the cumulative effect of adopting this change. We have elected to account for shipping and handling as a fulfillment activity. The Company accrues the cost and recognized revenue for these activities upon shipment date.</w:t>
      </w:r>
    </w:p>
    <w:p>
      <w:pPr>
        <w:spacing w:after="0" w:line="30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Gift Cards</w:t>
      </w:r>
    </w:p>
    <w:p>
      <w:pPr>
        <w:spacing w:after="0" w:line="184" w:lineRule="exact"/>
        <w:rPr>
          <w:sz w:val="20"/>
          <w:szCs w:val="20"/>
          <w:color w:val="auto"/>
        </w:rPr>
      </w:pPr>
    </w:p>
    <w:p>
      <w:pPr>
        <w:jc w:val="both"/>
        <w:ind w:right="20"/>
        <w:spacing w:after="0" w:line="241" w:lineRule="auto"/>
        <w:rPr>
          <w:sz w:val="20"/>
          <w:szCs w:val="20"/>
          <w:color w:val="auto"/>
        </w:rPr>
      </w:pPr>
      <w:r>
        <w:rPr>
          <w:rFonts w:ascii="Arial" w:cs="Arial" w:eastAsia="Arial" w:hAnsi="Arial"/>
          <w:sz w:val="15"/>
          <w:szCs w:val="15"/>
          <w:color w:val="auto"/>
        </w:rPr>
        <w:t>The Company sells to its customers gift cards, which do not have expiration dates. Revenue from gift card sales is recorded when the gift cards are redeemed. Effective as of the first quarter of 2018 with the adoption of Topic 606, gift card breakage is recognized as revenue in proportion to the pattern of rights exercised by the customer, unless there is a legal obligation to remit the value of unredeemed gift cards to the relevant jurisdictions. This reflects a change in our accounting for gift card breakage from the remote method to the proportional method. As a result of adopting Topic 606, the Company recorded $4 million, or $3 million net of tax, as an increase to opening retained earnings to reflect the cumulative effect of this change based upon historical redemption patterns</w:t>
      </w:r>
      <w:r>
        <w:rPr>
          <w:rFonts w:ascii="Arial" w:cs="Arial" w:eastAsia="Arial" w:hAnsi="Arial"/>
          <w:sz w:val="16"/>
          <w:szCs w:val="16"/>
          <w:color w:val="auto"/>
        </w:rPr>
        <w:t>.</w:t>
      </w:r>
    </w:p>
    <w:p>
      <w:pPr>
        <w:spacing w:after="0" w:line="7" w:lineRule="exact"/>
        <w:rPr>
          <w:sz w:val="20"/>
          <w:szCs w:val="20"/>
          <w:color w:val="auto"/>
        </w:rPr>
      </w:pPr>
    </w:p>
    <w:p>
      <w:pPr>
        <w:jc w:val="both"/>
        <w:ind w:right="20" w:firstLine="40"/>
        <w:spacing w:after="0" w:line="271" w:lineRule="auto"/>
        <w:rPr>
          <w:sz w:val="20"/>
          <w:szCs w:val="20"/>
          <w:color w:val="auto"/>
        </w:rPr>
      </w:pPr>
      <w:r>
        <w:rPr>
          <w:rFonts w:ascii="Arial" w:cs="Arial" w:eastAsia="Arial" w:hAnsi="Arial"/>
          <w:sz w:val="15"/>
          <w:szCs w:val="15"/>
          <w:color w:val="auto"/>
        </w:rPr>
        <w:t>Additionally, breakage income was previously recorded within selling, general and administrative expenses, however this amount is currently reported within sales as required by the standard. This change in classification is not considered significant.</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 Revenue</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color w:val="auto"/>
        </w:rPr>
        <w:t>Sales disaggregated based upon sales channel is presented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3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2"/>
          </w:tcPr>
          <w:p>
            <w:pPr>
              <w:jc w:val="right"/>
              <w:ind w:right="563"/>
              <w:spacing w:after="0"/>
              <w:rPr>
                <w:sz w:val="20"/>
                <w:szCs w:val="20"/>
                <w:color w:val="auto"/>
              </w:rPr>
            </w:pPr>
            <w:r>
              <w:rPr>
                <w:rFonts w:ascii="Arial" w:cs="Arial" w:eastAsia="Arial" w:hAnsi="Arial"/>
                <w:sz w:val="15"/>
                <w:szCs w:val="15"/>
                <w:b w:val="1"/>
                <w:bCs w:val="1"/>
                <w:color w:val="auto"/>
              </w:rPr>
              <w:t>Thirteen weeks ended</w:t>
            </w:r>
          </w:p>
        </w:tc>
        <w:tc>
          <w:tcPr>
            <w:tcW w:w="520" w:type="dxa"/>
            <w:vAlign w:val="bottom"/>
            <w:tcBorders>
              <w:bottom w:val="single" w:sz="8" w:color="auto"/>
            </w:tcBorders>
          </w:tcPr>
          <w:p>
            <w:pPr>
              <w:spacing w:after="0"/>
              <w:rPr>
                <w:sz w:val="16"/>
                <w:szCs w:val="16"/>
                <w:color w:val="auto"/>
              </w:rPr>
            </w:pPr>
          </w:p>
        </w:tc>
      </w:tr>
      <w:tr>
        <w:trPr>
          <w:trHeight w:val="196"/>
        </w:trPr>
        <w:tc>
          <w:tcPr>
            <w:tcW w:w="3380" w:type="dxa"/>
            <w:vAlign w:val="bottom"/>
          </w:tcPr>
          <w:p>
            <w:pPr>
              <w:spacing w:after="0"/>
              <w:rPr>
                <w:sz w:val="17"/>
                <w:szCs w:val="17"/>
                <w:color w:val="auto"/>
              </w:rPr>
            </w:pPr>
          </w:p>
        </w:tc>
        <w:tc>
          <w:tcPr>
            <w:tcW w:w="2940" w:type="dxa"/>
            <w:vAlign w:val="bottom"/>
          </w:tcPr>
          <w:p>
            <w:pPr>
              <w:jc w:val="right"/>
              <w:spacing w:after="0"/>
              <w:rPr>
                <w:sz w:val="20"/>
                <w:szCs w:val="20"/>
                <w:color w:val="auto"/>
              </w:rPr>
            </w:pPr>
            <w:r>
              <w:rPr>
                <w:rFonts w:ascii="Arial" w:cs="Arial" w:eastAsia="Arial" w:hAnsi="Arial"/>
                <w:sz w:val="15"/>
                <w:szCs w:val="15"/>
                <w:b w:val="1"/>
                <w:bCs w:val="1"/>
                <w:color w:val="auto"/>
              </w:rPr>
              <w:t>May 5,</w:t>
            </w:r>
          </w:p>
        </w:tc>
        <w:tc>
          <w:tcPr>
            <w:tcW w:w="900" w:type="dxa"/>
            <w:vAlign w:val="bottom"/>
          </w:tcPr>
          <w:p>
            <w:pPr>
              <w:spacing w:after="0"/>
              <w:rPr>
                <w:sz w:val="17"/>
                <w:szCs w:val="17"/>
                <w:color w:val="auto"/>
              </w:rPr>
            </w:pPr>
          </w:p>
        </w:tc>
        <w:tc>
          <w:tcPr>
            <w:tcW w:w="1360" w:type="dxa"/>
            <w:vAlign w:val="bottom"/>
          </w:tcPr>
          <w:p>
            <w:pPr>
              <w:jc w:val="right"/>
              <w:ind w:right="3"/>
              <w:spacing w:after="0"/>
              <w:rPr>
                <w:sz w:val="20"/>
                <w:szCs w:val="20"/>
                <w:color w:val="auto"/>
              </w:rPr>
            </w:pPr>
            <w:r>
              <w:rPr>
                <w:rFonts w:ascii="Arial" w:cs="Arial" w:eastAsia="Arial" w:hAnsi="Arial"/>
                <w:sz w:val="15"/>
                <w:szCs w:val="15"/>
                <w:b w:val="1"/>
                <w:bCs w:val="1"/>
                <w:color w:val="auto"/>
              </w:rPr>
              <w:t>April 29,</w:t>
            </w:r>
          </w:p>
        </w:tc>
        <w:tc>
          <w:tcPr>
            <w:tcW w:w="520" w:type="dxa"/>
            <w:vAlign w:val="bottom"/>
          </w:tcPr>
          <w:p>
            <w:pPr>
              <w:spacing w:after="0"/>
              <w:rPr>
                <w:sz w:val="17"/>
                <w:szCs w:val="17"/>
                <w:color w:val="auto"/>
              </w:rPr>
            </w:pPr>
          </w:p>
        </w:tc>
      </w:tr>
      <w:tr>
        <w:trPr>
          <w:trHeight w:val="197"/>
        </w:trPr>
        <w:tc>
          <w:tcPr>
            <w:tcW w:w="338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2018</w:t>
            </w:r>
          </w:p>
        </w:tc>
        <w:tc>
          <w:tcPr>
            <w:tcW w:w="9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2017</w:t>
            </w:r>
          </w:p>
        </w:tc>
        <w:tc>
          <w:tcPr>
            <w:tcW w:w="520" w:type="dxa"/>
            <w:vAlign w:val="bottom"/>
            <w:tcBorders>
              <w:bottom w:val="single" w:sz="8" w:color="auto"/>
            </w:tcBorders>
          </w:tcPr>
          <w:p>
            <w:pPr>
              <w:spacing w:after="0"/>
              <w:rPr>
                <w:sz w:val="17"/>
                <w:szCs w:val="17"/>
                <w:color w:val="auto"/>
              </w:rPr>
            </w:pPr>
          </w:p>
        </w:tc>
      </w:tr>
      <w:tr>
        <w:trPr>
          <w:trHeight w:val="187"/>
        </w:trPr>
        <w:tc>
          <w:tcPr>
            <w:tcW w:w="338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260" w:type="dxa"/>
            <w:vAlign w:val="bottom"/>
            <w:gridSpan w:val="2"/>
          </w:tcPr>
          <w:p>
            <w:pPr>
              <w:jc w:val="right"/>
              <w:ind w:right="923"/>
              <w:spacing w:after="0"/>
              <w:rPr>
                <w:sz w:val="20"/>
                <w:szCs w:val="20"/>
                <w:color w:val="auto"/>
              </w:rPr>
            </w:pPr>
            <w:r>
              <w:rPr>
                <w:rFonts w:ascii="Arial" w:cs="Arial" w:eastAsia="Arial" w:hAnsi="Arial"/>
                <w:sz w:val="15"/>
                <w:szCs w:val="15"/>
                <w:color w:val="auto"/>
              </w:rPr>
              <w:t>($ in millions)</w:t>
            </w:r>
          </w:p>
        </w:tc>
        <w:tc>
          <w:tcPr>
            <w:tcW w:w="520" w:type="dxa"/>
            <w:vAlign w:val="bottom"/>
          </w:tcPr>
          <w:p>
            <w:pPr>
              <w:spacing w:after="0"/>
              <w:rPr>
                <w:sz w:val="16"/>
                <w:szCs w:val="16"/>
                <w:color w:val="auto"/>
              </w:rPr>
            </w:pPr>
          </w:p>
        </w:tc>
      </w:tr>
      <w:tr>
        <w:trPr>
          <w:trHeight w:val="207"/>
        </w:trPr>
        <w:tc>
          <w:tcPr>
            <w:tcW w:w="3380" w:type="dxa"/>
            <w:vAlign w:val="bottom"/>
            <w:shd w:val="clear" w:color="auto" w:fill="CCEEFF"/>
          </w:tcPr>
          <w:p>
            <w:pPr>
              <w:spacing w:after="0"/>
              <w:rPr>
                <w:sz w:val="20"/>
                <w:szCs w:val="20"/>
                <w:color w:val="auto"/>
              </w:rPr>
            </w:pPr>
            <w:r>
              <w:rPr>
                <w:rFonts w:ascii="Arial" w:cs="Arial" w:eastAsia="Arial" w:hAnsi="Arial"/>
                <w:sz w:val="15"/>
                <w:szCs w:val="15"/>
                <w:color w:val="auto"/>
              </w:rPr>
              <w:t>Stores</w:t>
            </w:r>
          </w:p>
        </w:tc>
        <w:tc>
          <w:tcPr>
            <w:tcW w:w="2940" w:type="dxa"/>
            <w:vAlign w:val="bottom"/>
            <w:shd w:val="clear" w:color="auto" w:fill="CCEEFF"/>
          </w:tcPr>
          <w:p>
            <w:pPr>
              <w:jc w:val="right"/>
              <w:ind w:right="763"/>
              <w:spacing w:after="0"/>
              <w:rPr>
                <w:sz w:val="20"/>
                <w:szCs w:val="20"/>
                <w:color w:val="auto"/>
              </w:rPr>
            </w:pPr>
            <w:r>
              <w:rPr>
                <w:rFonts w:ascii="Arial" w:cs="Arial" w:eastAsia="Arial" w:hAnsi="Arial"/>
                <w:sz w:val="15"/>
                <w:szCs w:val="15"/>
                <w:b w:val="1"/>
                <w:bCs w:val="1"/>
                <w:color w:val="auto"/>
              </w:rPr>
              <w:t>$</w:t>
            </w:r>
          </w:p>
        </w:tc>
        <w:tc>
          <w:tcPr>
            <w:tcW w:w="900" w:type="dxa"/>
            <w:vAlign w:val="bottom"/>
            <w:shd w:val="clear" w:color="auto" w:fill="CCEEFF"/>
          </w:tcPr>
          <w:p>
            <w:pPr>
              <w:jc w:val="right"/>
              <w:ind w:right="223"/>
              <w:spacing w:after="0"/>
              <w:rPr>
                <w:sz w:val="20"/>
                <w:szCs w:val="20"/>
                <w:color w:val="auto"/>
              </w:rPr>
            </w:pPr>
            <w:r>
              <w:rPr>
                <w:rFonts w:ascii="Arial" w:cs="Arial" w:eastAsia="Arial" w:hAnsi="Arial"/>
                <w:sz w:val="15"/>
                <w:szCs w:val="15"/>
                <w:b w:val="1"/>
                <w:bCs w:val="1"/>
                <w:color w:val="auto"/>
              </w:rPr>
              <w:t>1,743</w:t>
            </w:r>
          </w:p>
        </w:tc>
        <w:tc>
          <w:tcPr>
            <w:tcW w:w="1360" w:type="dxa"/>
            <w:vAlign w:val="bottom"/>
            <w:shd w:val="clear" w:color="auto" w:fill="CCEEFF"/>
          </w:tcPr>
          <w:p>
            <w:pPr>
              <w:jc w:val="right"/>
              <w:ind w:right="903"/>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1,722</w:t>
            </w:r>
          </w:p>
        </w:tc>
      </w:tr>
      <w:tr>
        <w:trPr>
          <w:trHeight w:val="207"/>
        </w:trPr>
        <w:tc>
          <w:tcPr>
            <w:tcW w:w="33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Direct-to-customers</w:t>
            </w:r>
          </w:p>
        </w:tc>
        <w:tc>
          <w:tcPr>
            <w:tcW w:w="29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b w:val="1"/>
                <w:bCs w:val="1"/>
                <w:color w:val="auto"/>
              </w:rPr>
              <w:t>282</w:t>
            </w:r>
          </w:p>
        </w:tc>
        <w:tc>
          <w:tcPr>
            <w:tcW w:w="13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279</w:t>
            </w:r>
          </w:p>
        </w:tc>
      </w:tr>
      <w:tr>
        <w:trPr>
          <w:trHeight w:val="179"/>
        </w:trPr>
        <w:tc>
          <w:tcPr>
            <w:tcW w:w="3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Total sales</w:t>
            </w:r>
          </w:p>
        </w:tc>
        <w:tc>
          <w:tcPr>
            <w:tcW w:w="2940" w:type="dxa"/>
            <w:vAlign w:val="bottom"/>
            <w:tcBorders>
              <w:bottom w:val="single" w:sz="8" w:color="auto"/>
            </w:tcBorders>
            <w:shd w:val="clear" w:color="auto" w:fill="CCEEFF"/>
          </w:tcPr>
          <w:p>
            <w:pPr>
              <w:jc w:val="right"/>
              <w:ind w:right="763"/>
              <w:spacing w:after="0"/>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b w:val="1"/>
                <w:bCs w:val="1"/>
                <w:color w:val="auto"/>
              </w:rPr>
              <w:t>2,025</w:t>
            </w:r>
          </w:p>
        </w:tc>
        <w:tc>
          <w:tcPr>
            <w:tcW w:w="1360" w:type="dxa"/>
            <w:vAlign w:val="bottom"/>
            <w:tcBorders>
              <w:bottom w:val="single" w:sz="8" w:color="auto"/>
            </w:tcBorders>
            <w:shd w:val="clear" w:color="auto" w:fill="CCEEFF"/>
          </w:tcPr>
          <w:p>
            <w:pPr>
              <w:jc w:val="right"/>
              <w:ind w:right="903"/>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2,001</w:t>
            </w:r>
          </w:p>
        </w:tc>
      </w:tr>
    </w:tbl>
    <w:p>
      <w:pPr>
        <w:spacing w:after="0" w:line="116" w:lineRule="exact"/>
        <w:rPr>
          <w:sz w:val="20"/>
          <w:szCs w:val="20"/>
          <w:color w:val="auto"/>
        </w:rPr>
      </w:pPr>
    </w:p>
    <w:p>
      <w:pPr>
        <w:ind w:right="220"/>
        <w:spacing w:after="0" w:line="254" w:lineRule="auto"/>
        <w:rPr>
          <w:sz w:val="20"/>
          <w:szCs w:val="20"/>
          <w:color w:val="auto"/>
        </w:rPr>
      </w:pPr>
      <w:r>
        <w:rPr>
          <w:rFonts w:ascii="Arial" w:cs="Arial" w:eastAsia="Arial" w:hAnsi="Arial"/>
          <w:sz w:val="15"/>
          <w:szCs w:val="15"/>
          <w:color w:val="auto"/>
        </w:rPr>
        <w:t>Sales disaggregated based upon geographic area is presented in the below table. Sales are attributable to the country in which the sales transaction is fulfilled.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7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3"/>
          </w:tcPr>
          <w:p>
            <w:pPr>
              <w:jc w:val="right"/>
              <w:ind w:right="923"/>
              <w:spacing w:after="0"/>
              <w:rPr>
                <w:sz w:val="20"/>
                <w:szCs w:val="20"/>
                <w:color w:val="auto"/>
              </w:rPr>
            </w:pPr>
            <w:r>
              <w:rPr>
                <w:rFonts w:ascii="Arial" w:cs="Arial" w:eastAsia="Arial" w:hAnsi="Arial"/>
                <w:sz w:val="15"/>
                <w:szCs w:val="15"/>
                <w:b w:val="1"/>
                <w:bCs w:val="1"/>
                <w:color w:val="auto"/>
              </w:rPr>
              <w:t>Thirteen weeks ended</w:t>
            </w:r>
          </w:p>
        </w:tc>
        <w:tc>
          <w:tcPr>
            <w:tcW w:w="20" w:type="dxa"/>
            <w:vAlign w:val="bottom"/>
          </w:tcPr>
          <w:p>
            <w:pPr>
              <w:spacing w:after="0"/>
              <w:rPr>
                <w:sz w:val="16"/>
                <w:szCs w:val="16"/>
                <w:color w:val="auto"/>
              </w:rPr>
            </w:pPr>
          </w:p>
        </w:tc>
      </w:tr>
      <w:tr>
        <w:trPr>
          <w:trHeight w:val="196"/>
        </w:trPr>
        <w:tc>
          <w:tcPr>
            <w:tcW w:w="27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400" w:type="dxa"/>
            <w:vAlign w:val="bottom"/>
          </w:tcPr>
          <w:p>
            <w:pPr>
              <w:jc w:val="right"/>
              <w:ind w:right="523"/>
              <w:spacing w:after="0"/>
              <w:rPr>
                <w:sz w:val="20"/>
                <w:szCs w:val="20"/>
                <w:color w:val="auto"/>
              </w:rPr>
            </w:pPr>
            <w:r>
              <w:rPr>
                <w:rFonts w:ascii="Arial" w:cs="Arial" w:eastAsia="Arial" w:hAnsi="Arial"/>
                <w:sz w:val="15"/>
                <w:szCs w:val="15"/>
                <w:b w:val="1"/>
                <w:bCs w:val="1"/>
                <w:color w:val="auto"/>
              </w:rPr>
              <w:t>May 5,</w:t>
            </w:r>
          </w:p>
        </w:tc>
        <w:tc>
          <w:tcPr>
            <w:tcW w:w="680" w:type="dxa"/>
            <w:vAlign w:val="bottom"/>
          </w:tcPr>
          <w:p>
            <w:pPr>
              <w:spacing w:after="0"/>
              <w:rPr>
                <w:sz w:val="17"/>
                <w:szCs w:val="17"/>
                <w:color w:val="auto"/>
              </w:rPr>
            </w:pPr>
          </w:p>
        </w:tc>
        <w:tc>
          <w:tcPr>
            <w:tcW w:w="1200" w:type="dxa"/>
            <w:vAlign w:val="bottom"/>
          </w:tcPr>
          <w:p>
            <w:pPr>
              <w:jc w:val="right"/>
              <w:ind w:right="363"/>
              <w:spacing w:after="0"/>
              <w:rPr>
                <w:sz w:val="20"/>
                <w:szCs w:val="20"/>
                <w:color w:val="auto"/>
              </w:rPr>
            </w:pPr>
            <w:r>
              <w:rPr>
                <w:rFonts w:ascii="Arial" w:cs="Arial" w:eastAsia="Arial" w:hAnsi="Arial"/>
                <w:sz w:val="15"/>
                <w:szCs w:val="15"/>
                <w:b w:val="1"/>
                <w:bCs w:val="1"/>
                <w:color w:val="auto"/>
              </w:rPr>
              <w:t>April 29,</w:t>
            </w:r>
          </w:p>
        </w:tc>
        <w:tc>
          <w:tcPr>
            <w:tcW w:w="20" w:type="dxa"/>
            <w:vAlign w:val="bottom"/>
          </w:tcPr>
          <w:p>
            <w:pPr>
              <w:spacing w:after="0"/>
              <w:rPr>
                <w:sz w:val="17"/>
                <w:szCs w:val="17"/>
                <w:color w:val="auto"/>
              </w:rPr>
            </w:pPr>
          </w:p>
        </w:tc>
      </w:tr>
      <w:tr>
        <w:trPr>
          <w:trHeight w:val="197"/>
        </w:trPr>
        <w:tc>
          <w:tcPr>
            <w:tcW w:w="272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03"/>
              <w:spacing w:after="0"/>
              <w:rPr>
                <w:sz w:val="20"/>
                <w:szCs w:val="20"/>
                <w:color w:val="auto"/>
              </w:rPr>
            </w:pPr>
            <w:r>
              <w:rPr>
                <w:rFonts w:ascii="Arial" w:cs="Arial" w:eastAsia="Arial" w:hAnsi="Arial"/>
                <w:sz w:val="15"/>
                <w:szCs w:val="15"/>
                <w:b w:val="1"/>
                <w:bCs w:val="1"/>
                <w:color w:val="auto"/>
              </w:rPr>
              <w:t>2018</w:t>
            </w:r>
          </w:p>
        </w:tc>
        <w:tc>
          <w:tcPr>
            <w:tcW w:w="6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2017</w:t>
            </w:r>
          </w:p>
        </w:tc>
        <w:tc>
          <w:tcPr>
            <w:tcW w:w="20" w:type="dxa"/>
            <w:vAlign w:val="bottom"/>
          </w:tcPr>
          <w:p>
            <w:pPr>
              <w:spacing w:after="0"/>
              <w:rPr>
                <w:sz w:val="17"/>
                <w:szCs w:val="17"/>
                <w:color w:val="auto"/>
              </w:rPr>
            </w:pPr>
          </w:p>
        </w:tc>
      </w:tr>
      <w:tr>
        <w:trPr>
          <w:trHeight w:val="187"/>
        </w:trPr>
        <w:tc>
          <w:tcPr>
            <w:tcW w:w="27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080" w:type="dxa"/>
            <w:vAlign w:val="bottom"/>
            <w:gridSpan w:val="2"/>
          </w:tcPr>
          <w:p>
            <w:pPr>
              <w:jc w:val="right"/>
              <w:ind w:right="83"/>
              <w:spacing w:after="0"/>
              <w:rPr>
                <w:sz w:val="20"/>
                <w:szCs w:val="20"/>
                <w:color w:val="auto"/>
              </w:rPr>
            </w:pPr>
            <w:r>
              <w:rPr>
                <w:rFonts w:ascii="Arial" w:cs="Arial" w:eastAsia="Arial" w:hAnsi="Arial"/>
                <w:sz w:val="15"/>
                <w:szCs w:val="15"/>
                <w:color w:val="auto"/>
              </w:rPr>
              <w:t>($ in millions)</w:t>
            </w: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7"/>
        </w:trPr>
        <w:tc>
          <w:tcPr>
            <w:tcW w:w="2720" w:type="dxa"/>
            <w:vAlign w:val="bottom"/>
            <w:shd w:val="clear" w:color="auto" w:fill="CCEEFF"/>
          </w:tcPr>
          <w:p>
            <w:pPr>
              <w:spacing w:after="0"/>
              <w:rPr>
                <w:sz w:val="20"/>
                <w:szCs w:val="20"/>
                <w:color w:val="auto"/>
              </w:rPr>
            </w:pPr>
            <w:r>
              <w:rPr>
                <w:rFonts w:ascii="Arial" w:cs="Arial" w:eastAsia="Arial" w:hAnsi="Arial"/>
                <w:sz w:val="15"/>
                <w:szCs w:val="15"/>
                <w:color w:val="auto"/>
              </w:rPr>
              <w:t>United States</w:t>
            </w:r>
          </w:p>
        </w:tc>
        <w:tc>
          <w:tcPr>
            <w:tcW w:w="3100" w:type="dxa"/>
            <w:vAlign w:val="bottom"/>
            <w:shd w:val="clear" w:color="auto" w:fill="CCEEFF"/>
          </w:tcPr>
          <w:p>
            <w:pPr>
              <w:jc w:val="right"/>
              <w:ind w:right="263"/>
              <w:spacing w:after="0"/>
              <w:rPr>
                <w:sz w:val="20"/>
                <w:szCs w:val="20"/>
                <w:color w:val="auto"/>
              </w:rPr>
            </w:pPr>
            <w:r>
              <w:rPr>
                <w:rFonts w:ascii="Arial" w:cs="Arial" w:eastAsia="Arial" w:hAnsi="Arial"/>
                <w:sz w:val="15"/>
                <w:szCs w:val="15"/>
                <w:b w:val="1"/>
                <w:bCs w:val="1"/>
                <w:color w:val="auto"/>
              </w:rPr>
              <w:t>$</w:t>
            </w:r>
          </w:p>
        </w:tc>
        <w:tc>
          <w:tcPr>
            <w:tcW w:w="1400" w:type="dxa"/>
            <w:vAlign w:val="bottom"/>
            <w:shd w:val="clear" w:color="auto" w:fill="CCEEFF"/>
          </w:tcPr>
          <w:p>
            <w:pPr>
              <w:jc w:val="right"/>
              <w:ind w:right="223"/>
              <w:spacing w:after="0"/>
              <w:rPr>
                <w:sz w:val="20"/>
                <w:szCs w:val="20"/>
                <w:color w:val="auto"/>
              </w:rPr>
            </w:pPr>
            <w:r>
              <w:rPr>
                <w:rFonts w:ascii="Arial" w:cs="Arial" w:eastAsia="Arial" w:hAnsi="Arial"/>
                <w:sz w:val="15"/>
                <w:szCs w:val="15"/>
                <w:b w:val="1"/>
                <w:bCs w:val="1"/>
                <w:color w:val="auto"/>
              </w:rPr>
              <w:t>1,501</w:t>
            </w:r>
          </w:p>
        </w:tc>
        <w:tc>
          <w:tcPr>
            <w:tcW w:w="6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1,500</w:t>
            </w:r>
          </w:p>
        </w:tc>
        <w:tc>
          <w:tcPr>
            <w:tcW w:w="20" w:type="dxa"/>
            <w:vAlign w:val="bottom"/>
          </w:tcPr>
          <w:p>
            <w:pPr>
              <w:spacing w:after="0"/>
              <w:rPr>
                <w:sz w:val="17"/>
                <w:szCs w:val="17"/>
                <w:color w:val="auto"/>
              </w:rPr>
            </w:pPr>
          </w:p>
        </w:tc>
      </w:tr>
      <w:tr>
        <w:trPr>
          <w:trHeight w:val="207"/>
        </w:trPr>
        <w:tc>
          <w:tcPr>
            <w:tcW w:w="27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International</w:t>
            </w:r>
          </w:p>
        </w:tc>
        <w:tc>
          <w:tcPr>
            <w:tcW w:w="3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b w:val="1"/>
                <w:bCs w:val="1"/>
                <w:color w:val="auto"/>
              </w:rPr>
              <w:t>524</w:t>
            </w:r>
          </w:p>
        </w:tc>
        <w:tc>
          <w:tcPr>
            <w:tcW w:w="6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501</w:t>
            </w:r>
          </w:p>
        </w:tc>
        <w:tc>
          <w:tcPr>
            <w:tcW w:w="20" w:type="dxa"/>
            <w:vAlign w:val="bottom"/>
          </w:tcPr>
          <w:p>
            <w:pPr>
              <w:spacing w:after="0"/>
              <w:rPr>
                <w:sz w:val="17"/>
                <w:szCs w:val="17"/>
                <w:color w:val="auto"/>
              </w:rPr>
            </w:pPr>
          </w:p>
        </w:tc>
      </w:tr>
      <w:tr>
        <w:trPr>
          <w:trHeight w:val="191"/>
        </w:trPr>
        <w:tc>
          <w:tcPr>
            <w:tcW w:w="2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Total sales</w:t>
            </w:r>
          </w:p>
        </w:tc>
        <w:tc>
          <w:tcPr>
            <w:tcW w:w="310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b w:val="1"/>
                <w:bCs w:val="1"/>
                <w:color w:val="auto"/>
              </w:rPr>
              <w:t>$</w:t>
            </w:r>
          </w:p>
        </w:tc>
        <w:tc>
          <w:tcPr>
            <w:tcW w:w="140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b w:val="1"/>
                <w:bCs w:val="1"/>
                <w:color w:val="auto"/>
              </w:rPr>
              <w:t>2,025</w:t>
            </w:r>
          </w:p>
        </w:tc>
        <w:tc>
          <w:tcPr>
            <w:tcW w:w="68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2,001</w:t>
            </w:r>
          </w:p>
        </w:tc>
        <w:tc>
          <w:tcPr>
            <w:tcW w:w="20" w:type="dxa"/>
            <w:vAlign w:val="bottom"/>
          </w:tcPr>
          <w:p>
            <w:pPr>
              <w:spacing w:after="0"/>
              <w:rPr>
                <w:sz w:val="16"/>
                <w:szCs w:val="16"/>
                <w:color w:val="auto"/>
              </w:rPr>
            </w:pPr>
          </w:p>
        </w:tc>
      </w:tr>
      <w:tr>
        <w:trPr>
          <w:trHeight w:val="715"/>
        </w:trPr>
        <w:tc>
          <w:tcPr>
            <w:tcW w:w="2720" w:type="dxa"/>
            <w:vAlign w:val="bottom"/>
          </w:tcPr>
          <w:p>
            <w:pPr>
              <w:spacing w:after="0"/>
              <w:rPr>
                <w:sz w:val="24"/>
                <w:szCs w:val="24"/>
                <w:color w:val="auto"/>
              </w:rPr>
            </w:pPr>
          </w:p>
        </w:tc>
        <w:tc>
          <w:tcPr>
            <w:tcW w:w="3100" w:type="dxa"/>
            <w:vAlign w:val="bottom"/>
          </w:tcPr>
          <w:p>
            <w:pPr>
              <w:jc w:val="right"/>
              <w:ind w:right="1143"/>
              <w:spacing w:after="0"/>
              <w:rPr>
                <w:sz w:val="20"/>
                <w:szCs w:val="20"/>
                <w:color w:val="auto"/>
              </w:rPr>
            </w:pPr>
            <w:r>
              <w:rPr>
                <w:rFonts w:ascii="Arial" w:cs="Arial" w:eastAsia="Arial" w:hAnsi="Arial"/>
                <w:sz w:val="15"/>
                <w:szCs w:val="15"/>
                <w:color w:val="auto"/>
              </w:rPr>
              <w:t>6</w:t>
            </w:r>
          </w:p>
        </w:tc>
        <w:tc>
          <w:tcPr>
            <w:tcW w:w="1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8"/>
        </w:trPr>
        <w:tc>
          <w:tcPr>
            <w:tcW w:w="2720" w:type="dxa"/>
            <w:vAlign w:val="bottom"/>
            <w:tcBorders>
              <w:bottom w:val="single" w:sz="8" w:color="9A9A9A"/>
            </w:tcBorders>
          </w:tcPr>
          <w:p>
            <w:pPr>
              <w:spacing w:after="0"/>
              <w:rPr>
                <w:sz w:val="7"/>
                <w:szCs w:val="7"/>
                <w:color w:val="auto"/>
              </w:rPr>
            </w:pPr>
          </w:p>
        </w:tc>
        <w:tc>
          <w:tcPr>
            <w:tcW w:w="310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r>
        <w:trPr>
          <w:trHeight w:val="20"/>
        </w:trPr>
        <w:tc>
          <w:tcPr>
            <w:tcW w:w="2720" w:type="dxa"/>
            <w:vAlign w:val="bottom"/>
            <w:tcBorders>
              <w:bottom w:val="single" w:sz="8" w:color="EEEEEE"/>
            </w:tcBorders>
          </w:tcPr>
          <w:p>
            <w:pPr>
              <w:spacing w:after="0" w:line="20" w:lineRule="exact"/>
              <w:rPr>
                <w:sz w:val="1"/>
                <w:szCs w:val="1"/>
                <w:color w:val="auto"/>
              </w:rPr>
            </w:pPr>
          </w:p>
        </w:tc>
        <w:tc>
          <w:tcPr>
            <w:tcW w:w="3100" w:type="dxa"/>
            <w:vAlign w:val="bottom"/>
            <w:tcBorders>
              <w:bottom w:val="single" w:sz="8" w:color="EEEEEE"/>
            </w:tcBorders>
          </w:tcPr>
          <w:p>
            <w:pPr>
              <w:spacing w:after="0" w:line="20" w:lineRule="exact"/>
              <w:rPr>
                <w:sz w:val="1"/>
                <w:szCs w:val="1"/>
                <w:color w:val="auto"/>
              </w:rPr>
            </w:pPr>
          </w:p>
        </w:tc>
        <w:tc>
          <w:tcPr>
            <w:tcW w:w="140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12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5775325</wp:posOffset>
            </wp:positionH>
            <wp:positionV relativeFrom="paragraph">
              <wp:posOffset>-34925</wp:posOffset>
            </wp:positionV>
            <wp:extent cx="33020" cy="482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-34925</wp:posOffset>
            </wp:positionV>
            <wp:extent cx="33020" cy="482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9120"/>
          </w:cols>
          <w:pgMar w:left="1400" w:top="116" w:right="137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840" w:type="dxa"/>
            <w:vAlign w:val="bottom"/>
          </w:tcPr>
          <w:p>
            <w:pPr>
              <w:spacing w:after="0"/>
              <w:rPr>
                <w:sz w:val="20"/>
                <w:szCs w:val="20"/>
                <w:color w:val="auto"/>
              </w:rPr>
            </w:pPr>
            <w:r>
              <w:rPr>
                <w:rFonts w:ascii="Arial" w:cs="Arial" w:eastAsia="Arial" w:hAnsi="Arial"/>
                <w:sz w:val="15"/>
                <w:szCs w:val="15"/>
                <w:i w:val="1"/>
                <w:iCs w:val="1"/>
                <w:color w:val="auto"/>
              </w:rPr>
              <w:t>Contract Liabilities</w:t>
            </w:r>
          </w:p>
        </w:tc>
        <w:tc>
          <w:tcPr>
            <w:tcW w:w="13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80"/>
        </w:trPr>
        <w:tc>
          <w:tcPr>
            <w:tcW w:w="6840" w:type="dxa"/>
            <w:vAlign w:val="bottom"/>
          </w:tcPr>
          <w:p>
            <w:pPr>
              <w:spacing w:after="0"/>
              <w:rPr>
                <w:sz w:val="20"/>
                <w:szCs w:val="20"/>
                <w:color w:val="auto"/>
              </w:rPr>
            </w:pPr>
            <w:r>
              <w:rPr>
                <w:rFonts w:ascii="Arial" w:cs="Arial" w:eastAsia="Arial" w:hAnsi="Arial"/>
                <w:sz w:val="15"/>
                <w:szCs w:val="15"/>
                <w:color w:val="auto"/>
              </w:rPr>
              <w:t>The table below presents the activity of our gift card liability balance:</w:t>
            </w:r>
          </w:p>
        </w:tc>
        <w:tc>
          <w:tcPr>
            <w:tcW w:w="13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22"/>
        </w:trPr>
        <w:tc>
          <w:tcPr>
            <w:tcW w:w="68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in millions)</w:t>
            </w:r>
          </w:p>
        </w:tc>
      </w:tr>
      <w:tr>
        <w:trPr>
          <w:trHeight w:val="187"/>
        </w:trPr>
        <w:tc>
          <w:tcPr>
            <w:tcW w:w="6840" w:type="dxa"/>
            <w:vAlign w:val="bottom"/>
          </w:tcPr>
          <w:p>
            <w:pPr>
              <w:spacing w:after="0"/>
              <w:rPr>
                <w:sz w:val="20"/>
                <w:szCs w:val="20"/>
                <w:color w:val="auto"/>
              </w:rPr>
            </w:pPr>
            <w:r>
              <w:rPr>
                <w:rFonts w:ascii="Arial" w:cs="Arial" w:eastAsia="Arial" w:hAnsi="Arial"/>
                <w:sz w:val="15"/>
                <w:szCs w:val="15"/>
                <w:color w:val="auto"/>
              </w:rPr>
              <w:t>Balance at February 4, 2018</w:t>
            </w:r>
          </w:p>
        </w:tc>
        <w:tc>
          <w:tcPr>
            <w:tcW w:w="1340" w:type="dxa"/>
            <w:vAlign w:val="bottom"/>
          </w:tcPr>
          <w:p>
            <w:pPr>
              <w:jc w:val="right"/>
              <w:ind w:right="223"/>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38</w:t>
            </w:r>
          </w:p>
        </w:tc>
      </w:tr>
      <w:tr>
        <w:trPr>
          <w:trHeight w:val="207"/>
        </w:trPr>
        <w:tc>
          <w:tcPr>
            <w:tcW w:w="68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Redemptions</w:t>
            </w:r>
          </w:p>
        </w:tc>
        <w:tc>
          <w:tcPr>
            <w:tcW w:w="13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w:t>
            </w:r>
          </w:p>
        </w:tc>
      </w:tr>
      <w:tr>
        <w:trPr>
          <w:trHeight w:val="207"/>
        </w:trPr>
        <w:tc>
          <w:tcPr>
            <w:tcW w:w="6840" w:type="dxa"/>
            <w:vAlign w:val="bottom"/>
          </w:tcPr>
          <w:p>
            <w:pPr>
              <w:ind w:left="180"/>
              <w:spacing w:after="0"/>
              <w:rPr>
                <w:sz w:val="20"/>
                <w:szCs w:val="20"/>
                <w:color w:val="auto"/>
              </w:rPr>
            </w:pPr>
            <w:r>
              <w:rPr>
                <w:rFonts w:ascii="Arial" w:cs="Arial" w:eastAsia="Arial" w:hAnsi="Arial"/>
                <w:sz w:val="15"/>
                <w:szCs w:val="15"/>
                <w:color w:val="auto"/>
              </w:rPr>
              <w:t>Cumulative catch-up adjustment to retained earnings from the adoption of Topic 606</w:t>
            </w:r>
          </w:p>
        </w:tc>
        <w:tc>
          <w:tcPr>
            <w:tcW w:w="13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207"/>
        </w:trPr>
        <w:tc>
          <w:tcPr>
            <w:tcW w:w="68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Breakage recognized</w:t>
            </w:r>
          </w:p>
        </w:tc>
        <w:tc>
          <w:tcPr>
            <w:tcW w:w="13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r>
      <w:tr>
        <w:trPr>
          <w:trHeight w:val="207"/>
        </w:trPr>
        <w:tc>
          <w:tcPr>
            <w:tcW w:w="684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rPr>
              <w:t>Activations</w:t>
            </w:r>
          </w:p>
        </w:tc>
        <w:tc>
          <w:tcPr>
            <w:tcW w:w="1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w:t>
            </w:r>
          </w:p>
        </w:tc>
      </w:tr>
      <w:tr>
        <w:trPr>
          <w:trHeight w:val="179"/>
        </w:trPr>
        <w:tc>
          <w:tcPr>
            <w:tcW w:w="6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Balance at May 5, 2018</w:t>
            </w:r>
          </w:p>
        </w:tc>
        <w:tc>
          <w:tcPr>
            <w:tcW w:w="1340" w:type="dxa"/>
            <w:vAlign w:val="bottom"/>
            <w:tcBorders>
              <w:bottom w:val="single" w:sz="8" w:color="auto"/>
            </w:tcBorders>
            <w:shd w:val="clear" w:color="auto" w:fill="CCEEFF"/>
          </w:tcPr>
          <w:p>
            <w:pPr>
              <w:jc w:val="right"/>
              <w:ind w:right="223"/>
              <w:spacing w:after="0"/>
              <w:rPr>
                <w:sz w:val="20"/>
                <w:szCs w:val="20"/>
                <w:color w:val="auto"/>
              </w:rPr>
            </w:pPr>
            <w:r>
              <w:rPr>
                <w:rFonts w:ascii="Arial" w:cs="Arial" w:eastAsia="Arial" w:hAnsi="Arial"/>
                <w:sz w:val="15"/>
                <w:szCs w:val="15"/>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28</w:t>
            </w:r>
          </w:p>
        </w:tc>
      </w:tr>
    </w:tbl>
    <w:p>
      <w:pPr>
        <w:spacing w:after="0" w:line="116" w:lineRule="exact"/>
        <w:rPr>
          <w:sz w:val="20"/>
          <w:szCs w:val="20"/>
          <w:color w:val="auto"/>
        </w:rPr>
      </w:pPr>
    </w:p>
    <w:p>
      <w:pPr>
        <w:jc w:val="both"/>
        <w:ind w:right="20"/>
        <w:spacing w:after="0" w:line="254" w:lineRule="auto"/>
        <w:rPr>
          <w:sz w:val="20"/>
          <w:szCs w:val="20"/>
          <w:color w:val="auto"/>
        </w:rPr>
      </w:pPr>
      <w:r>
        <w:rPr>
          <w:rFonts w:ascii="Arial" w:cs="Arial" w:eastAsia="Arial" w:hAnsi="Arial"/>
          <w:sz w:val="15"/>
          <w:szCs w:val="15"/>
          <w:color w:val="auto"/>
        </w:rPr>
        <w:t>Due to the fact that most gift cards are redeemed within 12 months, the Company elected not to disclose information about remaining performance obligations.</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 Segment Information</w:t>
      </w:r>
    </w:p>
    <w:p>
      <w:pPr>
        <w:spacing w:after="0" w:line="101" w:lineRule="exact"/>
        <w:rPr>
          <w:sz w:val="20"/>
          <w:szCs w:val="20"/>
          <w:color w:val="auto"/>
        </w:rPr>
      </w:pPr>
    </w:p>
    <w:p>
      <w:pPr>
        <w:jc w:val="both"/>
        <w:ind w:left="20" w:right="40"/>
        <w:spacing w:after="0" w:line="241" w:lineRule="auto"/>
        <w:rPr>
          <w:sz w:val="20"/>
          <w:szCs w:val="20"/>
          <w:color w:val="auto"/>
        </w:rPr>
      </w:pPr>
      <w:r>
        <w:rPr>
          <w:rFonts w:ascii="Arial" w:cs="Arial" w:eastAsia="Arial" w:hAnsi="Arial"/>
          <w:sz w:val="15"/>
          <w:szCs w:val="15"/>
          <w:color w:val="auto"/>
        </w:rPr>
        <w:t>The Company has integrated all available shopping channels including stores, websites, and catalogs. Store sales are primarily fulfilled from the store’s inventory, but may also be shipped from any of our distribution centers or from a different store location if an item is not available at the original store. Direct-to-customer orders are primarily shipped to our customers through our distribution centers but may also be shipped from any store or a combination of our distribution centers and stores depending on the availability of particular items.</w:t>
      </w:r>
    </w:p>
    <w:p>
      <w:pPr>
        <w:spacing w:after="0" w:line="292" w:lineRule="exact"/>
        <w:rPr>
          <w:sz w:val="20"/>
          <w:szCs w:val="20"/>
          <w:color w:val="auto"/>
        </w:rPr>
      </w:pPr>
    </w:p>
    <w:p>
      <w:pPr>
        <w:jc w:val="both"/>
        <w:ind w:right="20"/>
        <w:spacing w:after="0" w:line="238" w:lineRule="auto"/>
        <w:rPr>
          <w:sz w:val="20"/>
          <w:szCs w:val="20"/>
          <w:color w:val="auto"/>
        </w:rPr>
      </w:pPr>
      <w:r>
        <w:rPr>
          <w:rFonts w:ascii="Arial" w:cs="Arial" w:eastAsia="Arial" w:hAnsi="Arial"/>
          <w:sz w:val="15"/>
          <w:szCs w:val="15"/>
          <w:color w:val="auto"/>
        </w:rPr>
        <w:t>Our operating segments are identified according to how our business activities are managed and evaluated by our chief operating decision maker, our CEO. Prior to fiscal 2018, the Company had two reportable segments: Athletic Stores and Direct-to-Customers. Beginning in fiscal 2018, the Company has changed its organizational and internal reporting structure in order to execute our omni-channel strategy. In light of these changes, the Company has re-evaluated its operating segments, which now reflect the combination of stores and direct-to-customer by geography. The Company has determined that it has two operating segments, North America and International. Our North America operating segment includes the results of the following banners: Foot Locker, Kids Foot Locker, Lady Foot Locker, Champs Sports, Footaction, SIX:02, Foot Locker Canada, including each of their related e-commerce businesses, as well as our Eastbay business that includes internet, catalog, and team services and sales. Our International operating segment includes the results of Foot Locker Europe, Runners Point, Sidestep, Foot Locker Asia Pacific, including each of their related e-commerce businesses. We have further aggregated these operating segments into one reportable segment based upon their shared customer base and similar economic characteristics. Prior-year information has been restated to reflect this change.</w:t>
      </w:r>
    </w:p>
    <w:p>
      <w:pPr>
        <w:spacing w:after="0" w:line="162" w:lineRule="exact"/>
        <w:rPr>
          <w:sz w:val="20"/>
          <w:szCs w:val="20"/>
          <w:color w:val="auto"/>
        </w:rPr>
      </w:pPr>
    </w:p>
    <w:p>
      <w:pPr>
        <w:jc w:val="both"/>
        <w:ind w:right="20"/>
        <w:spacing w:after="0" w:line="245" w:lineRule="auto"/>
        <w:rPr>
          <w:sz w:val="20"/>
          <w:szCs w:val="20"/>
          <w:color w:val="auto"/>
        </w:rPr>
      </w:pPr>
      <w:r>
        <w:rPr>
          <w:rFonts w:ascii="Arial" w:cs="Arial" w:eastAsia="Arial" w:hAnsi="Arial"/>
          <w:sz w:val="15"/>
          <w:szCs w:val="15"/>
          <w:color w:val="auto"/>
        </w:rPr>
        <w:t>The Company evaluates performance based on several factors, of which the primary financial measure is division results. Division profit reflects income before income taxes, pension litigation charge, corporate expense, non-operating income, and net interest income. The following table summarizes our results:</w:t>
      </w:r>
    </w:p>
    <w:p>
      <w:pPr>
        <w:spacing w:after="0" w:line="25" w:lineRule="exact"/>
        <w:rPr>
          <w:sz w:val="20"/>
          <w:szCs w:val="20"/>
          <w:color w:val="auto"/>
        </w:rPr>
      </w:pPr>
    </w:p>
    <w:p>
      <w:pPr>
        <w:ind w:left="6640"/>
        <w:spacing w:after="0"/>
        <w:rPr>
          <w:sz w:val="20"/>
          <w:szCs w:val="20"/>
          <w:color w:val="auto"/>
        </w:rPr>
      </w:pPr>
      <w:r>
        <w:rPr>
          <w:rFonts w:ascii="Arial" w:cs="Arial" w:eastAsia="Arial" w:hAnsi="Arial"/>
          <w:sz w:val="15"/>
          <w:szCs w:val="15"/>
          <w:b w:val="1"/>
          <w:bCs w:val="1"/>
          <w:color w:val="auto"/>
        </w:rPr>
        <w:t>Thirteen weeks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220" w:type="dxa"/>
            <w:vAlign w:val="bottom"/>
            <w:tcBorders>
              <w:top w:val="single" w:sz="8" w:color="auto"/>
            </w:tcBorders>
          </w:tcPr>
          <w:p>
            <w:pPr>
              <w:spacing w:after="0"/>
              <w:rPr>
                <w:sz w:val="17"/>
                <w:szCs w:val="17"/>
                <w:color w:val="auto"/>
              </w:rPr>
            </w:pPr>
          </w:p>
        </w:tc>
        <w:tc>
          <w:tcPr>
            <w:tcW w:w="36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May 5,</w:t>
            </w:r>
          </w:p>
        </w:tc>
        <w:tc>
          <w:tcPr>
            <w:tcW w:w="7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April 29,</w:t>
            </w:r>
          </w:p>
        </w:tc>
        <w:tc>
          <w:tcPr>
            <w:tcW w:w="20" w:type="dxa"/>
            <w:vAlign w:val="bottom"/>
          </w:tcPr>
          <w:p>
            <w:pPr>
              <w:spacing w:after="0"/>
              <w:rPr>
                <w:sz w:val="17"/>
                <w:szCs w:val="17"/>
                <w:color w:val="auto"/>
              </w:rPr>
            </w:pPr>
          </w:p>
        </w:tc>
      </w:tr>
      <w:tr>
        <w:trPr>
          <w:trHeight w:val="194"/>
        </w:trPr>
        <w:tc>
          <w:tcPr>
            <w:tcW w:w="3220" w:type="dxa"/>
            <w:vAlign w:val="bottom"/>
            <w:tcBorders>
              <w:bottom w:val="single" w:sz="8" w:color="auto"/>
            </w:tcBorders>
          </w:tcPr>
          <w:p>
            <w:pPr>
              <w:spacing w:after="0"/>
              <w:rPr>
                <w:sz w:val="16"/>
                <w:szCs w:val="16"/>
                <w:color w:val="auto"/>
              </w:rPr>
            </w:pPr>
          </w:p>
        </w:tc>
        <w:tc>
          <w:tcPr>
            <w:tcW w:w="36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2018</w:t>
            </w:r>
          </w:p>
        </w:tc>
        <w:tc>
          <w:tcPr>
            <w:tcW w:w="7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2017</w:t>
            </w:r>
          </w:p>
        </w:tc>
        <w:tc>
          <w:tcPr>
            <w:tcW w:w="20" w:type="dxa"/>
            <w:vAlign w:val="bottom"/>
          </w:tcPr>
          <w:p>
            <w:pPr>
              <w:spacing w:after="0"/>
              <w:rPr>
                <w:sz w:val="16"/>
                <w:szCs w:val="16"/>
                <w:color w:val="auto"/>
              </w:rPr>
            </w:pPr>
          </w:p>
        </w:tc>
      </w:tr>
      <w:tr>
        <w:trPr>
          <w:trHeight w:val="187"/>
        </w:trPr>
        <w:tc>
          <w:tcPr>
            <w:tcW w:w="32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 in millions)</w:t>
            </w: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7"/>
        </w:trPr>
        <w:tc>
          <w:tcPr>
            <w:tcW w:w="32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Sales</w:t>
            </w:r>
          </w:p>
        </w:tc>
        <w:tc>
          <w:tcPr>
            <w:tcW w:w="3620" w:type="dxa"/>
            <w:vAlign w:val="bottom"/>
            <w:shd w:val="clear" w:color="auto" w:fill="CCEEFF"/>
          </w:tcPr>
          <w:p>
            <w:pPr>
              <w:jc w:val="right"/>
              <w:ind w:right="703"/>
              <w:spacing w:after="0"/>
              <w:rPr>
                <w:sz w:val="20"/>
                <w:szCs w:val="20"/>
                <w:color w:val="auto"/>
              </w:rPr>
            </w:pPr>
            <w:r>
              <w:rPr>
                <w:rFonts w:ascii="Arial" w:cs="Arial" w:eastAsia="Arial" w:hAnsi="Arial"/>
                <w:sz w:val="15"/>
                <w:szCs w:val="15"/>
                <w:b w:val="1"/>
                <w:bCs w:val="1"/>
                <w:color w:val="auto"/>
              </w:rPr>
              <w:t>$</w:t>
            </w:r>
          </w:p>
        </w:tc>
        <w:tc>
          <w:tcPr>
            <w:tcW w:w="70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2,025</w:t>
            </w:r>
          </w:p>
        </w:tc>
        <w:tc>
          <w:tcPr>
            <w:tcW w:w="4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2,001</w:t>
            </w:r>
          </w:p>
        </w:tc>
        <w:tc>
          <w:tcPr>
            <w:tcW w:w="20" w:type="dxa"/>
            <w:vAlign w:val="bottom"/>
          </w:tcPr>
          <w:p>
            <w:pPr>
              <w:spacing w:after="0"/>
              <w:rPr>
                <w:sz w:val="17"/>
                <w:szCs w:val="17"/>
                <w:color w:val="auto"/>
              </w:rPr>
            </w:pPr>
          </w:p>
        </w:tc>
      </w:tr>
      <w:tr>
        <w:trPr>
          <w:trHeight w:val="207"/>
        </w:trPr>
        <w:tc>
          <w:tcPr>
            <w:tcW w:w="32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5"/>
        </w:trPr>
        <w:tc>
          <w:tcPr>
            <w:tcW w:w="32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Operating Results</w:t>
            </w:r>
          </w:p>
        </w:tc>
        <w:tc>
          <w:tcPr>
            <w:tcW w:w="36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07"/>
        </w:trPr>
        <w:tc>
          <w:tcPr>
            <w:tcW w:w="3220" w:type="dxa"/>
            <w:vAlign w:val="bottom"/>
          </w:tcPr>
          <w:p>
            <w:pPr>
              <w:spacing w:after="0"/>
              <w:rPr>
                <w:sz w:val="20"/>
                <w:szCs w:val="20"/>
                <w:color w:val="auto"/>
              </w:rPr>
            </w:pPr>
            <w:r>
              <w:rPr>
                <w:rFonts w:ascii="Arial" w:cs="Arial" w:eastAsia="Arial" w:hAnsi="Arial"/>
                <w:sz w:val="15"/>
                <w:szCs w:val="15"/>
                <w:color w:val="auto"/>
              </w:rPr>
              <w:t>Division profit</w:t>
            </w:r>
          </w:p>
        </w:tc>
        <w:tc>
          <w:tcPr>
            <w:tcW w:w="3620" w:type="dxa"/>
            <w:vAlign w:val="bottom"/>
          </w:tcPr>
          <w:p>
            <w:pPr>
              <w:spacing w:after="0"/>
              <w:rPr>
                <w:sz w:val="17"/>
                <w:szCs w:val="17"/>
                <w:color w:val="auto"/>
              </w:rPr>
            </w:pPr>
          </w:p>
        </w:tc>
        <w:tc>
          <w:tcPr>
            <w:tcW w:w="700" w:type="dxa"/>
            <w:vAlign w:val="bottom"/>
          </w:tcPr>
          <w:p>
            <w:pPr>
              <w:jc w:val="right"/>
              <w:ind w:right="183"/>
              <w:spacing w:after="0"/>
              <w:rPr>
                <w:sz w:val="20"/>
                <w:szCs w:val="20"/>
                <w:color w:val="auto"/>
              </w:rPr>
            </w:pPr>
            <w:r>
              <w:rPr>
                <w:rFonts w:ascii="Arial" w:cs="Arial" w:eastAsia="Arial" w:hAnsi="Arial"/>
                <w:sz w:val="15"/>
                <w:szCs w:val="15"/>
                <w:b w:val="1"/>
                <w:bCs w:val="1"/>
                <w:color w:val="auto"/>
              </w:rPr>
              <w:t>247</w:t>
            </w:r>
          </w:p>
        </w:tc>
        <w:tc>
          <w:tcPr>
            <w:tcW w:w="4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283</w:t>
            </w:r>
          </w:p>
        </w:tc>
        <w:tc>
          <w:tcPr>
            <w:tcW w:w="20" w:type="dxa"/>
            <w:vAlign w:val="bottom"/>
          </w:tcPr>
          <w:p>
            <w:pPr>
              <w:spacing w:after="0"/>
              <w:rPr>
                <w:sz w:val="17"/>
                <w:szCs w:val="17"/>
                <w:color w:val="auto"/>
              </w:rPr>
            </w:pPr>
          </w:p>
        </w:tc>
      </w:tr>
      <w:tr>
        <w:trPr>
          <w:trHeight w:val="219"/>
        </w:trPr>
        <w:tc>
          <w:tcPr>
            <w:tcW w:w="3220" w:type="dxa"/>
            <w:vAlign w:val="bottom"/>
            <w:shd w:val="clear" w:color="auto" w:fill="CCEEFF"/>
          </w:tcPr>
          <w:p>
            <w:pPr>
              <w:spacing w:after="0"/>
              <w:rPr>
                <w:sz w:val="20"/>
                <w:szCs w:val="20"/>
                <w:color w:val="auto"/>
              </w:rPr>
            </w:pPr>
            <w:r>
              <w:rPr>
                <w:rFonts w:ascii="Arial" w:cs="Arial" w:eastAsia="Arial" w:hAnsi="Arial"/>
                <w:sz w:val="15"/>
                <w:szCs w:val="15"/>
                <w:color w:val="auto"/>
              </w:rPr>
              <w:t xml:space="preserve">Less: Pension litigation </w:t>
            </w:r>
            <w:r>
              <w:rPr>
                <w:rFonts w:ascii="Arial" w:cs="Arial" w:eastAsia="Arial" w:hAnsi="Arial"/>
                <w:sz w:val="8"/>
                <w:szCs w:val="8"/>
                <w:color w:val="auto"/>
              </w:rPr>
              <w:t>(1)</w:t>
            </w:r>
          </w:p>
        </w:tc>
        <w:tc>
          <w:tcPr>
            <w:tcW w:w="36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12</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9"/>
                <w:szCs w:val="19"/>
                <w:color w:val="auto"/>
              </w:rPr>
            </w:pPr>
          </w:p>
        </w:tc>
      </w:tr>
      <w:tr>
        <w:trPr>
          <w:trHeight w:val="231"/>
        </w:trPr>
        <w:tc>
          <w:tcPr>
            <w:tcW w:w="32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 xml:space="preserve">Less: Corporate expense </w:t>
            </w:r>
            <w:r>
              <w:rPr>
                <w:rFonts w:ascii="Arial" w:cs="Arial" w:eastAsia="Arial" w:hAnsi="Arial"/>
                <w:sz w:val="8"/>
                <w:szCs w:val="8"/>
                <w:color w:val="auto"/>
              </w:rPr>
              <w:t>(2)</w:t>
            </w:r>
          </w:p>
        </w:tc>
        <w:tc>
          <w:tcPr>
            <w:tcW w:w="36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11</w:t>
            </w: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w:t>
            </w:r>
          </w:p>
        </w:tc>
        <w:tc>
          <w:tcPr>
            <w:tcW w:w="20" w:type="dxa"/>
            <w:vAlign w:val="bottom"/>
          </w:tcPr>
          <w:p>
            <w:pPr>
              <w:spacing w:after="0"/>
              <w:rPr>
                <w:sz w:val="20"/>
                <w:szCs w:val="20"/>
                <w:color w:val="auto"/>
              </w:rPr>
            </w:pPr>
          </w:p>
        </w:tc>
      </w:tr>
      <w:tr>
        <w:trPr>
          <w:trHeight w:val="187"/>
        </w:trPr>
        <w:tc>
          <w:tcPr>
            <w:tcW w:w="3220" w:type="dxa"/>
            <w:vAlign w:val="bottom"/>
            <w:shd w:val="clear" w:color="auto" w:fill="CCEEFF"/>
          </w:tcPr>
          <w:p>
            <w:pPr>
              <w:spacing w:after="0"/>
              <w:rPr>
                <w:sz w:val="20"/>
                <w:szCs w:val="20"/>
                <w:color w:val="auto"/>
              </w:rPr>
            </w:pPr>
            <w:r>
              <w:rPr>
                <w:rFonts w:ascii="Arial" w:cs="Arial" w:eastAsia="Arial" w:hAnsi="Arial"/>
                <w:sz w:val="15"/>
                <w:szCs w:val="15"/>
                <w:color w:val="auto"/>
              </w:rPr>
              <w:t>Income from operations</w:t>
            </w:r>
          </w:p>
        </w:tc>
        <w:tc>
          <w:tcPr>
            <w:tcW w:w="36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224</w:t>
            </w:r>
          </w:p>
        </w:tc>
        <w:tc>
          <w:tcPr>
            <w:tcW w:w="4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268</w:t>
            </w:r>
          </w:p>
        </w:tc>
        <w:tc>
          <w:tcPr>
            <w:tcW w:w="20" w:type="dxa"/>
            <w:vAlign w:val="bottom"/>
          </w:tcPr>
          <w:p>
            <w:pPr>
              <w:spacing w:after="0"/>
              <w:rPr>
                <w:sz w:val="16"/>
                <w:szCs w:val="16"/>
                <w:color w:val="auto"/>
              </w:rPr>
            </w:pPr>
          </w:p>
        </w:tc>
      </w:tr>
      <w:tr>
        <w:trPr>
          <w:trHeight w:val="207"/>
        </w:trPr>
        <w:tc>
          <w:tcPr>
            <w:tcW w:w="3220" w:type="dxa"/>
            <w:vAlign w:val="bottom"/>
          </w:tcPr>
          <w:p>
            <w:pPr>
              <w:spacing w:after="0"/>
              <w:rPr>
                <w:sz w:val="20"/>
                <w:szCs w:val="20"/>
                <w:color w:val="auto"/>
              </w:rPr>
            </w:pPr>
            <w:r>
              <w:rPr>
                <w:rFonts w:ascii="Arial" w:cs="Arial" w:eastAsia="Arial" w:hAnsi="Arial"/>
                <w:sz w:val="15"/>
                <w:szCs w:val="15"/>
                <w:color w:val="auto"/>
              </w:rPr>
              <w:t>Interest income, net</w:t>
            </w:r>
          </w:p>
        </w:tc>
        <w:tc>
          <w:tcPr>
            <w:tcW w:w="3620" w:type="dxa"/>
            <w:vAlign w:val="bottom"/>
          </w:tcPr>
          <w:p>
            <w:pPr>
              <w:spacing w:after="0"/>
              <w:rPr>
                <w:sz w:val="17"/>
                <w:szCs w:val="17"/>
                <w:color w:val="auto"/>
              </w:rPr>
            </w:pPr>
          </w:p>
        </w:tc>
        <w:tc>
          <w:tcPr>
            <w:tcW w:w="700" w:type="dxa"/>
            <w:vAlign w:val="bottom"/>
          </w:tcPr>
          <w:p>
            <w:pPr>
              <w:jc w:val="right"/>
              <w:ind w:right="143"/>
              <w:spacing w:after="0"/>
              <w:rPr>
                <w:sz w:val="20"/>
                <w:szCs w:val="20"/>
                <w:color w:val="auto"/>
              </w:rPr>
            </w:pPr>
            <w:r>
              <w:rPr>
                <w:rFonts w:ascii="Arial" w:cs="Arial" w:eastAsia="Arial" w:hAnsi="Arial"/>
                <w:sz w:val="15"/>
                <w:szCs w:val="15"/>
                <w:b w:val="1"/>
                <w:bCs w:val="1"/>
                <w:color w:val="auto"/>
              </w:rPr>
              <w:t>(2)</w:t>
            </w:r>
          </w:p>
        </w:tc>
        <w:tc>
          <w:tcPr>
            <w:tcW w:w="4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r>
      <w:tr>
        <w:trPr>
          <w:trHeight w:val="207"/>
        </w:trPr>
        <w:tc>
          <w:tcPr>
            <w:tcW w:w="3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 xml:space="preserve">Other income </w:t>
            </w:r>
            <w:r>
              <w:rPr>
                <w:rFonts w:ascii="Arial" w:cs="Arial" w:eastAsia="Arial" w:hAnsi="Arial"/>
                <w:sz w:val="8"/>
                <w:szCs w:val="8"/>
                <w:color w:val="auto"/>
              </w:rPr>
              <w:t>(3)</w:t>
            </w:r>
          </w:p>
        </w:tc>
        <w:tc>
          <w:tcPr>
            <w:tcW w:w="36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3</w:t>
            </w:r>
          </w:p>
        </w:tc>
        <w:tc>
          <w:tcPr>
            <w:tcW w:w="4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17"/>
                <w:szCs w:val="17"/>
                <w:color w:val="auto"/>
              </w:rPr>
            </w:pPr>
          </w:p>
        </w:tc>
      </w:tr>
      <w:tr>
        <w:trPr>
          <w:trHeight w:val="179"/>
        </w:trPr>
        <w:tc>
          <w:tcPr>
            <w:tcW w:w="32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Income before income taxes</w:t>
            </w:r>
          </w:p>
        </w:tc>
        <w:tc>
          <w:tcPr>
            <w:tcW w:w="3620" w:type="dxa"/>
            <w:vAlign w:val="bottom"/>
            <w:tcBorders>
              <w:bottom w:val="single" w:sz="8" w:color="auto"/>
            </w:tcBorders>
          </w:tcPr>
          <w:p>
            <w:pPr>
              <w:jc w:val="right"/>
              <w:ind w:right="703"/>
              <w:spacing w:after="0"/>
              <w:rPr>
                <w:sz w:val="20"/>
                <w:szCs w:val="20"/>
                <w:color w:val="auto"/>
              </w:rPr>
            </w:pPr>
            <w:r>
              <w:rPr>
                <w:rFonts w:ascii="Arial" w:cs="Arial" w:eastAsia="Arial" w:hAnsi="Arial"/>
                <w:sz w:val="15"/>
                <w:szCs w:val="15"/>
                <w:b w:val="1"/>
                <w:bCs w:val="1"/>
                <w:color w:val="auto"/>
              </w:rPr>
              <w:t>$</w:t>
            </w:r>
          </w:p>
        </w:tc>
        <w:tc>
          <w:tcPr>
            <w:tcW w:w="70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229</w:t>
            </w:r>
          </w:p>
        </w:tc>
        <w:tc>
          <w:tcPr>
            <w:tcW w:w="4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269</w:t>
            </w:r>
          </w:p>
        </w:tc>
        <w:tc>
          <w:tcPr>
            <w:tcW w:w="20" w:type="dxa"/>
            <w:vAlign w:val="bottom"/>
          </w:tcPr>
          <w:p>
            <w:pPr>
              <w:spacing w:after="0"/>
              <w:rPr>
                <w:sz w:val="15"/>
                <w:szCs w:val="15"/>
                <w:color w:val="auto"/>
              </w:rPr>
            </w:pPr>
          </w:p>
        </w:tc>
      </w:tr>
      <w:tr>
        <w:trPr>
          <w:trHeight w:val="593"/>
        </w:trPr>
        <w:tc>
          <w:tcPr>
            <w:tcW w:w="3220" w:type="dxa"/>
            <w:vAlign w:val="bottom"/>
          </w:tcPr>
          <w:p>
            <w:pPr>
              <w:spacing w:after="0"/>
              <w:rPr>
                <w:sz w:val="24"/>
                <w:szCs w:val="24"/>
                <w:color w:val="auto"/>
              </w:rPr>
            </w:pPr>
          </w:p>
        </w:tc>
        <w:tc>
          <w:tcPr>
            <w:tcW w:w="3620" w:type="dxa"/>
            <w:vAlign w:val="bottom"/>
          </w:tcPr>
          <w:p>
            <w:pPr>
              <w:jc w:val="right"/>
              <w:ind w:right="2163"/>
              <w:spacing w:after="0"/>
              <w:rPr>
                <w:sz w:val="20"/>
                <w:szCs w:val="20"/>
                <w:color w:val="auto"/>
              </w:rPr>
            </w:pPr>
            <w:r>
              <w:rPr>
                <w:rFonts w:ascii="Arial" w:cs="Arial" w:eastAsia="Arial" w:hAnsi="Arial"/>
                <w:sz w:val="15"/>
                <w:szCs w:val="15"/>
                <w:color w:val="auto"/>
              </w:rPr>
              <w:t>7</w:t>
            </w: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8"/>
        </w:trPr>
        <w:tc>
          <w:tcPr>
            <w:tcW w:w="3220" w:type="dxa"/>
            <w:vAlign w:val="bottom"/>
            <w:tcBorders>
              <w:bottom w:val="single" w:sz="8" w:color="9A9A9A"/>
            </w:tcBorders>
          </w:tcPr>
          <w:p>
            <w:pPr>
              <w:spacing w:after="0"/>
              <w:rPr>
                <w:sz w:val="7"/>
                <w:szCs w:val="7"/>
                <w:color w:val="auto"/>
              </w:rPr>
            </w:pPr>
          </w:p>
        </w:tc>
        <w:tc>
          <w:tcPr>
            <w:tcW w:w="362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r>
        <w:trPr>
          <w:trHeight w:val="20"/>
        </w:trPr>
        <w:tc>
          <w:tcPr>
            <w:tcW w:w="3220" w:type="dxa"/>
            <w:vAlign w:val="bottom"/>
            <w:tcBorders>
              <w:bottom w:val="single" w:sz="8" w:color="EEEEEE"/>
            </w:tcBorders>
          </w:tcPr>
          <w:p>
            <w:pPr>
              <w:spacing w:after="0" w:line="20" w:lineRule="exact"/>
              <w:rPr>
                <w:sz w:val="1"/>
                <w:szCs w:val="1"/>
                <w:color w:val="auto"/>
              </w:rPr>
            </w:pPr>
          </w:p>
        </w:tc>
        <w:tc>
          <w:tcPr>
            <w:tcW w:w="362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5775325</wp:posOffset>
            </wp:positionH>
            <wp:positionV relativeFrom="paragraph">
              <wp:posOffset>-34925</wp:posOffset>
            </wp:positionV>
            <wp:extent cx="33020" cy="482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-34925</wp:posOffset>
            </wp:positionV>
            <wp:extent cx="33020" cy="482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9120"/>
          </w:cols>
          <w:pgMar w:left="1400" w:top="115" w:right="1379" w:bottom="1440" w:gutter="0" w:footer="0" w:header="0"/>
        </w:sectPr>
      </w:pPr>
    </w:p>
    <w:bookmarkStart w:id="9" w:name="page10"/>
    <w:bookmarkEnd w:id="9"/>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246" w:lineRule="exact"/>
        <w:rPr>
          <w:sz w:val="20"/>
          <w:szCs w:val="20"/>
          <w:color w:val="auto"/>
        </w:rPr>
      </w:pPr>
    </w:p>
    <w:p>
      <w:pPr>
        <w:ind w:left="660" w:right="120" w:hanging="375"/>
        <w:spacing w:after="0" w:line="246" w:lineRule="auto"/>
        <w:tabs>
          <w:tab w:leader="none" w:pos="660" w:val="left"/>
        </w:tabs>
        <w:numPr>
          <w:ilvl w:val="1"/>
          <w:numId w:val="3"/>
        </w:numPr>
        <w:rPr>
          <w:rFonts w:ascii="Arial" w:cs="Arial" w:eastAsia="Arial" w:hAnsi="Arial"/>
          <w:sz w:val="11"/>
          <w:szCs w:val="11"/>
          <w:color w:val="auto"/>
        </w:rPr>
      </w:pPr>
      <w:r>
        <w:rPr>
          <w:rFonts w:ascii="Arial" w:cs="Arial" w:eastAsia="Arial" w:hAnsi="Arial"/>
          <w:sz w:val="12"/>
          <w:szCs w:val="12"/>
          <w:color w:val="auto"/>
        </w:rPr>
        <w:t xml:space="preserve">Included in the thirteen weeks ended May 5, 2018 is a pre-tax charge of $12 million relating to a pension litigation matter described further in Note 14, </w:t>
      </w:r>
      <w:r>
        <w:rPr>
          <w:rFonts w:ascii="Arial" w:cs="Arial" w:eastAsia="Arial" w:hAnsi="Arial"/>
          <w:sz w:val="12"/>
          <w:szCs w:val="12"/>
          <w:i w:val="1"/>
          <w:iCs w:val="1"/>
          <w:color w:val="auto"/>
        </w:rPr>
        <w:t>Legal Proceedings</w:t>
      </w:r>
      <w:r>
        <w:rPr>
          <w:rFonts w:ascii="Arial" w:cs="Arial" w:eastAsia="Arial" w:hAnsi="Arial"/>
          <w:sz w:val="12"/>
          <w:szCs w:val="12"/>
          <w:color w:val="auto"/>
        </w:rPr>
        <w:t>.</w:t>
      </w:r>
    </w:p>
    <w:p>
      <w:pPr>
        <w:spacing w:after="0" w:line="57" w:lineRule="exact"/>
        <w:rPr>
          <w:rFonts w:ascii="Arial" w:cs="Arial" w:eastAsia="Arial" w:hAnsi="Arial"/>
          <w:sz w:val="11"/>
          <w:szCs w:val="11"/>
          <w:color w:val="auto"/>
        </w:rPr>
      </w:pPr>
    </w:p>
    <w:p>
      <w:pPr>
        <w:jc w:val="both"/>
        <w:ind w:left="660" w:right="120" w:hanging="375"/>
        <w:spacing w:after="0" w:line="197" w:lineRule="auto"/>
        <w:tabs>
          <w:tab w:leader="none" w:pos="660" w:val="left"/>
        </w:tabs>
        <w:numPr>
          <w:ilvl w:val="1"/>
          <w:numId w:val="3"/>
        </w:numPr>
        <w:rPr>
          <w:rFonts w:ascii="Arial" w:cs="Arial" w:eastAsia="Arial" w:hAnsi="Arial"/>
          <w:sz w:val="21"/>
          <w:szCs w:val="21"/>
          <w:color w:val="auto"/>
          <w:vertAlign w:val="superscript"/>
        </w:rPr>
      </w:pPr>
      <w:r>
        <w:rPr>
          <w:rFonts w:ascii="Arial" w:cs="Arial" w:eastAsia="Arial" w:hAnsi="Arial"/>
          <w:sz w:val="12"/>
          <w:szCs w:val="12"/>
          <w:color w:val="auto"/>
        </w:rPr>
        <w:t>Corporate expense consists of unallocated selling general and administrative expenses as well as depreciation and amortization related to the Company’s corporate headquarters, centrally managed departments, unallocated insurance and benefit programs, certain foreign exchange transaction gains and losses, and other items.</w:t>
      </w:r>
    </w:p>
    <w:p>
      <w:pPr>
        <w:spacing w:after="0" w:line="49" w:lineRule="exact"/>
        <w:rPr>
          <w:rFonts w:ascii="Arial" w:cs="Arial" w:eastAsia="Arial" w:hAnsi="Arial"/>
          <w:sz w:val="21"/>
          <w:szCs w:val="21"/>
          <w:color w:val="auto"/>
          <w:vertAlign w:val="superscript"/>
        </w:rPr>
      </w:pPr>
    </w:p>
    <w:p>
      <w:pPr>
        <w:jc w:val="both"/>
        <w:ind w:left="660" w:right="120" w:hanging="375"/>
        <w:spacing w:after="0" w:line="239" w:lineRule="auto"/>
        <w:tabs>
          <w:tab w:leader="none" w:pos="660" w:val="left"/>
        </w:tabs>
        <w:numPr>
          <w:ilvl w:val="1"/>
          <w:numId w:val="3"/>
        </w:numPr>
        <w:rPr>
          <w:rFonts w:ascii="Arial" w:cs="Arial" w:eastAsia="Arial" w:hAnsi="Arial"/>
          <w:sz w:val="11"/>
          <w:szCs w:val="11"/>
          <w:color w:val="auto"/>
        </w:rPr>
      </w:pPr>
      <w:r>
        <w:rPr>
          <w:rFonts w:ascii="Arial" w:cs="Arial" w:eastAsia="Arial" w:hAnsi="Arial"/>
          <w:sz w:val="12"/>
          <w:szCs w:val="12"/>
          <w:color w:val="auto"/>
        </w:rPr>
        <w:t>Other income includes non-operating items, such as lease termination gains, royalty income, changes in fair value, premiums paid, realized gains and losses associated with foreign currency option contracts, changes in the market value of our available-for-sale security, and net benefit expense related to our pension and postretirement programs excluding the service cost component.</w:t>
      </w:r>
    </w:p>
    <w:p>
      <w:pPr>
        <w:spacing w:after="0" w:line="87" w:lineRule="exact"/>
        <w:rPr>
          <w:rFonts w:ascii="Arial" w:cs="Arial" w:eastAsia="Arial" w:hAnsi="Arial"/>
          <w:sz w:val="11"/>
          <w:szCs w:val="11"/>
          <w:color w:val="auto"/>
        </w:rPr>
      </w:pPr>
    </w:p>
    <w:p>
      <w:pPr>
        <w:ind w:left="180" w:hanging="175"/>
        <w:spacing w:after="0"/>
        <w:tabs>
          <w:tab w:leader="none" w:pos="180"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Litigation and Other Charges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5"/>
          <w:szCs w:val="15"/>
          <w:color w:val="auto"/>
        </w:rPr>
        <w:t xml:space="preserve">As more fully discussed in Note 14, </w:t>
      </w:r>
      <w:r>
        <w:rPr>
          <w:rFonts w:ascii="Arial" w:cs="Arial" w:eastAsia="Arial" w:hAnsi="Arial"/>
          <w:sz w:val="15"/>
          <w:szCs w:val="15"/>
          <w:i w:val="1"/>
          <w:iCs w:val="1"/>
          <w:color w:val="auto"/>
        </w:rPr>
        <w:t>Legal Proceedings,</w:t>
      </w:r>
      <w:r>
        <w:rPr>
          <w:rFonts w:ascii="Arial" w:cs="Arial" w:eastAsia="Arial" w:hAnsi="Arial"/>
          <w:sz w:val="15"/>
          <w:szCs w:val="15"/>
          <w:color w:val="auto"/>
        </w:rPr>
        <w:t xml:space="preserve"> during the first quarter of 2018 the Company recorded a $12 million charge related to the pension litigation. This charge comprised $11 million related to the estimated cost of the reformation and $1 million in professional fees incurred in connection with the plan reformation.</w:t>
      </w:r>
    </w:p>
    <w:p>
      <w:pPr>
        <w:spacing w:after="0" w:line="143"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During the third quarter of the prior year, the Company reorganized its organizational structure by adjusting certain divisional responsibilities between our various businesses. The following is a reconciliation of the accrual recorded in connection with that event for the quarter ended May 5, 2018:</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00" w:type="dxa"/>
            <w:vAlign w:val="bottom"/>
          </w:tcPr>
          <w:p>
            <w:pPr>
              <w:jc w:val="right"/>
              <w:ind w:right="243"/>
              <w:spacing w:after="0"/>
              <w:rPr>
                <w:sz w:val="20"/>
                <w:szCs w:val="20"/>
                <w:color w:val="auto"/>
              </w:rPr>
            </w:pPr>
            <w:r>
              <w:rPr>
                <w:rFonts w:ascii="Arial" w:cs="Arial" w:eastAsia="Arial" w:hAnsi="Arial"/>
                <w:sz w:val="15"/>
                <w:szCs w:val="15"/>
                <w:b w:val="1"/>
                <w:bCs w:val="1"/>
                <w:color w:val="auto"/>
              </w:rPr>
              <w:t>Severance and</w:t>
            </w:r>
          </w:p>
        </w:tc>
        <w:tc>
          <w:tcPr>
            <w:tcW w:w="360" w:type="dxa"/>
            <w:vAlign w:val="bottom"/>
          </w:tcPr>
          <w:p>
            <w:pPr>
              <w:spacing w:after="0"/>
              <w:rPr>
                <w:sz w:val="15"/>
                <w:szCs w:val="15"/>
                <w:color w:val="auto"/>
              </w:rPr>
            </w:pPr>
          </w:p>
        </w:tc>
        <w:tc>
          <w:tcPr>
            <w:tcW w:w="1520" w:type="dxa"/>
            <w:vAlign w:val="bottom"/>
          </w:tcPr>
          <w:p>
            <w:pPr>
              <w:jc w:val="center"/>
              <w:ind w:right="103"/>
              <w:spacing w:after="0"/>
              <w:rPr>
                <w:sz w:val="20"/>
                <w:szCs w:val="20"/>
                <w:color w:val="auto"/>
              </w:rPr>
            </w:pPr>
            <w:r>
              <w:rPr>
                <w:rFonts w:ascii="Arial" w:cs="Arial" w:eastAsia="Arial" w:hAnsi="Arial"/>
                <w:sz w:val="15"/>
                <w:szCs w:val="15"/>
                <w:b w:val="1"/>
                <w:bCs w:val="1"/>
                <w:color w:val="auto"/>
              </w:rPr>
              <w:t>Other Related</w:t>
            </w:r>
          </w:p>
        </w:tc>
        <w:tc>
          <w:tcPr>
            <w:tcW w:w="5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4"/>
        </w:trPr>
        <w:tc>
          <w:tcPr>
            <w:tcW w:w="29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rPr>
              <w:t>Benefit Costs</w:t>
            </w:r>
          </w:p>
        </w:tc>
        <w:tc>
          <w:tcPr>
            <w:tcW w:w="3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03"/>
              <w:spacing w:after="0"/>
              <w:rPr>
                <w:sz w:val="20"/>
                <w:szCs w:val="20"/>
                <w:color w:val="auto"/>
              </w:rPr>
            </w:pPr>
            <w:r>
              <w:rPr>
                <w:rFonts w:ascii="Arial" w:cs="Arial" w:eastAsia="Arial" w:hAnsi="Arial"/>
                <w:sz w:val="15"/>
                <w:szCs w:val="15"/>
                <w:b w:val="1"/>
                <w:bCs w:val="1"/>
                <w:color w:val="auto"/>
              </w:rPr>
              <w:t>Charges</w:t>
            </w:r>
          </w:p>
        </w:tc>
        <w:tc>
          <w:tcPr>
            <w:tcW w:w="5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b w:val="1"/>
                <w:bCs w:val="1"/>
                <w:color w:val="auto"/>
              </w:rPr>
              <w:t>Total</w:t>
            </w:r>
          </w:p>
        </w:tc>
      </w:tr>
      <w:tr>
        <w:trPr>
          <w:trHeight w:val="162"/>
        </w:trPr>
        <w:tc>
          <w:tcPr>
            <w:tcW w:w="2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ind w:left="80"/>
              <w:spacing w:after="0" w:line="163" w:lineRule="exact"/>
              <w:rPr>
                <w:sz w:val="20"/>
                <w:szCs w:val="20"/>
                <w:color w:val="auto"/>
              </w:rPr>
            </w:pPr>
            <w:r>
              <w:rPr>
                <w:rFonts w:ascii="Arial" w:cs="Arial" w:eastAsia="Arial" w:hAnsi="Arial"/>
                <w:sz w:val="15"/>
                <w:szCs w:val="15"/>
                <w:color w:val="auto"/>
              </w:rPr>
              <w:t>($ in millions)</w:t>
            </w: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2"/>
        </w:trPr>
        <w:tc>
          <w:tcPr>
            <w:tcW w:w="2980" w:type="dxa"/>
            <w:vAlign w:val="bottom"/>
            <w:shd w:val="clear" w:color="auto" w:fill="CCEEFF"/>
          </w:tcPr>
          <w:p>
            <w:pPr>
              <w:spacing w:after="0"/>
              <w:rPr>
                <w:sz w:val="20"/>
                <w:szCs w:val="20"/>
                <w:color w:val="auto"/>
              </w:rPr>
            </w:pPr>
            <w:r>
              <w:rPr>
                <w:rFonts w:ascii="Arial" w:cs="Arial" w:eastAsia="Arial" w:hAnsi="Arial"/>
                <w:sz w:val="15"/>
                <w:szCs w:val="15"/>
                <w:color w:val="auto"/>
              </w:rPr>
              <w:t>Balance at February 3, 2018</w:t>
            </w: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5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5</w:t>
            </w:r>
          </w:p>
        </w:tc>
        <w:tc>
          <w:tcPr>
            <w:tcW w:w="3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520" w:type="dxa"/>
            <w:vAlign w:val="bottom"/>
            <w:shd w:val="clear" w:color="auto" w:fill="CCEEFF"/>
          </w:tcPr>
          <w:p>
            <w:pPr>
              <w:jc w:val="center"/>
              <w:ind w:left="943"/>
              <w:spacing w:after="0"/>
              <w:rPr>
                <w:sz w:val="20"/>
                <w:szCs w:val="20"/>
                <w:color w:val="auto"/>
              </w:rPr>
            </w:pPr>
            <w:r>
              <w:rPr>
                <w:rFonts w:ascii="Arial" w:cs="Arial" w:eastAsia="Arial" w:hAnsi="Arial"/>
                <w:sz w:val="15"/>
                <w:szCs w:val="15"/>
                <w:color w:val="auto"/>
              </w:rPr>
              <w:t>2</w:t>
            </w:r>
          </w:p>
        </w:tc>
        <w:tc>
          <w:tcPr>
            <w:tcW w:w="54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r>
      <w:tr>
        <w:trPr>
          <w:trHeight w:val="207"/>
        </w:trPr>
        <w:tc>
          <w:tcPr>
            <w:tcW w:w="2980" w:type="dxa"/>
            <w:vAlign w:val="bottom"/>
          </w:tcPr>
          <w:p>
            <w:pPr>
              <w:ind w:left="100"/>
              <w:spacing w:after="0"/>
              <w:rPr>
                <w:sz w:val="20"/>
                <w:szCs w:val="20"/>
                <w:color w:val="auto"/>
              </w:rPr>
            </w:pPr>
            <w:r>
              <w:rPr>
                <w:rFonts w:ascii="Arial" w:cs="Arial" w:eastAsia="Arial" w:hAnsi="Arial"/>
                <w:sz w:val="15"/>
                <w:szCs w:val="15"/>
                <w:color w:val="auto"/>
              </w:rPr>
              <w:t>Amounts charged to expense</w:t>
            </w:r>
          </w:p>
        </w:tc>
        <w:tc>
          <w:tcPr>
            <w:tcW w:w="1060" w:type="dxa"/>
            <w:vAlign w:val="bottom"/>
          </w:tcPr>
          <w:p>
            <w:pPr>
              <w:spacing w:after="0"/>
              <w:rPr>
                <w:sz w:val="17"/>
                <w:szCs w:val="17"/>
                <w:color w:val="auto"/>
              </w:rPr>
            </w:pPr>
          </w:p>
        </w:tc>
        <w:tc>
          <w:tcPr>
            <w:tcW w:w="1500" w:type="dxa"/>
            <w:vAlign w:val="bottom"/>
          </w:tcPr>
          <w:p>
            <w:pPr>
              <w:jc w:val="right"/>
              <w:ind w:right="103"/>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1520" w:type="dxa"/>
            <w:vAlign w:val="bottom"/>
          </w:tcPr>
          <w:p>
            <w:pPr>
              <w:jc w:val="center"/>
              <w:ind w:left="963"/>
              <w:spacing w:after="0"/>
              <w:rPr>
                <w:sz w:val="20"/>
                <w:szCs w:val="20"/>
                <w:color w:val="auto"/>
              </w:rPr>
            </w:pPr>
            <w:r>
              <w:rPr>
                <w:rFonts w:ascii="Arial" w:cs="Arial" w:eastAsia="Arial" w:hAnsi="Arial"/>
                <w:sz w:val="15"/>
                <w:szCs w:val="15"/>
                <w:color w:val="auto"/>
              </w:rPr>
              <w:t>—</w:t>
            </w:r>
          </w:p>
        </w:tc>
        <w:tc>
          <w:tcPr>
            <w:tcW w:w="5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2"/>
        </w:trPr>
        <w:tc>
          <w:tcPr>
            <w:tcW w:w="29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5"/>
                <w:szCs w:val="15"/>
                <w:color w:val="auto"/>
              </w:rPr>
              <w:t>Cash payments</w:t>
            </w:r>
          </w:p>
        </w:tc>
        <w:tc>
          <w:tcPr>
            <w:tcW w:w="106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(2)</w:t>
            </w:r>
          </w:p>
        </w:tc>
        <w:tc>
          <w:tcPr>
            <w:tcW w:w="36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center"/>
              <w:ind w:left="963"/>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w:t>
            </w:r>
          </w:p>
        </w:tc>
      </w:tr>
      <w:tr>
        <w:trPr>
          <w:trHeight w:val="179"/>
        </w:trPr>
        <w:tc>
          <w:tcPr>
            <w:tcW w:w="29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Balance at May 5, 2018</w:t>
            </w:r>
          </w:p>
        </w:tc>
        <w:tc>
          <w:tcPr>
            <w:tcW w:w="10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w:t>
            </w:r>
          </w:p>
        </w:tc>
        <w:tc>
          <w:tcPr>
            <w:tcW w:w="15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3</w:t>
            </w:r>
          </w:p>
        </w:tc>
        <w:tc>
          <w:tcPr>
            <w:tcW w:w="3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w:t>
            </w:r>
          </w:p>
        </w:tc>
        <w:tc>
          <w:tcPr>
            <w:tcW w:w="1520" w:type="dxa"/>
            <w:vAlign w:val="bottom"/>
            <w:tcBorders>
              <w:bottom w:val="single" w:sz="8" w:color="auto"/>
            </w:tcBorders>
          </w:tcPr>
          <w:p>
            <w:pPr>
              <w:jc w:val="center"/>
              <w:ind w:left="943"/>
              <w:spacing w:after="0"/>
              <w:rPr>
                <w:sz w:val="20"/>
                <w:szCs w:val="20"/>
                <w:color w:val="auto"/>
              </w:rPr>
            </w:pPr>
            <w:r>
              <w:rPr>
                <w:rFonts w:ascii="Arial" w:cs="Arial" w:eastAsia="Arial" w:hAnsi="Arial"/>
                <w:sz w:val="15"/>
                <w:szCs w:val="15"/>
                <w:b w:val="1"/>
                <w:bCs w:val="1"/>
                <w:color w:val="auto"/>
              </w:rPr>
              <w:t>2</w:t>
            </w:r>
          </w:p>
        </w:tc>
        <w:tc>
          <w:tcPr>
            <w:tcW w:w="54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5. Restricted Cash</w:t>
      </w:r>
    </w:p>
    <w:p>
      <w:pPr>
        <w:spacing w:after="0" w:line="16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following table provides a reconciliation of cash and cash equivalents, as reported on our condensed consolidated balance sheets, to cash, cash equivalents, and restricted cash, as reported on our condensed consolidated statements of cash flows.</w:t>
      </w:r>
    </w:p>
    <w:tbl>
      <w:tblPr>
        <w:tblLayout w:type="fixed"/>
        <w:tblInd w:w="0" w:type="dxa"/>
        <w:tblCellMar>
          <w:top w:w="0" w:type="dxa"/>
          <w:left w:w="0" w:type="dxa"/>
          <w:bottom w:w="0" w:type="dxa"/>
          <w:right w:w="0" w:type="dxa"/>
        </w:tblCellMar>
      </w:tblPr>
      <w:tr>
        <w:trPr>
          <w:trHeight w:val="165"/>
        </w:trPr>
        <w:tc>
          <w:tcPr>
            <w:tcW w:w="4180" w:type="dxa"/>
            <w:vAlign w:val="bottom"/>
          </w:tcPr>
          <w:p>
            <w:pPr>
              <w:spacing w:after="0"/>
              <w:rPr>
                <w:sz w:val="14"/>
                <w:szCs w:val="14"/>
                <w:color w:val="auto"/>
              </w:rPr>
            </w:pPr>
          </w:p>
        </w:tc>
        <w:tc>
          <w:tcPr>
            <w:tcW w:w="1360" w:type="dxa"/>
            <w:vAlign w:val="bottom"/>
          </w:tcPr>
          <w:p>
            <w:pPr>
              <w:jc w:val="right"/>
              <w:spacing w:after="0" w:line="165" w:lineRule="exact"/>
              <w:rPr>
                <w:sz w:val="20"/>
                <w:szCs w:val="20"/>
                <w:color w:val="auto"/>
              </w:rPr>
            </w:pPr>
            <w:r>
              <w:rPr>
                <w:rFonts w:ascii="Arial" w:cs="Arial" w:eastAsia="Arial" w:hAnsi="Arial"/>
                <w:sz w:val="15"/>
                <w:szCs w:val="15"/>
                <w:b w:val="1"/>
                <w:bCs w:val="1"/>
                <w:color w:val="auto"/>
              </w:rPr>
              <w:t>May 5,</w:t>
            </w: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center"/>
              <w:ind w:right="403"/>
              <w:spacing w:after="0" w:line="165" w:lineRule="exact"/>
              <w:rPr>
                <w:sz w:val="20"/>
                <w:szCs w:val="20"/>
                <w:color w:val="auto"/>
              </w:rPr>
            </w:pPr>
            <w:r>
              <w:rPr>
                <w:rFonts w:ascii="Arial" w:cs="Arial" w:eastAsia="Arial" w:hAnsi="Arial"/>
                <w:sz w:val="15"/>
                <w:szCs w:val="15"/>
                <w:b w:val="1"/>
                <w:bCs w:val="1"/>
                <w:color w:val="auto"/>
              </w:rPr>
              <w:t>April 29,</w:t>
            </w:r>
          </w:p>
        </w:tc>
        <w:tc>
          <w:tcPr>
            <w:tcW w:w="320" w:type="dxa"/>
            <w:vAlign w:val="bottom"/>
          </w:tcPr>
          <w:p>
            <w:pPr>
              <w:spacing w:after="0"/>
              <w:rPr>
                <w:sz w:val="14"/>
                <w:szCs w:val="14"/>
                <w:color w:val="auto"/>
              </w:rPr>
            </w:pPr>
          </w:p>
        </w:tc>
        <w:tc>
          <w:tcPr>
            <w:tcW w:w="1080" w:type="dxa"/>
            <w:vAlign w:val="bottom"/>
          </w:tcPr>
          <w:p>
            <w:pPr>
              <w:jc w:val="right"/>
              <w:ind w:right="163"/>
              <w:spacing w:after="0" w:line="165" w:lineRule="exact"/>
              <w:rPr>
                <w:sz w:val="20"/>
                <w:szCs w:val="20"/>
                <w:color w:val="auto"/>
              </w:rPr>
            </w:pPr>
            <w:r>
              <w:rPr>
                <w:rFonts w:ascii="Arial" w:cs="Arial" w:eastAsia="Arial" w:hAnsi="Arial"/>
                <w:sz w:val="15"/>
                <w:szCs w:val="15"/>
                <w:b w:val="1"/>
                <w:bCs w:val="1"/>
                <w:color w:val="auto"/>
              </w:rPr>
              <w:t>February 3,</w:t>
            </w:r>
          </w:p>
        </w:tc>
      </w:tr>
      <w:tr>
        <w:trPr>
          <w:trHeight w:val="205"/>
        </w:trPr>
        <w:tc>
          <w:tcPr>
            <w:tcW w:w="4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2018</w:t>
            </w:r>
          </w:p>
        </w:tc>
        <w:tc>
          <w:tcPr>
            <w:tcW w:w="6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403"/>
              <w:spacing w:after="0"/>
              <w:rPr>
                <w:sz w:val="20"/>
                <w:szCs w:val="20"/>
                <w:color w:val="auto"/>
              </w:rPr>
            </w:pPr>
            <w:r>
              <w:rPr>
                <w:rFonts w:ascii="Arial" w:cs="Arial" w:eastAsia="Arial" w:hAnsi="Arial"/>
                <w:sz w:val="15"/>
                <w:szCs w:val="15"/>
                <w:b w:val="1"/>
                <w:bCs w:val="1"/>
                <w:color w:val="auto"/>
              </w:rPr>
              <w:t>2017</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2018</w:t>
            </w:r>
          </w:p>
        </w:tc>
      </w:tr>
      <w:tr>
        <w:trPr>
          <w:trHeight w:val="187"/>
        </w:trPr>
        <w:tc>
          <w:tcPr>
            <w:tcW w:w="4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43"/>
              <w:spacing w:after="0"/>
              <w:rPr>
                <w:sz w:val="20"/>
                <w:szCs w:val="20"/>
                <w:color w:val="auto"/>
              </w:rPr>
            </w:pPr>
            <w:r>
              <w:rPr>
                <w:rFonts w:ascii="Arial" w:cs="Arial" w:eastAsia="Arial" w:hAnsi="Arial"/>
                <w:sz w:val="15"/>
                <w:szCs w:val="15"/>
                <w:color w:val="auto"/>
              </w:rPr>
              <w:t>($ in millions)</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88"/>
        </w:trPr>
        <w:tc>
          <w:tcPr>
            <w:tcW w:w="418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w:t>
            </w:r>
          </w:p>
        </w:tc>
        <w:tc>
          <w:tcPr>
            <w:tcW w:w="1360" w:type="dxa"/>
            <w:vAlign w:val="bottom"/>
            <w:shd w:val="clear" w:color="auto" w:fill="CCEEFF"/>
          </w:tcPr>
          <w:p>
            <w:pPr>
              <w:jc w:val="right"/>
              <w:ind w:right="583"/>
              <w:spacing w:after="0"/>
              <w:rPr>
                <w:sz w:val="20"/>
                <w:szCs w:val="20"/>
                <w:color w:val="auto"/>
              </w:rPr>
            </w:pPr>
            <w:r>
              <w:rPr>
                <w:rFonts w:ascii="Arial" w:cs="Arial" w:eastAsia="Arial" w:hAnsi="Arial"/>
                <w:sz w:val="15"/>
                <w:szCs w:val="15"/>
                <w:b w:val="1"/>
                <w:bCs w:val="1"/>
                <w:color w:val="auto"/>
              </w:rPr>
              <w:t>$</w:t>
            </w:r>
          </w:p>
        </w:tc>
        <w:tc>
          <w:tcPr>
            <w:tcW w:w="60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w w:val="95"/>
              </w:rPr>
              <w:t>1,029</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1,049</w:t>
            </w: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849</w:t>
            </w:r>
          </w:p>
        </w:tc>
      </w:tr>
      <w:tr>
        <w:trPr>
          <w:trHeight w:val="207"/>
        </w:trPr>
        <w:tc>
          <w:tcPr>
            <w:tcW w:w="4180" w:type="dxa"/>
            <w:vAlign w:val="bottom"/>
          </w:tcPr>
          <w:p>
            <w:pPr>
              <w:spacing w:after="0"/>
              <w:rPr>
                <w:sz w:val="20"/>
                <w:szCs w:val="20"/>
                <w:color w:val="auto"/>
              </w:rPr>
            </w:pPr>
            <w:r>
              <w:rPr>
                <w:rFonts w:ascii="Arial" w:cs="Arial" w:eastAsia="Arial" w:hAnsi="Arial"/>
                <w:sz w:val="15"/>
                <w:szCs w:val="15"/>
                <w:color w:val="auto"/>
              </w:rPr>
              <w:t>Restricted cash included in other current assets</w:t>
            </w:r>
          </w:p>
        </w:tc>
        <w:tc>
          <w:tcPr>
            <w:tcW w:w="1360" w:type="dxa"/>
            <w:vAlign w:val="bottom"/>
          </w:tcPr>
          <w:p>
            <w:pPr>
              <w:spacing w:after="0"/>
              <w:rPr>
                <w:sz w:val="17"/>
                <w:szCs w:val="17"/>
                <w:color w:val="auto"/>
              </w:rPr>
            </w:pPr>
          </w:p>
        </w:tc>
        <w:tc>
          <w:tcPr>
            <w:tcW w:w="600" w:type="dxa"/>
            <w:vAlign w:val="bottom"/>
          </w:tcPr>
          <w:p>
            <w:pPr>
              <w:jc w:val="right"/>
              <w:ind w:right="143"/>
              <w:spacing w:after="0"/>
              <w:rPr>
                <w:sz w:val="20"/>
                <w:szCs w:val="20"/>
                <w:color w:val="auto"/>
              </w:rPr>
            </w:pPr>
            <w:r>
              <w:rPr>
                <w:rFonts w:ascii="Arial" w:cs="Arial" w:eastAsia="Arial" w:hAnsi="Arial"/>
                <w:sz w:val="15"/>
                <w:szCs w:val="15"/>
                <w:b w:val="1"/>
                <w:bCs w:val="1"/>
                <w:color w:val="auto"/>
              </w:rPr>
              <w:t>1</w:t>
            </w:r>
          </w:p>
        </w:tc>
        <w:tc>
          <w:tcPr>
            <w:tcW w:w="340" w:type="dxa"/>
            <w:vAlign w:val="bottom"/>
          </w:tcPr>
          <w:p>
            <w:pPr>
              <w:spacing w:after="0"/>
              <w:rPr>
                <w:sz w:val="17"/>
                <w:szCs w:val="17"/>
                <w:color w:val="auto"/>
              </w:rPr>
            </w:pPr>
          </w:p>
        </w:tc>
        <w:tc>
          <w:tcPr>
            <w:tcW w:w="1220" w:type="dxa"/>
            <w:vAlign w:val="bottom"/>
          </w:tcPr>
          <w:p>
            <w:pPr>
              <w:jc w:val="right"/>
              <w:ind w:right="143"/>
              <w:spacing w:after="0"/>
              <w:rPr>
                <w:sz w:val="20"/>
                <w:szCs w:val="20"/>
                <w:color w:val="auto"/>
              </w:rPr>
            </w:pPr>
            <w:r>
              <w:rPr>
                <w:rFonts w:ascii="Arial" w:cs="Arial" w:eastAsia="Arial" w:hAnsi="Arial"/>
                <w:sz w:val="15"/>
                <w:szCs w:val="15"/>
                <w:color w:val="auto"/>
              </w:rPr>
              <w:t>1</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07"/>
        </w:trPr>
        <w:tc>
          <w:tcPr>
            <w:tcW w:w="4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Restricted cash included in other non-current assets</w:t>
            </w:r>
          </w:p>
        </w:tc>
        <w:tc>
          <w:tcPr>
            <w:tcW w:w="13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181</w:t>
            </w:r>
          </w:p>
        </w:tc>
        <w:tc>
          <w:tcPr>
            <w:tcW w:w="3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27</w:t>
            </w:r>
          </w:p>
        </w:tc>
        <w:tc>
          <w:tcPr>
            <w:tcW w:w="3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181</w:t>
            </w:r>
          </w:p>
        </w:tc>
      </w:tr>
      <w:tr>
        <w:trPr>
          <w:trHeight w:val="179"/>
        </w:trPr>
        <w:tc>
          <w:tcPr>
            <w:tcW w:w="41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Cash, cash equivalents, and restricted cash</w:t>
            </w:r>
          </w:p>
        </w:tc>
        <w:tc>
          <w:tcPr>
            <w:tcW w:w="1360" w:type="dxa"/>
            <w:vAlign w:val="bottom"/>
            <w:tcBorders>
              <w:bottom w:val="single" w:sz="8" w:color="auto"/>
            </w:tcBorders>
          </w:tcPr>
          <w:p>
            <w:pPr>
              <w:jc w:val="right"/>
              <w:ind w:right="583"/>
              <w:spacing w:after="0"/>
              <w:rPr>
                <w:sz w:val="20"/>
                <w:szCs w:val="20"/>
                <w:color w:val="auto"/>
              </w:rPr>
            </w:pPr>
            <w:r>
              <w:rPr>
                <w:rFonts w:ascii="Arial" w:cs="Arial" w:eastAsia="Arial" w:hAnsi="Arial"/>
                <w:sz w:val="15"/>
                <w:szCs w:val="15"/>
                <w:b w:val="1"/>
                <w:bCs w:val="1"/>
                <w:color w:val="auto"/>
              </w:rPr>
              <w:t>$</w:t>
            </w:r>
          </w:p>
        </w:tc>
        <w:tc>
          <w:tcPr>
            <w:tcW w:w="6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w w:val="95"/>
              </w:rPr>
              <w:t>1,211</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1,077</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1,031</w:t>
            </w:r>
          </w:p>
        </w:tc>
      </w:tr>
    </w:tbl>
    <w:p>
      <w:pPr>
        <w:spacing w:after="0" w:line="165"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Amounts included in restricted cash primarily relate to funds deposited to a qualified settlement fund in connection with the pension litigation and amounts held in escrow in connection with various leasing arrangements in Europe. In addition, restricted cash reflects deposits held in insurance trusts in order to satisfy the requirement to collateralize part of the self-insured workers’ compensation and liability claims.</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6. Goodwill</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Annually during the first quarter, or more frequently if impairment indicators arise, the Company reviews goodwill and intangible assets with indefinite lives for impairment.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6" w:right="139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192" w:lineRule="exact"/>
        <w:rPr>
          <w:sz w:val="20"/>
          <w:szCs w:val="20"/>
          <w:color w:val="auto"/>
        </w:rPr>
      </w:pPr>
    </w:p>
    <w:p>
      <w:pPr>
        <w:jc w:val="both"/>
        <w:ind w:right="20"/>
        <w:spacing w:after="0"/>
        <w:rPr>
          <w:sz w:val="20"/>
          <w:szCs w:val="20"/>
          <w:color w:val="auto"/>
        </w:rPr>
      </w:pPr>
      <w:r>
        <w:rPr>
          <w:rFonts w:ascii="Arial" w:cs="Arial" w:eastAsia="Arial" w:hAnsi="Arial"/>
          <w:sz w:val="15"/>
          <w:szCs w:val="15"/>
          <w:color w:val="auto"/>
        </w:rPr>
        <w:t>As a result of the first quarter change in our organizational and internal reporting structure, we have determined that we have one reportable segment. We have reassessed our reporting units in light of this change and have deemed the collective omni-channel banners in North America and International to be the two reporting units at which goodwill is tested. Therefore, goodwill was re-allocated to these reporting units based on their relative fair values. As required, we conducted our annual impairment review both before and after this change. Neither review resulted in the recognition of impairment, as the fair value of each reporting unit exceeded its carrying value.</w:t>
      </w:r>
    </w:p>
    <w:p>
      <w:pPr>
        <w:spacing w:after="0" w:line="3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7. Other Intangible Assets, net</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The components of finite-lived intangible assets and intangible assets not subject to amortization are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7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May 5, 2018</w:t>
            </w: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rPr>
              <w:t>April 29, 2017</w:t>
            </w:r>
          </w:p>
        </w:tc>
        <w:tc>
          <w:tcPr>
            <w:tcW w:w="5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jc w:val="right"/>
              <w:ind w:right="343"/>
              <w:spacing w:after="0"/>
              <w:rPr>
                <w:sz w:val="20"/>
                <w:szCs w:val="20"/>
                <w:color w:val="auto"/>
              </w:rPr>
            </w:pPr>
            <w:r>
              <w:rPr>
                <w:rFonts w:ascii="Arial" w:cs="Arial" w:eastAsia="Arial" w:hAnsi="Arial"/>
                <w:sz w:val="15"/>
                <w:szCs w:val="15"/>
                <w:b w:val="1"/>
                <w:bCs w:val="1"/>
                <w:color w:val="auto"/>
              </w:rPr>
              <w:t>February 3, 2018</w:t>
            </w:r>
          </w:p>
        </w:tc>
        <w:tc>
          <w:tcPr>
            <w:tcW w:w="0" w:type="dxa"/>
            <w:vAlign w:val="bottom"/>
          </w:tcPr>
          <w:p>
            <w:pPr>
              <w:spacing w:after="0"/>
              <w:rPr>
                <w:sz w:val="1"/>
                <w:szCs w:val="1"/>
                <w:color w:val="auto"/>
              </w:rPr>
            </w:pPr>
          </w:p>
        </w:tc>
      </w:tr>
      <w:tr>
        <w:trPr>
          <w:trHeight w:val="151"/>
        </w:trPr>
        <w:tc>
          <w:tcPr>
            <w:tcW w:w="2780" w:type="dxa"/>
            <w:vAlign w:val="bottom"/>
          </w:tcPr>
          <w:p>
            <w:pPr>
              <w:spacing w:after="0"/>
              <w:rPr>
                <w:sz w:val="13"/>
                <w:szCs w:val="13"/>
                <w:color w:val="auto"/>
              </w:rPr>
            </w:pPr>
          </w:p>
        </w:tc>
        <w:tc>
          <w:tcPr>
            <w:tcW w:w="620" w:type="dxa"/>
            <w:vAlign w:val="bottom"/>
            <w:gridSpan w:val="2"/>
          </w:tcPr>
          <w:p>
            <w:pPr>
              <w:ind w:left="120"/>
              <w:spacing w:after="0" w:line="151" w:lineRule="exact"/>
              <w:rPr>
                <w:sz w:val="20"/>
                <w:szCs w:val="20"/>
                <w:color w:val="auto"/>
              </w:rPr>
            </w:pPr>
            <w:r>
              <w:rPr>
                <w:rFonts w:ascii="Arial" w:cs="Arial" w:eastAsia="Arial" w:hAnsi="Arial"/>
                <w:sz w:val="15"/>
                <w:szCs w:val="15"/>
                <w:b w:val="1"/>
                <w:bCs w:val="1"/>
                <w:color w:val="auto"/>
              </w:rPr>
              <w:t>Gross</w:t>
            </w:r>
          </w:p>
        </w:tc>
        <w:tc>
          <w:tcPr>
            <w:tcW w:w="880" w:type="dxa"/>
            <w:vAlign w:val="bottom"/>
            <w:gridSpan w:val="2"/>
          </w:tcPr>
          <w:p>
            <w:pPr>
              <w:ind w:left="160"/>
              <w:spacing w:after="0" w:line="151" w:lineRule="exact"/>
              <w:rPr>
                <w:sz w:val="20"/>
                <w:szCs w:val="20"/>
                <w:color w:val="auto"/>
              </w:rPr>
            </w:pPr>
            <w:r>
              <w:rPr>
                <w:rFonts w:ascii="Arial" w:cs="Arial" w:eastAsia="Arial" w:hAnsi="Arial"/>
                <w:sz w:val="15"/>
                <w:szCs w:val="15"/>
                <w:b w:val="1"/>
                <w:bCs w:val="1"/>
                <w:color w:val="auto"/>
              </w:rPr>
              <w:t>Accum.</w:t>
            </w:r>
          </w:p>
        </w:tc>
        <w:tc>
          <w:tcPr>
            <w:tcW w:w="120" w:type="dxa"/>
            <w:vAlign w:val="bottom"/>
          </w:tcPr>
          <w:p>
            <w:pPr>
              <w:spacing w:after="0"/>
              <w:rPr>
                <w:sz w:val="13"/>
                <w:szCs w:val="13"/>
                <w:color w:val="auto"/>
              </w:rPr>
            </w:pPr>
          </w:p>
        </w:tc>
        <w:tc>
          <w:tcPr>
            <w:tcW w:w="480" w:type="dxa"/>
            <w:vAlign w:val="bottom"/>
          </w:tcPr>
          <w:p>
            <w:pPr>
              <w:jc w:val="right"/>
              <w:ind w:right="143"/>
              <w:spacing w:after="0" w:line="151" w:lineRule="exact"/>
              <w:rPr>
                <w:sz w:val="20"/>
                <w:szCs w:val="20"/>
                <w:color w:val="auto"/>
              </w:rPr>
            </w:pPr>
            <w:r>
              <w:rPr>
                <w:rFonts w:ascii="Arial" w:cs="Arial" w:eastAsia="Arial" w:hAnsi="Arial"/>
                <w:sz w:val="15"/>
                <w:szCs w:val="15"/>
                <w:b w:val="1"/>
                <w:bCs w:val="1"/>
                <w:color w:val="auto"/>
                <w:w w:val="99"/>
              </w:rPr>
              <w:t>Net</w:t>
            </w:r>
          </w:p>
        </w:tc>
        <w:tc>
          <w:tcPr>
            <w:tcW w:w="680" w:type="dxa"/>
            <w:vAlign w:val="bottom"/>
            <w:gridSpan w:val="2"/>
          </w:tcPr>
          <w:p>
            <w:pPr>
              <w:jc w:val="right"/>
              <w:ind w:right="43"/>
              <w:spacing w:after="0" w:line="151" w:lineRule="exact"/>
              <w:rPr>
                <w:sz w:val="20"/>
                <w:szCs w:val="20"/>
                <w:color w:val="auto"/>
              </w:rPr>
            </w:pPr>
            <w:r>
              <w:rPr>
                <w:rFonts w:ascii="Arial" w:cs="Arial" w:eastAsia="Arial" w:hAnsi="Arial"/>
                <w:sz w:val="15"/>
                <w:szCs w:val="15"/>
                <w:b w:val="1"/>
                <w:bCs w:val="1"/>
                <w:color w:val="auto"/>
              </w:rPr>
              <w:t>Gross</w:t>
            </w:r>
          </w:p>
        </w:tc>
        <w:tc>
          <w:tcPr>
            <w:tcW w:w="760" w:type="dxa"/>
            <w:vAlign w:val="bottom"/>
            <w:gridSpan w:val="2"/>
          </w:tcPr>
          <w:p>
            <w:pPr>
              <w:ind w:left="80"/>
              <w:spacing w:after="0" w:line="151" w:lineRule="exact"/>
              <w:rPr>
                <w:sz w:val="20"/>
                <w:szCs w:val="20"/>
                <w:color w:val="auto"/>
              </w:rPr>
            </w:pPr>
            <w:r>
              <w:rPr>
                <w:rFonts w:ascii="Arial" w:cs="Arial" w:eastAsia="Arial" w:hAnsi="Arial"/>
                <w:sz w:val="15"/>
                <w:szCs w:val="15"/>
                <w:b w:val="1"/>
                <w:bCs w:val="1"/>
                <w:color w:val="auto"/>
              </w:rPr>
              <w:t>Accum.</w:t>
            </w:r>
          </w:p>
        </w:tc>
        <w:tc>
          <w:tcPr>
            <w:tcW w:w="180" w:type="dxa"/>
            <w:vAlign w:val="bottom"/>
          </w:tcPr>
          <w:p>
            <w:pPr>
              <w:spacing w:after="0"/>
              <w:rPr>
                <w:sz w:val="13"/>
                <w:szCs w:val="13"/>
                <w:color w:val="auto"/>
              </w:rPr>
            </w:pPr>
          </w:p>
        </w:tc>
        <w:tc>
          <w:tcPr>
            <w:tcW w:w="500" w:type="dxa"/>
            <w:vAlign w:val="bottom"/>
          </w:tcPr>
          <w:p>
            <w:pPr>
              <w:jc w:val="right"/>
              <w:ind w:right="163"/>
              <w:spacing w:after="0" w:line="151" w:lineRule="exact"/>
              <w:rPr>
                <w:sz w:val="20"/>
                <w:szCs w:val="20"/>
                <w:color w:val="auto"/>
              </w:rPr>
            </w:pPr>
            <w:r>
              <w:rPr>
                <w:rFonts w:ascii="Arial" w:cs="Arial" w:eastAsia="Arial" w:hAnsi="Arial"/>
                <w:sz w:val="15"/>
                <w:szCs w:val="15"/>
                <w:b w:val="1"/>
                <w:bCs w:val="1"/>
                <w:color w:val="auto"/>
                <w:w w:val="99"/>
              </w:rPr>
              <w:t>Net</w:t>
            </w:r>
          </w:p>
        </w:tc>
        <w:tc>
          <w:tcPr>
            <w:tcW w:w="680" w:type="dxa"/>
            <w:vAlign w:val="bottom"/>
            <w:gridSpan w:val="2"/>
          </w:tcPr>
          <w:p>
            <w:pPr>
              <w:jc w:val="right"/>
              <w:ind w:right="43"/>
              <w:spacing w:after="0" w:line="151" w:lineRule="exact"/>
              <w:rPr>
                <w:sz w:val="20"/>
                <w:szCs w:val="20"/>
                <w:color w:val="auto"/>
              </w:rPr>
            </w:pPr>
            <w:r>
              <w:rPr>
                <w:rFonts w:ascii="Arial" w:cs="Arial" w:eastAsia="Arial" w:hAnsi="Arial"/>
                <w:sz w:val="15"/>
                <w:szCs w:val="15"/>
                <w:b w:val="1"/>
                <w:bCs w:val="1"/>
                <w:color w:val="auto"/>
              </w:rPr>
              <w:t>Gross</w:t>
            </w:r>
          </w:p>
        </w:tc>
        <w:tc>
          <w:tcPr>
            <w:tcW w:w="760" w:type="dxa"/>
            <w:vAlign w:val="bottom"/>
            <w:gridSpan w:val="2"/>
          </w:tcPr>
          <w:p>
            <w:pPr>
              <w:ind w:left="100"/>
              <w:spacing w:after="0" w:line="151" w:lineRule="exact"/>
              <w:rPr>
                <w:sz w:val="20"/>
                <w:szCs w:val="20"/>
                <w:color w:val="auto"/>
              </w:rPr>
            </w:pPr>
            <w:r>
              <w:rPr>
                <w:rFonts w:ascii="Arial" w:cs="Arial" w:eastAsia="Arial" w:hAnsi="Arial"/>
                <w:sz w:val="15"/>
                <w:szCs w:val="15"/>
                <w:b w:val="1"/>
                <w:bCs w:val="1"/>
                <w:color w:val="auto"/>
              </w:rPr>
              <w:t>Accum.</w:t>
            </w:r>
          </w:p>
        </w:tc>
        <w:tc>
          <w:tcPr>
            <w:tcW w:w="200" w:type="dxa"/>
            <w:vAlign w:val="bottom"/>
          </w:tcPr>
          <w:p>
            <w:pPr>
              <w:spacing w:after="0"/>
              <w:rPr>
                <w:sz w:val="13"/>
                <w:szCs w:val="13"/>
                <w:color w:val="auto"/>
              </w:rPr>
            </w:pPr>
          </w:p>
        </w:tc>
        <w:tc>
          <w:tcPr>
            <w:tcW w:w="460" w:type="dxa"/>
            <w:vAlign w:val="bottom"/>
          </w:tcPr>
          <w:p>
            <w:pPr>
              <w:jc w:val="right"/>
              <w:ind w:right="103"/>
              <w:spacing w:after="0" w:line="151" w:lineRule="exact"/>
              <w:rPr>
                <w:sz w:val="20"/>
                <w:szCs w:val="20"/>
                <w:color w:val="auto"/>
              </w:rPr>
            </w:pPr>
            <w:r>
              <w:rPr>
                <w:rFonts w:ascii="Arial" w:cs="Arial" w:eastAsia="Arial" w:hAnsi="Arial"/>
                <w:sz w:val="15"/>
                <w:szCs w:val="15"/>
                <w:b w:val="1"/>
                <w:bCs w:val="1"/>
                <w:color w:val="auto"/>
              </w:rPr>
              <w:t>Net</w:t>
            </w:r>
          </w:p>
        </w:tc>
        <w:tc>
          <w:tcPr>
            <w:tcW w:w="0" w:type="dxa"/>
            <w:vAlign w:val="bottom"/>
          </w:tcPr>
          <w:p>
            <w:pPr>
              <w:spacing w:after="0"/>
              <w:rPr>
                <w:sz w:val="1"/>
                <w:szCs w:val="1"/>
                <w:color w:val="auto"/>
              </w:rPr>
            </w:pPr>
          </w:p>
        </w:tc>
      </w:tr>
      <w:tr>
        <w:trPr>
          <w:trHeight w:val="194"/>
        </w:trPr>
        <w:tc>
          <w:tcPr>
            <w:tcW w:w="27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 in millions)</w:t>
            </w:r>
          </w:p>
        </w:tc>
        <w:tc>
          <w:tcPr>
            <w:tcW w:w="62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5"/>
                <w:szCs w:val="15"/>
                <w:b w:val="1"/>
                <w:bCs w:val="1"/>
                <w:color w:val="auto"/>
              </w:rPr>
              <w:t>value</w:t>
            </w:r>
          </w:p>
        </w:tc>
        <w:tc>
          <w:tcPr>
            <w:tcW w:w="880" w:type="dxa"/>
            <w:vAlign w:val="bottom"/>
            <w:tcBorders>
              <w:bottom w:val="single" w:sz="8" w:color="auto"/>
            </w:tcBorders>
            <w:gridSpan w:val="2"/>
          </w:tcPr>
          <w:p>
            <w:pPr>
              <w:jc w:val="right"/>
              <w:ind w:right="123"/>
              <w:spacing w:after="0"/>
              <w:rPr>
                <w:sz w:val="20"/>
                <w:szCs w:val="20"/>
                <w:color w:val="auto"/>
              </w:rPr>
            </w:pPr>
            <w:r>
              <w:rPr>
                <w:rFonts w:ascii="Arial" w:cs="Arial" w:eastAsia="Arial" w:hAnsi="Arial"/>
                <w:sz w:val="15"/>
                <w:szCs w:val="15"/>
                <w:b w:val="1"/>
                <w:bCs w:val="1"/>
                <w:color w:val="auto"/>
              </w:rPr>
              <w:t>amort.</w:t>
            </w:r>
          </w:p>
        </w:tc>
        <w:tc>
          <w:tcPr>
            <w:tcW w:w="60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5"/>
                <w:szCs w:val="15"/>
                <w:b w:val="1"/>
                <w:bCs w:val="1"/>
                <w:color w:val="auto"/>
              </w:rPr>
              <w:t>value</w:t>
            </w:r>
          </w:p>
        </w:tc>
        <w:tc>
          <w:tcPr>
            <w:tcW w:w="68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5"/>
                <w:szCs w:val="15"/>
                <w:b w:val="1"/>
                <w:bCs w:val="1"/>
                <w:color w:val="auto"/>
              </w:rPr>
              <w:t>value</w:t>
            </w:r>
          </w:p>
        </w:tc>
        <w:tc>
          <w:tcPr>
            <w:tcW w:w="760" w:type="dxa"/>
            <w:vAlign w:val="bottom"/>
            <w:tcBorders>
              <w:bottom w:val="single" w:sz="8" w:color="auto"/>
            </w:tcBorders>
            <w:gridSpan w:val="2"/>
          </w:tcPr>
          <w:p>
            <w:pPr>
              <w:jc w:val="right"/>
              <w:ind w:right="83"/>
              <w:spacing w:after="0"/>
              <w:rPr>
                <w:sz w:val="20"/>
                <w:szCs w:val="20"/>
                <w:color w:val="auto"/>
              </w:rPr>
            </w:pPr>
            <w:r>
              <w:rPr>
                <w:rFonts w:ascii="Arial" w:cs="Arial" w:eastAsia="Arial" w:hAnsi="Arial"/>
                <w:sz w:val="15"/>
                <w:szCs w:val="15"/>
                <w:b w:val="1"/>
                <w:bCs w:val="1"/>
                <w:color w:val="auto"/>
              </w:rPr>
              <w:t>amort.</w:t>
            </w:r>
          </w:p>
        </w:tc>
        <w:tc>
          <w:tcPr>
            <w:tcW w:w="680" w:type="dxa"/>
            <w:vAlign w:val="bottom"/>
            <w:tcBorders>
              <w:bottom w:val="single" w:sz="8" w:color="auto"/>
            </w:tcBorders>
            <w:gridSpan w:val="2"/>
          </w:tcPr>
          <w:p>
            <w:pPr>
              <w:jc w:val="right"/>
              <w:ind w:right="83"/>
              <w:spacing w:after="0"/>
              <w:rPr>
                <w:sz w:val="20"/>
                <w:szCs w:val="20"/>
                <w:color w:val="auto"/>
              </w:rPr>
            </w:pPr>
            <w:r>
              <w:rPr>
                <w:rFonts w:ascii="Arial" w:cs="Arial" w:eastAsia="Arial" w:hAnsi="Arial"/>
                <w:sz w:val="15"/>
                <w:szCs w:val="15"/>
                <w:b w:val="1"/>
                <w:bCs w:val="1"/>
                <w:color w:val="auto"/>
              </w:rPr>
              <w:t>value</w:t>
            </w:r>
          </w:p>
        </w:tc>
        <w:tc>
          <w:tcPr>
            <w:tcW w:w="68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5"/>
                <w:szCs w:val="15"/>
                <w:b w:val="1"/>
                <w:bCs w:val="1"/>
                <w:color w:val="auto"/>
              </w:rPr>
              <w:t>value</w:t>
            </w:r>
          </w:p>
        </w:tc>
        <w:tc>
          <w:tcPr>
            <w:tcW w:w="76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5"/>
                <w:szCs w:val="15"/>
                <w:b w:val="1"/>
                <w:bCs w:val="1"/>
                <w:color w:val="auto"/>
              </w:rPr>
              <w:t>amort.</w:t>
            </w:r>
          </w:p>
        </w:tc>
        <w:tc>
          <w:tcPr>
            <w:tcW w:w="660" w:type="dxa"/>
            <w:vAlign w:val="bottom"/>
            <w:tcBorders>
              <w:bottom w:val="single" w:sz="8" w:color="auto"/>
            </w:tcBorders>
            <w:gridSpan w:val="2"/>
          </w:tcPr>
          <w:p>
            <w:pPr>
              <w:jc w:val="right"/>
              <w:ind w:right="43"/>
              <w:spacing w:after="0"/>
              <w:rPr>
                <w:sz w:val="20"/>
                <w:szCs w:val="20"/>
                <w:color w:val="auto"/>
              </w:rPr>
            </w:pPr>
            <w:r>
              <w:rPr>
                <w:rFonts w:ascii="Arial" w:cs="Arial" w:eastAsia="Arial" w:hAnsi="Arial"/>
                <w:sz w:val="15"/>
                <w:szCs w:val="15"/>
                <w:b w:val="1"/>
                <w:bCs w:val="1"/>
                <w:color w:val="auto"/>
              </w:rPr>
              <w:t>value</w:t>
            </w:r>
          </w:p>
        </w:tc>
        <w:tc>
          <w:tcPr>
            <w:tcW w:w="0" w:type="dxa"/>
            <w:vAlign w:val="bottom"/>
          </w:tcPr>
          <w:p>
            <w:pPr>
              <w:spacing w:after="0"/>
              <w:rPr>
                <w:sz w:val="1"/>
                <w:szCs w:val="1"/>
                <w:color w:val="auto"/>
              </w:rPr>
            </w:pPr>
          </w:p>
        </w:tc>
      </w:tr>
      <w:tr>
        <w:trPr>
          <w:trHeight w:val="162"/>
        </w:trPr>
        <w:tc>
          <w:tcPr>
            <w:tcW w:w="2780" w:type="dxa"/>
            <w:vAlign w:val="bottom"/>
          </w:tcPr>
          <w:p>
            <w:pPr>
              <w:spacing w:after="0" w:line="163" w:lineRule="exact"/>
              <w:rPr>
                <w:sz w:val="20"/>
                <w:szCs w:val="20"/>
                <w:color w:val="auto"/>
              </w:rPr>
            </w:pPr>
            <w:r>
              <w:rPr>
                <w:rFonts w:ascii="Arial" w:cs="Arial" w:eastAsia="Arial" w:hAnsi="Arial"/>
                <w:sz w:val="15"/>
                <w:szCs w:val="15"/>
                <w:color w:val="auto"/>
              </w:rPr>
              <w:t xml:space="preserve">Amortized intangible assets: </w:t>
            </w:r>
            <w:r>
              <w:rPr>
                <w:rFonts w:ascii="Arial" w:cs="Arial" w:eastAsia="Arial" w:hAnsi="Arial"/>
                <w:sz w:val="8"/>
                <w:szCs w:val="8"/>
                <w:color w:val="auto"/>
              </w:rPr>
              <w:t>(1)</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7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Lease acquisition costs</w:t>
            </w:r>
          </w:p>
        </w:tc>
        <w:tc>
          <w:tcPr>
            <w:tcW w:w="280" w:type="dxa"/>
            <w:vAlign w:val="bottom"/>
            <w:shd w:val="clear" w:color="auto" w:fill="CCEEFF"/>
          </w:tcPr>
          <w:p>
            <w:pPr>
              <w:ind w:left="100"/>
              <w:spacing w:after="0"/>
              <w:rPr>
                <w:sz w:val="20"/>
                <w:szCs w:val="20"/>
                <w:color w:val="auto"/>
              </w:rPr>
            </w:pPr>
            <w:r>
              <w:rPr>
                <w:rFonts w:ascii="Arial" w:cs="Arial" w:eastAsia="Arial" w:hAnsi="Arial"/>
                <w:sz w:val="15"/>
                <w:szCs w:val="15"/>
                <w:b w:val="1"/>
                <w:bCs w:val="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128</w:t>
            </w:r>
          </w:p>
        </w:tc>
        <w:tc>
          <w:tcPr>
            <w:tcW w:w="340" w:type="dxa"/>
            <w:vAlign w:val="bottom"/>
            <w:shd w:val="clear" w:color="auto" w:fill="CCEEFF"/>
          </w:tcPr>
          <w:p>
            <w:pPr>
              <w:ind w:left="180"/>
              <w:spacing w:after="0"/>
              <w:rPr>
                <w:sz w:val="20"/>
                <w:szCs w:val="20"/>
                <w:color w:val="auto"/>
              </w:rPr>
            </w:pPr>
            <w:r>
              <w:rPr>
                <w:rFonts w:ascii="Arial" w:cs="Arial" w:eastAsia="Arial" w:hAnsi="Arial"/>
                <w:sz w:val="15"/>
                <w:szCs w:val="15"/>
                <w:b w:val="1"/>
                <w:bCs w:val="1"/>
                <w:color w:val="auto"/>
              </w:rPr>
              <w:t>$</w:t>
            </w:r>
          </w:p>
        </w:tc>
        <w:tc>
          <w:tcPr>
            <w:tcW w:w="54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(117)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11</w:t>
            </w:r>
          </w:p>
        </w:tc>
        <w:tc>
          <w:tcPr>
            <w:tcW w:w="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118</w:t>
            </w:r>
          </w:p>
        </w:tc>
        <w:tc>
          <w:tcPr>
            <w:tcW w:w="2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11</w:t>
            </w:r>
          </w:p>
        </w:tc>
        <w:tc>
          <w:tcPr>
            <w:tcW w:w="2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135</w:t>
            </w:r>
          </w:p>
        </w:tc>
        <w:tc>
          <w:tcPr>
            <w:tcW w:w="2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(122)</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182"/>
        </w:trPr>
        <w:tc>
          <w:tcPr>
            <w:tcW w:w="2780" w:type="dxa"/>
            <w:vAlign w:val="bottom"/>
          </w:tcPr>
          <w:p>
            <w:pPr>
              <w:ind w:left="320"/>
              <w:spacing w:after="0"/>
              <w:rPr>
                <w:sz w:val="20"/>
                <w:szCs w:val="20"/>
                <w:color w:val="auto"/>
              </w:rPr>
            </w:pPr>
            <w:r>
              <w:rPr>
                <w:rFonts w:ascii="Arial" w:cs="Arial" w:eastAsia="Arial" w:hAnsi="Arial"/>
                <w:sz w:val="15"/>
                <w:szCs w:val="15"/>
                <w:color w:val="auto"/>
              </w:rPr>
              <w:t>Trademarks / trade names</w:t>
            </w:r>
          </w:p>
        </w:tc>
        <w:tc>
          <w:tcPr>
            <w:tcW w:w="2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5"/>
                <w:szCs w:val="15"/>
                <w:b w:val="1"/>
                <w:bCs w:val="1"/>
                <w:color w:val="auto"/>
              </w:rPr>
              <w:t>20</w:t>
            </w:r>
          </w:p>
        </w:tc>
        <w:tc>
          <w:tcPr>
            <w:tcW w:w="340" w:type="dxa"/>
            <w:vAlign w:val="bottom"/>
          </w:tcPr>
          <w:p>
            <w:pPr>
              <w:spacing w:after="0"/>
              <w:rPr>
                <w:sz w:val="15"/>
                <w:szCs w:val="15"/>
                <w:color w:val="auto"/>
              </w:rPr>
            </w:pPr>
          </w:p>
        </w:tc>
        <w:tc>
          <w:tcPr>
            <w:tcW w:w="540" w:type="dxa"/>
            <w:vAlign w:val="bottom"/>
          </w:tcPr>
          <w:p>
            <w:pPr>
              <w:jc w:val="right"/>
              <w:ind w:right="43"/>
              <w:spacing w:after="0"/>
              <w:rPr>
                <w:sz w:val="20"/>
                <w:szCs w:val="20"/>
                <w:color w:val="auto"/>
              </w:rPr>
            </w:pPr>
            <w:r>
              <w:rPr>
                <w:rFonts w:ascii="Arial" w:cs="Arial" w:eastAsia="Arial" w:hAnsi="Arial"/>
                <w:sz w:val="15"/>
                <w:szCs w:val="15"/>
                <w:b w:val="1"/>
                <w:bCs w:val="1"/>
                <w:color w:val="auto"/>
              </w:rPr>
              <w:t>(14)</w:t>
            </w:r>
          </w:p>
        </w:tc>
        <w:tc>
          <w:tcPr>
            <w:tcW w:w="120" w:type="dxa"/>
            <w:vAlign w:val="bottom"/>
          </w:tcPr>
          <w:p>
            <w:pPr>
              <w:spacing w:after="0"/>
              <w:rPr>
                <w:sz w:val="15"/>
                <w:szCs w:val="15"/>
                <w:color w:val="auto"/>
              </w:rPr>
            </w:pPr>
          </w:p>
        </w:tc>
        <w:tc>
          <w:tcPr>
            <w:tcW w:w="480" w:type="dxa"/>
            <w:vAlign w:val="bottom"/>
          </w:tcPr>
          <w:p>
            <w:pPr>
              <w:jc w:val="right"/>
              <w:ind w:right="3"/>
              <w:spacing w:after="0"/>
              <w:rPr>
                <w:sz w:val="20"/>
                <w:szCs w:val="20"/>
                <w:color w:val="auto"/>
              </w:rPr>
            </w:pPr>
            <w:r>
              <w:rPr>
                <w:rFonts w:ascii="Arial" w:cs="Arial" w:eastAsia="Arial" w:hAnsi="Arial"/>
                <w:sz w:val="15"/>
                <w:szCs w:val="15"/>
                <w:b w:val="1"/>
                <w:bCs w:val="1"/>
                <w:color w:val="auto"/>
              </w:rPr>
              <w:t>6</w:t>
            </w:r>
          </w:p>
        </w:tc>
        <w:tc>
          <w:tcPr>
            <w:tcW w:w="260" w:type="dxa"/>
            <w:vAlign w:val="bottom"/>
          </w:tcPr>
          <w:p>
            <w:pPr>
              <w:spacing w:after="0"/>
              <w:rPr>
                <w:sz w:val="15"/>
                <w:szCs w:val="15"/>
                <w:color w:val="auto"/>
              </w:rPr>
            </w:pPr>
          </w:p>
        </w:tc>
        <w:tc>
          <w:tcPr>
            <w:tcW w:w="420" w:type="dxa"/>
            <w:vAlign w:val="bottom"/>
          </w:tcPr>
          <w:p>
            <w:pPr>
              <w:jc w:val="right"/>
              <w:ind w:right="3"/>
              <w:spacing w:after="0"/>
              <w:rPr>
                <w:sz w:val="20"/>
                <w:szCs w:val="20"/>
                <w:color w:val="auto"/>
              </w:rPr>
            </w:pPr>
            <w:r>
              <w:rPr>
                <w:rFonts w:ascii="Arial" w:cs="Arial" w:eastAsia="Arial" w:hAnsi="Arial"/>
                <w:sz w:val="15"/>
                <w:szCs w:val="15"/>
                <w:color w:val="auto"/>
              </w:rPr>
              <w:t>20</w:t>
            </w:r>
          </w:p>
        </w:tc>
        <w:tc>
          <w:tcPr>
            <w:tcW w:w="2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(13)</w:t>
            </w:r>
          </w:p>
        </w:tc>
        <w:tc>
          <w:tcPr>
            <w:tcW w:w="180" w:type="dxa"/>
            <w:vAlign w:val="bottom"/>
          </w:tcPr>
          <w:p>
            <w:pPr>
              <w:spacing w:after="0"/>
              <w:rPr>
                <w:sz w:val="15"/>
                <w:szCs w:val="15"/>
                <w:color w:val="auto"/>
              </w:rPr>
            </w:pPr>
          </w:p>
        </w:tc>
        <w:tc>
          <w:tcPr>
            <w:tcW w:w="500" w:type="dxa"/>
            <w:vAlign w:val="bottom"/>
          </w:tcPr>
          <w:p>
            <w:pPr>
              <w:jc w:val="right"/>
              <w:ind w:right="23"/>
              <w:spacing w:after="0"/>
              <w:rPr>
                <w:sz w:val="20"/>
                <w:szCs w:val="20"/>
                <w:color w:val="auto"/>
              </w:rPr>
            </w:pPr>
            <w:r>
              <w:rPr>
                <w:rFonts w:ascii="Arial" w:cs="Arial" w:eastAsia="Arial" w:hAnsi="Arial"/>
                <w:sz w:val="15"/>
                <w:szCs w:val="15"/>
                <w:color w:val="auto"/>
              </w:rPr>
              <w:t>7</w:t>
            </w:r>
          </w:p>
        </w:tc>
        <w:tc>
          <w:tcPr>
            <w:tcW w:w="260" w:type="dxa"/>
            <w:vAlign w:val="bottom"/>
          </w:tcPr>
          <w:p>
            <w:pPr>
              <w:spacing w:after="0"/>
              <w:rPr>
                <w:sz w:val="15"/>
                <w:szCs w:val="15"/>
                <w:color w:val="auto"/>
              </w:rPr>
            </w:pPr>
          </w:p>
        </w:tc>
        <w:tc>
          <w:tcPr>
            <w:tcW w:w="420" w:type="dxa"/>
            <w:vAlign w:val="bottom"/>
          </w:tcPr>
          <w:p>
            <w:pPr>
              <w:jc w:val="right"/>
              <w:ind w:right="3"/>
              <w:spacing w:after="0"/>
              <w:rPr>
                <w:sz w:val="20"/>
                <w:szCs w:val="20"/>
                <w:color w:val="auto"/>
              </w:rPr>
            </w:pPr>
            <w:r>
              <w:rPr>
                <w:rFonts w:ascii="Arial" w:cs="Arial" w:eastAsia="Arial" w:hAnsi="Arial"/>
                <w:sz w:val="15"/>
                <w:szCs w:val="15"/>
                <w:color w:val="auto"/>
              </w:rPr>
              <w:t>20</w:t>
            </w:r>
          </w:p>
        </w:tc>
        <w:tc>
          <w:tcPr>
            <w:tcW w:w="2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(14)</w:t>
            </w:r>
          </w:p>
        </w:tc>
        <w:tc>
          <w:tcPr>
            <w:tcW w:w="2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82"/>
        </w:trPr>
        <w:tc>
          <w:tcPr>
            <w:tcW w:w="27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5"/>
                <w:szCs w:val="15"/>
                <w:color w:val="auto"/>
              </w:rPr>
              <w:t>Favorable leases</w:t>
            </w:r>
          </w:p>
        </w:tc>
        <w:tc>
          <w:tcPr>
            <w:tcW w:w="28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7</w:t>
            </w:r>
          </w:p>
        </w:tc>
        <w:tc>
          <w:tcPr>
            <w:tcW w:w="3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(6)</w:t>
            </w:r>
          </w:p>
        </w:tc>
        <w:tc>
          <w:tcPr>
            <w:tcW w:w="1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w:t>
            </w:r>
          </w:p>
        </w:tc>
        <w:tc>
          <w:tcPr>
            <w:tcW w:w="26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7</w:t>
            </w:r>
          </w:p>
        </w:tc>
        <w:tc>
          <w:tcPr>
            <w:tcW w:w="2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1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w:t>
            </w:r>
          </w:p>
        </w:tc>
        <w:tc>
          <w:tcPr>
            <w:tcW w:w="26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7</w:t>
            </w:r>
          </w:p>
        </w:tc>
        <w:tc>
          <w:tcPr>
            <w:tcW w:w="2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2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62"/>
        </w:trPr>
        <w:tc>
          <w:tcPr>
            <w:tcW w:w="27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ind w:left="100"/>
              <w:spacing w:after="0" w:line="163" w:lineRule="exact"/>
              <w:rPr>
                <w:sz w:val="20"/>
                <w:szCs w:val="20"/>
                <w:color w:val="auto"/>
              </w:rPr>
            </w:pPr>
            <w:r>
              <w:rPr>
                <w:rFonts w:ascii="Arial" w:cs="Arial" w:eastAsia="Arial" w:hAnsi="Arial"/>
                <w:sz w:val="15"/>
                <w:szCs w:val="15"/>
                <w:b w:val="1"/>
                <w:bCs w:val="1"/>
                <w:color w:val="auto"/>
              </w:rPr>
              <w:t>$</w:t>
            </w:r>
          </w:p>
        </w:tc>
        <w:tc>
          <w:tcPr>
            <w:tcW w:w="34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rPr>
              <w:t>155</w:t>
            </w:r>
          </w:p>
        </w:tc>
        <w:tc>
          <w:tcPr>
            <w:tcW w:w="340" w:type="dxa"/>
            <w:vAlign w:val="bottom"/>
            <w:tcBorders>
              <w:bottom w:val="single" w:sz="8" w:color="auto"/>
            </w:tcBorders>
          </w:tcPr>
          <w:p>
            <w:pPr>
              <w:ind w:left="180"/>
              <w:spacing w:after="0" w:line="163" w:lineRule="exact"/>
              <w:rPr>
                <w:sz w:val="20"/>
                <w:szCs w:val="20"/>
                <w:color w:val="auto"/>
              </w:rPr>
            </w:pPr>
            <w:r>
              <w:rPr>
                <w:rFonts w:ascii="Arial" w:cs="Arial" w:eastAsia="Arial" w:hAnsi="Arial"/>
                <w:sz w:val="15"/>
                <w:szCs w:val="15"/>
                <w:b w:val="1"/>
                <w:bCs w:val="1"/>
                <w:color w:val="auto"/>
              </w:rPr>
              <w:t>$</w:t>
            </w:r>
          </w:p>
        </w:tc>
        <w:tc>
          <w:tcPr>
            <w:tcW w:w="540" w:type="dxa"/>
            <w:vAlign w:val="bottom"/>
            <w:tcBorders>
              <w:bottom w:val="single" w:sz="8" w:color="auto"/>
            </w:tcBorders>
          </w:tcPr>
          <w:p>
            <w:pPr>
              <w:jc w:val="right"/>
              <w:ind w:right="43"/>
              <w:spacing w:after="0" w:line="163" w:lineRule="exact"/>
              <w:rPr>
                <w:sz w:val="20"/>
                <w:szCs w:val="20"/>
                <w:color w:val="auto"/>
              </w:rPr>
            </w:pPr>
            <w:r>
              <w:rPr>
                <w:rFonts w:ascii="Arial" w:cs="Arial" w:eastAsia="Arial" w:hAnsi="Arial"/>
                <w:sz w:val="15"/>
                <w:szCs w:val="15"/>
                <w:b w:val="1"/>
                <w:bCs w:val="1"/>
                <w:color w:val="auto"/>
              </w:rPr>
              <w:t>(137)</w:t>
            </w:r>
          </w:p>
        </w:tc>
        <w:tc>
          <w:tcPr>
            <w:tcW w:w="1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w w:val="95"/>
              </w:rPr>
              <w:t>$</w:t>
            </w:r>
          </w:p>
        </w:tc>
        <w:tc>
          <w:tcPr>
            <w:tcW w:w="480" w:type="dxa"/>
            <w:vAlign w:val="bottom"/>
            <w:tcBorders>
              <w:bottom w:val="single" w:sz="8" w:color="auto"/>
            </w:tcBorders>
          </w:tcPr>
          <w:p>
            <w:pPr>
              <w:jc w:val="right"/>
              <w:ind w:right="3"/>
              <w:spacing w:after="0" w:line="163" w:lineRule="exact"/>
              <w:rPr>
                <w:sz w:val="20"/>
                <w:szCs w:val="20"/>
                <w:color w:val="auto"/>
              </w:rPr>
            </w:pPr>
            <w:r>
              <w:rPr>
                <w:rFonts w:ascii="Arial" w:cs="Arial" w:eastAsia="Arial" w:hAnsi="Arial"/>
                <w:sz w:val="15"/>
                <w:szCs w:val="15"/>
                <w:b w:val="1"/>
                <w:bCs w:val="1"/>
                <w:color w:val="auto"/>
              </w:rPr>
              <w:t>18</w:t>
            </w:r>
          </w:p>
        </w:tc>
        <w:tc>
          <w:tcPr>
            <w:tcW w:w="260" w:type="dxa"/>
            <w:vAlign w:val="bottom"/>
            <w:tcBorders>
              <w:bottom w:val="single" w:sz="8" w:color="auto"/>
            </w:tcBorders>
          </w:tcPr>
          <w:p>
            <w:pPr>
              <w:jc w:val="right"/>
              <w:ind w:right="3"/>
              <w:spacing w:after="0" w:line="163"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tcBorders>
          </w:tcPr>
          <w:p>
            <w:pPr>
              <w:jc w:val="right"/>
              <w:ind w:right="3"/>
              <w:spacing w:after="0" w:line="163" w:lineRule="exact"/>
              <w:rPr>
                <w:sz w:val="20"/>
                <w:szCs w:val="20"/>
                <w:color w:val="auto"/>
              </w:rPr>
            </w:pPr>
            <w:r>
              <w:rPr>
                <w:rFonts w:ascii="Arial" w:cs="Arial" w:eastAsia="Arial" w:hAnsi="Arial"/>
                <w:sz w:val="15"/>
                <w:szCs w:val="15"/>
                <w:color w:val="auto"/>
              </w:rPr>
              <w:t>145</w:t>
            </w:r>
          </w:p>
        </w:tc>
        <w:tc>
          <w:tcPr>
            <w:tcW w:w="260" w:type="dxa"/>
            <w:vAlign w:val="bottom"/>
            <w:tcBorders>
              <w:bottom w:val="single" w:sz="8" w:color="auto"/>
            </w:tcBorders>
          </w:tcPr>
          <w:p>
            <w:pPr>
              <w:ind w:left="100"/>
              <w:spacing w:after="0" w:line="163" w:lineRule="exact"/>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(125)</w:t>
            </w:r>
          </w:p>
        </w:tc>
        <w:tc>
          <w:tcPr>
            <w:tcW w:w="1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jc w:val="right"/>
              <w:ind w:right="23"/>
              <w:spacing w:after="0" w:line="163" w:lineRule="exact"/>
              <w:rPr>
                <w:sz w:val="20"/>
                <w:szCs w:val="20"/>
                <w:color w:val="auto"/>
              </w:rPr>
            </w:pPr>
            <w:r>
              <w:rPr>
                <w:rFonts w:ascii="Arial" w:cs="Arial" w:eastAsia="Arial" w:hAnsi="Arial"/>
                <w:sz w:val="15"/>
                <w:szCs w:val="15"/>
                <w:color w:val="auto"/>
              </w:rPr>
              <w:t>20</w:t>
            </w:r>
          </w:p>
        </w:tc>
        <w:tc>
          <w:tcPr>
            <w:tcW w:w="260" w:type="dxa"/>
            <w:vAlign w:val="bottom"/>
            <w:tcBorders>
              <w:bottom w:val="single" w:sz="8" w:color="auto"/>
            </w:tcBorders>
          </w:tcPr>
          <w:p>
            <w:pPr>
              <w:jc w:val="right"/>
              <w:ind w:right="23"/>
              <w:spacing w:after="0" w:line="163"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tcBorders>
          </w:tcPr>
          <w:p>
            <w:pPr>
              <w:jc w:val="right"/>
              <w:ind w:right="3"/>
              <w:spacing w:after="0" w:line="163" w:lineRule="exact"/>
              <w:rPr>
                <w:sz w:val="20"/>
                <w:szCs w:val="20"/>
                <w:color w:val="auto"/>
              </w:rPr>
            </w:pPr>
            <w:r>
              <w:rPr>
                <w:rFonts w:ascii="Arial" w:cs="Arial" w:eastAsia="Arial" w:hAnsi="Arial"/>
                <w:sz w:val="15"/>
                <w:szCs w:val="15"/>
                <w:color w:val="auto"/>
              </w:rPr>
              <w:t>162</w:t>
            </w:r>
          </w:p>
        </w:tc>
        <w:tc>
          <w:tcPr>
            <w:tcW w:w="280" w:type="dxa"/>
            <w:vAlign w:val="bottom"/>
            <w:tcBorders>
              <w:bottom w:val="single" w:sz="8" w:color="auto"/>
            </w:tcBorders>
          </w:tcPr>
          <w:p>
            <w:pPr>
              <w:ind w:left="100"/>
              <w:spacing w:after="0" w:line="163" w:lineRule="exact"/>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(142)</w:t>
            </w:r>
          </w:p>
        </w:tc>
        <w:tc>
          <w:tcPr>
            <w:tcW w:w="2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w:t>
            </w:r>
          </w:p>
        </w:tc>
        <w:tc>
          <w:tcPr>
            <w:tcW w:w="4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199"/>
        </w:trPr>
        <w:tc>
          <w:tcPr>
            <w:tcW w:w="2780" w:type="dxa"/>
            <w:vAlign w:val="bottom"/>
            <w:shd w:val="clear" w:color="auto" w:fill="CCEEFF"/>
          </w:tcPr>
          <w:p>
            <w:pPr>
              <w:spacing w:after="0"/>
              <w:rPr>
                <w:sz w:val="20"/>
                <w:szCs w:val="20"/>
                <w:color w:val="auto"/>
              </w:rPr>
            </w:pPr>
            <w:r>
              <w:rPr>
                <w:rFonts w:ascii="Arial" w:cs="Arial" w:eastAsia="Arial" w:hAnsi="Arial"/>
                <w:sz w:val="15"/>
                <w:szCs w:val="15"/>
                <w:color w:val="auto"/>
              </w:rPr>
              <w:t xml:space="preserve">Indefinite life intangible assets: </w:t>
            </w:r>
            <w:r>
              <w:rPr>
                <w:rFonts w:ascii="Arial" w:cs="Arial" w:eastAsia="Arial" w:hAnsi="Arial"/>
                <w:sz w:val="8"/>
                <w:szCs w:val="8"/>
                <w:color w:val="auto"/>
              </w:rPr>
              <w:t>(1)</w:t>
            </w: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780" w:type="dxa"/>
            <w:vAlign w:val="bottom"/>
          </w:tcPr>
          <w:p>
            <w:pPr>
              <w:ind w:left="320"/>
              <w:spacing w:after="0"/>
              <w:rPr>
                <w:sz w:val="20"/>
                <w:szCs w:val="20"/>
                <w:color w:val="auto"/>
              </w:rPr>
            </w:pPr>
            <w:r>
              <w:rPr>
                <w:rFonts w:ascii="Arial" w:cs="Arial" w:eastAsia="Arial" w:hAnsi="Arial"/>
                <w:sz w:val="15"/>
                <w:szCs w:val="15"/>
                <w:color w:val="auto"/>
              </w:rPr>
              <w:t>Runners Point Group trademarks /</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95"/>
              </w:rPr>
              <w:t>$</w:t>
            </w:r>
          </w:p>
        </w:tc>
        <w:tc>
          <w:tcPr>
            <w:tcW w:w="480" w:type="dxa"/>
            <w:vAlign w:val="bottom"/>
            <w:vMerge w:val="restart"/>
          </w:tcPr>
          <w:p>
            <w:pPr>
              <w:jc w:val="right"/>
              <w:ind w:right="3"/>
              <w:spacing w:after="0"/>
              <w:rPr>
                <w:sz w:val="20"/>
                <w:szCs w:val="20"/>
                <w:color w:val="auto"/>
              </w:rPr>
            </w:pPr>
            <w:r>
              <w:rPr>
                <w:rFonts w:ascii="Arial" w:cs="Arial" w:eastAsia="Arial" w:hAnsi="Arial"/>
                <w:sz w:val="15"/>
                <w:szCs w:val="15"/>
                <w:b w:val="1"/>
                <w:bCs w:val="1"/>
                <w:color w:val="auto"/>
              </w:rPr>
              <w:t>25</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780" w:type="dxa"/>
            <w:vAlign w:val="bottom"/>
            <w:tcBorders>
              <w:bottom w:val="single" w:sz="8" w:color="auto"/>
            </w:tcBorders>
          </w:tcPr>
          <w:p>
            <w:pPr>
              <w:ind w:left="420"/>
              <w:spacing w:after="0"/>
              <w:rPr>
                <w:sz w:val="20"/>
                <w:szCs w:val="20"/>
                <w:color w:val="auto"/>
              </w:rPr>
            </w:pPr>
            <w:r>
              <w:rPr>
                <w:rFonts w:ascii="Arial" w:cs="Arial" w:eastAsia="Arial" w:hAnsi="Arial"/>
                <w:sz w:val="15"/>
                <w:szCs w:val="15"/>
                <w:color w:val="auto"/>
              </w:rPr>
              <w:t>trade names</w:t>
            </w:r>
          </w:p>
        </w:tc>
        <w:tc>
          <w:tcPr>
            <w:tcW w:w="2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23</w:t>
            </w:r>
          </w:p>
        </w:tc>
        <w:tc>
          <w:tcPr>
            <w:tcW w:w="2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167"/>
        </w:trPr>
        <w:tc>
          <w:tcPr>
            <w:tcW w:w="2780" w:type="dxa"/>
            <w:vAlign w:val="bottom"/>
            <w:tcBorders>
              <w:bottom w:val="single" w:sz="8" w:color="auto"/>
            </w:tcBorders>
            <w:shd w:val="clear" w:color="auto" w:fill="CCEEFF"/>
          </w:tcPr>
          <w:p>
            <w:pPr>
              <w:spacing w:after="0" w:line="163" w:lineRule="exact"/>
              <w:rPr>
                <w:sz w:val="20"/>
                <w:szCs w:val="20"/>
                <w:color w:val="auto"/>
              </w:rPr>
            </w:pPr>
            <w:r>
              <w:rPr>
                <w:rFonts w:ascii="Arial" w:cs="Arial" w:eastAsia="Arial" w:hAnsi="Arial"/>
                <w:sz w:val="15"/>
                <w:szCs w:val="15"/>
                <w:color w:val="auto"/>
              </w:rPr>
              <w:t>Other intangible assets, net</w:t>
            </w:r>
          </w:p>
        </w:tc>
        <w:tc>
          <w:tcPr>
            <w:tcW w:w="28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b w:val="1"/>
                <w:bCs w:val="1"/>
                <w:color w:val="auto"/>
                <w:w w:val="95"/>
              </w:rPr>
              <w:t>$</w:t>
            </w:r>
          </w:p>
        </w:tc>
        <w:tc>
          <w:tcPr>
            <w:tcW w:w="480" w:type="dxa"/>
            <w:vAlign w:val="bottom"/>
            <w:tcBorders>
              <w:bottom w:val="single" w:sz="8" w:color="auto"/>
            </w:tcBorders>
            <w:shd w:val="clear" w:color="auto" w:fill="CCEEFF"/>
          </w:tcPr>
          <w:p>
            <w:pPr>
              <w:jc w:val="right"/>
              <w:ind w:right="3"/>
              <w:spacing w:after="0" w:line="163" w:lineRule="exact"/>
              <w:rPr>
                <w:sz w:val="20"/>
                <w:szCs w:val="20"/>
                <w:color w:val="auto"/>
              </w:rPr>
            </w:pPr>
            <w:r>
              <w:rPr>
                <w:rFonts w:ascii="Arial" w:cs="Arial" w:eastAsia="Arial" w:hAnsi="Arial"/>
                <w:sz w:val="15"/>
                <w:szCs w:val="15"/>
                <w:b w:val="1"/>
                <w:bCs w:val="1"/>
                <w:color w:val="auto"/>
              </w:rPr>
              <w:t>43</w:t>
            </w:r>
          </w:p>
        </w:tc>
        <w:tc>
          <w:tcPr>
            <w:tcW w:w="2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shd w:val="clear" w:color="auto" w:fill="CCEEFF"/>
          </w:tcPr>
          <w:p>
            <w:pPr>
              <w:jc w:val="right"/>
              <w:ind w:right="23"/>
              <w:spacing w:after="0" w:line="163" w:lineRule="exact"/>
              <w:rPr>
                <w:sz w:val="20"/>
                <w:szCs w:val="20"/>
                <w:color w:val="auto"/>
              </w:rPr>
            </w:pPr>
            <w:r>
              <w:rPr>
                <w:rFonts w:ascii="Arial" w:cs="Arial" w:eastAsia="Arial" w:hAnsi="Arial"/>
                <w:sz w:val="15"/>
                <w:szCs w:val="15"/>
                <w:color w:val="auto"/>
              </w:rPr>
              <w:t>43</w:t>
            </w:r>
          </w:p>
        </w:tc>
        <w:tc>
          <w:tcPr>
            <w:tcW w:w="2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w:t>
            </w:r>
          </w:p>
        </w:tc>
        <w:tc>
          <w:tcPr>
            <w:tcW w:w="46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46</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660" w:right="140" w:hanging="375"/>
        <w:spacing w:after="0" w:line="246" w:lineRule="auto"/>
        <w:tabs>
          <w:tab w:leader="none" w:pos="660" w:val="left"/>
        </w:tabs>
        <w:numPr>
          <w:ilvl w:val="0"/>
          <w:numId w:val="5"/>
        </w:numPr>
        <w:rPr>
          <w:rFonts w:ascii="Arial" w:cs="Arial" w:eastAsia="Arial" w:hAnsi="Arial"/>
          <w:sz w:val="11"/>
          <w:szCs w:val="11"/>
          <w:color w:val="auto"/>
        </w:rPr>
      </w:pPr>
      <w:r>
        <w:rPr>
          <w:rFonts w:ascii="Arial" w:cs="Arial" w:eastAsia="Arial" w:hAnsi="Arial"/>
          <w:sz w:val="12"/>
          <w:szCs w:val="12"/>
          <w:color w:val="auto"/>
        </w:rPr>
        <w:t>The change in the ending balances also reflects the effect of foreign currency fluctuations due primarily to the movements of the euro in relation to the U.S. dollar.</w:t>
      </w:r>
    </w:p>
    <w:p>
      <w:pPr>
        <w:spacing w:after="0" w:line="247" w:lineRule="exact"/>
        <w:rPr>
          <w:sz w:val="20"/>
          <w:szCs w:val="20"/>
          <w:color w:val="auto"/>
        </w:rPr>
      </w:pPr>
    </w:p>
    <w:p>
      <w:pPr>
        <w:ind w:right="20"/>
        <w:spacing w:after="0" w:line="254" w:lineRule="auto"/>
        <w:rPr>
          <w:sz w:val="20"/>
          <w:szCs w:val="20"/>
          <w:color w:val="auto"/>
        </w:rPr>
      </w:pPr>
      <w:r>
        <w:rPr>
          <w:rFonts w:ascii="Arial" w:cs="Arial" w:eastAsia="Arial" w:hAnsi="Arial"/>
          <w:sz w:val="15"/>
          <w:szCs w:val="15"/>
          <w:color w:val="auto"/>
        </w:rPr>
        <w:t>The annual review of intangible assets with indefinite lives performed during the first quarter of 2018 did not result in the recognition of impairment.</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Amortization expense recorded is as follows:</w:t>
      </w:r>
    </w:p>
    <w:p>
      <w:pPr>
        <w:spacing w:after="0" w:line="126" w:lineRule="exact"/>
        <w:rPr>
          <w:sz w:val="20"/>
          <w:szCs w:val="20"/>
          <w:color w:val="auto"/>
        </w:rPr>
      </w:pPr>
    </w:p>
    <w:p>
      <w:pPr>
        <w:ind w:left="6720"/>
        <w:spacing w:after="0"/>
        <w:rPr>
          <w:sz w:val="20"/>
          <w:szCs w:val="20"/>
          <w:color w:val="auto"/>
        </w:rPr>
      </w:pPr>
      <w:r>
        <w:rPr>
          <w:rFonts w:ascii="Arial" w:cs="Arial" w:eastAsia="Arial" w:hAnsi="Arial"/>
          <w:sz w:val="15"/>
          <w:szCs w:val="15"/>
          <w:b w:val="1"/>
          <w:bCs w:val="1"/>
          <w:color w:val="auto"/>
        </w:rPr>
        <w:t>Thirteen weeks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86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rPr>
              <w:t>($ in millions)</w:t>
            </w:r>
          </w:p>
        </w:tc>
        <w:tc>
          <w:tcPr>
            <w:tcW w:w="46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5"/>
                <w:szCs w:val="15"/>
                <w:b w:val="1"/>
                <w:bCs w:val="1"/>
                <w:color w:val="auto"/>
              </w:rPr>
              <w:t>May 5, 2018</w:t>
            </w:r>
          </w:p>
        </w:tc>
        <w:tc>
          <w:tcPr>
            <w:tcW w:w="3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b w:val="1"/>
                <w:bCs w:val="1"/>
                <w:color w:val="auto"/>
              </w:rPr>
              <w:t>April 29, 2017</w:t>
            </w:r>
          </w:p>
        </w:tc>
        <w:tc>
          <w:tcPr>
            <w:tcW w:w="20" w:type="dxa"/>
            <w:vAlign w:val="bottom"/>
          </w:tcPr>
          <w:p>
            <w:pPr>
              <w:spacing w:after="0"/>
              <w:rPr>
                <w:sz w:val="17"/>
                <w:szCs w:val="17"/>
                <w:color w:val="auto"/>
              </w:rPr>
            </w:pPr>
          </w:p>
        </w:tc>
      </w:tr>
      <w:tr>
        <w:trPr>
          <w:trHeight w:val="187"/>
        </w:trPr>
        <w:tc>
          <w:tcPr>
            <w:tcW w:w="5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Amortization expense</w:t>
            </w:r>
          </w:p>
        </w:tc>
        <w:tc>
          <w:tcPr>
            <w:tcW w:w="4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w:t>
            </w:r>
          </w:p>
        </w:tc>
        <w:tc>
          <w:tcPr>
            <w:tcW w:w="12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1</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16"/>
                <w:szCs w:val="16"/>
                <w:color w:val="auto"/>
              </w:rPr>
            </w:pPr>
          </w:p>
        </w:tc>
      </w:tr>
      <w:tr>
        <w:trPr>
          <w:trHeight w:val="354"/>
        </w:trPr>
        <w:tc>
          <w:tcPr>
            <w:tcW w:w="5860" w:type="dxa"/>
            <w:vAlign w:val="bottom"/>
          </w:tcPr>
          <w:p>
            <w:pPr>
              <w:spacing w:after="0"/>
              <w:rPr>
                <w:sz w:val="20"/>
                <w:szCs w:val="20"/>
                <w:color w:val="auto"/>
              </w:rPr>
            </w:pPr>
            <w:r>
              <w:rPr>
                <w:rFonts w:ascii="Arial" w:cs="Arial" w:eastAsia="Arial" w:hAnsi="Arial"/>
                <w:sz w:val="15"/>
                <w:szCs w:val="15"/>
                <w:color w:val="auto"/>
              </w:rPr>
              <w:t>Estimated future amortization expense for finite-life intangible assets is as follows:</w:t>
            </w: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5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 in millions)</w:t>
            </w:r>
          </w:p>
        </w:tc>
        <w:tc>
          <w:tcPr>
            <w:tcW w:w="20" w:type="dxa"/>
            <w:vAlign w:val="bottom"/>
          </w:tcPr>
          <w:p>
            <w:pPr>
              <w:spacing w:after="0"/>
              <w:rPr>
                <w:sz w:val="19"/>
                <w:szCs w:val="19"/>
                <w:color w:val="auto"/>
              </w:rPr>
            </w:pPr>
          </w:p>
        </w:tc>
      </w:tr>
      <w:tr>
        <w:trPr>
          <w:trHeight w:val="187"/>
        </w:trPr>
        <w:tc>
          <w:tcPr>
            <w:tcW w:w="5860" w:type="dxa"/>
            <w:vAlign w:val="bottom"/>
            <w:shd w:val="clear" w:color="auto" w:fill="CCEEFF"/>
          </w:tcPr>
          <w:p>
            <w:pPr>
              <w:spacing w:after="0"/>
              <w:rPr>
                <w:sz w:val="20"/>
                <w:szCs w:val="20"/>
                <w:color w:val="auto"/>
              </w:rPr>
            </w:pPr>
            <w:r>
              <w:rPr>
                <w:rFonts w:ascii="Arial" w:cs="Arial" w:eastAsia="Arial" w:hAnsi="Arial"/>
                <w:sz w:val="15"/>
                <w:szCs w:val="15"/>
                <w:color w:val="auto"/>
              </w:rPr>
              <w:t>Remainder of 2018</w:t>
            </w:r>
          </w:p>
        </w:tc>
        <w:tc>
          <w:tcPr>
            <w:tcW w:w="4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20" w:type="dxa"/>
            <w:vAlign w:val="bottom"/>
          </w:tcPr>
          <w:p>
            <w:pPr>
              <w:spacing w:after="0"/>
              <w:rPr>
                <w:sz w:val="16"/>
                <w:szCs w:val="16"/>
                <w:color w:val="auto"/>
              </w:rPr>
            </w:pPr>
          </w:p>
        </w:tc>
      </w:tr>
      <w:tr>
        <w:trPr>
          <w:trHeight w:val="207"/>
        </w:trPr>
        <w:tc>
          <w:tcPr>
            <w:tcW w:w="5860" w:type="dxa"/>
            <w:vAlign w:val="bottom"/>
          </w:tcPr>
          <w:p>
            <w:pPr>
              <w:spacing w:after="0"/>
              <w:rPr>
                <w:sz w:val="20"/>
                <w:szCs w:val="20"/>
                <w:color w:val="auto"/>
              </w:rPr>
            </w:pPr>
            <w:r>
              <w:rPr>
                <w:rFonts w:ascii="Arial" w:cs="Arial" w:eastAsia="Arial" w:hAnsi="Arial"/>
                <w:sz w:val="15"/>
                <w:szCs w:val="15"/>
                <w:color w:val="auto"/>
              </w:rPr>
              <w:t>2019</w:t>
            </w:r>
          </w:p>
        </w:tc>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w:t>
            </w:r>
          </w:p>
        </w:tc>
        <w:tc>
          <w:tcPr>
            <w:tcW w:w="20" w:type="dxa"/>
            <w:vAlign w:val="bottom"/>
          </w:tcPr>
          <w:p>
            <w:pPr>
              <w:spacing w:after="0"/>
              <w:rPr>
                <w:sz w:val="17"/>
                <w:szCs w:val="17"/>
                <w:color w:val="auto"/>
              </w:rPr>
            </w:pPr>
          </w:p>
        </w:tc>
      </w:tr>
      <w:tr>
        <w:trPr>
          <w:trHeight w:val="207"/>
        </w:trPr>
        <w:tc>
          <w:tcPr>
            <w:tcW w:w="5860" w:type="dxa"/>
            <w:vAlign w:val="bottom"/>
            <w:shd w:val="clear" w:color="auto" w:fill="CCEEFF"/>
          </w:tcPr>
          <w:p>
            <w:pPr>
              <w:spacing w:after="0"/>
              <w:rPr>
                <w:sz w:val="20"/>
                <w:szCs w:val="20"/>
                <w:color w:val="auto"/>
              </w:rPr>
            </w:pPr>
            <w:r>
              <w:rPr>
                <w:rFonts w:ascii="Arial" w:cs="Arial" w:eastAsia="Arial" w:hAnsi="Arial"/>
                <w:sz w:val="15"/>
                <w:szCs w:val="15"/>
                <w:color w:val="auto"/>
              </w:rPr>
              <w:t>2020</w:t>
            </w:r>
          </w:p>
        </w:tc>
        <w:tc>
          <w:tcPr>
            <w:tcW w:w="4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20" w:type="dxa"/>
            <w:vAlign w:val="bottom"/>
          </w:tcPr>
          <w:p>
            <w:pPr>
              <w:spacing w:after="0"/>
              <w:rPr>
                <w:sz w:val="17"/>
                <w:szCs w:val="17"/>
                <w:color w:val="auto"/>
              </w:rPr>
            </w:pPr>
          </w:p>
        </w:tc>
      </w:tr>
      <w:tr>
        <w:trPr>
          <w:trHeight w:val="207"/>
        </w:trPr>
        <w:tc>
          <w:tcPr>
            <w:tcW w:w="5860" w:type="dxa"/>
            <w:vAlign w:val="bottom"/>
          </w:tcPr>
          <w:p>
            <w:pPr>
              <w:spacing w:after="0"/>
              <w:rPr>
                <w:sz w:val="20"/>
                <w:szCs w:val="20"/>
                <w:color w:val="auto"/>
              </w:rPr>
            </w:pPr>
            <w:r>
              <w:rPr>
                <w:rFonts w:ascii="Arial" w:cs="Arial" w:eastAsia="Arial" w:hAnsi="Arial"/>
                <w:sz w:val="15"/>
                <w:szCs w:val="15"/>
                <w:color w:val="auto"/>
              </w:rPr>
              <w:t>2021</w:t>
            </w:r>
          </w:p>
        </w:tc>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w:t>
            </w:r>
          </w:p>
        </w:tc>
        <w:tc>
          <w:tcPr>
            <w:tcW w:w="20" w:type="dxa"/>
            <w:vAlign w:val="bottom"/>
          </w:tcPr>
          <w:p>
            <w:pPr>
              <w:spacing w:after="0"/>
              <w:rPr>
                <w:sz w:val="17"/>
                <w:szCs w:val="17"/>
                <w:color w:val="auto"/>
              </w:rPr>
            </w:pPr>
          </w:p>
        </w:tc>
      </w:tr>
      <w:tr>
        <w:trPr>
          <w:trHeight w:val="207"/>
        </w:trPr>
        <w:tc>
          <w:tcPr>
            <w:tcW w:w="5860" w:type="dxa"/>
            <w:vAlign w:val="bottom"/>
            <w:shd w:val="clear" w:color="auto" w:fill="CCEEFF"/>
          </w:tcPr>
          <w:p>
            <w:pPr>
              <w:spacing w:after="0"/>
              <w:rPr>
                <w:sz w:val="20"/>
                <w:szCs w:val="20"/>
                <w:color w:val="auto"/>
              </w:rPr>
            </w:pPr>
            <w:r>
              <w:rPr>
                <w:rFonts w:ascii="Arial" w:cs="Arial" w:eastAsia="Arial" w:hAnsi="Arial"/>
                <w:sz w:val="15"/>
                <w:szCs w:val="15"/>
                <w:color w:val="auto"/>
              </w:rPr>
              <w:t>2022</w:t>
            </w:r>
          </w:p>
        </w:tc>
        <w:tc>
          <w:tcPr>
            <w:tcW w:w="4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20" w:type="dxa"/>
            <w:vAlign w:val="bottom"/>
          </w:tcPr>
          <w:p>
            <w:pPr>
              <w:spacing w:after="0"/>
              <w:rPr>
                <w:sz w:val="17"/>
                <w:szCs w:val="17"/>
                <w:color w:val="auto"/>
              </w:rPr>
            </w:pPr>
          </w:p>
        </w:tc>
      </w:tr>
      <w:tr>
        <w:trPr>
          <w:trHeight w:val="207"/>
        </w:trPr>
        <w:tc>
          <w:tcPr>
            <w:tcW w:w="58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2023</w:t>
            </w:r>
          </w:p>
        </w:tc>
        <w:tc>
          <w:tcPr>
            <w:tcW w:w="4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20" w:type="dxa"/>
            <w:vAlign w:val="bottom"/>
          </w:tcPr>
          <w:p>
            <w:pPr>
              <w:spacing w:after="0"/>
              <w:rPr>
                <w:sz w:val="17"/>
                <w:szCs w:val="17"/>
                <w:color w:val="auto"/>
              </w:rPr>
            </w:pPr>
          </w:p>
        </w:tc>
      </w:tr>
      <w:tr>
        <w:trPr>
          <w:trHeight w:val="744"/>
        </w:trPr>
        <w:tc>
          <w:tcPr>
            <w:tcW w:w="5860" w:type="dxa"/>
            <w:vAlign w:val="bottom"/>
          </w:tcPr>
          <w:p>
            <w:pPr>
              <w:ind w:left="4520"/>
              <w:spacing w:after="0"/>
              <w:rPr>
                <w:sz w:val="20"/>
                <w:szCs w:val="20"/>
                <w:color w:val="auto"/>
              </w:rPr>
            </w:pPr>
            <w:r>
              <w:rPr>
                <w:rFonts w:ascii="Arial" w:cs="Arial" w:eastAsia="Arial" w:hAnsi="Arial"/>
                <w:sz w:val="15"/>
                <w:szCs w:val="15"/>
                <w:color w:val="auto"/>
              </w:rPr>
              <w:t>9</w:t>
            </w: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8"/>
        </w:trPr>
        <w:tc>
          <w:tcPr>
            <w:tcW w:w="586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r>
        <w:trPr>
          <w:trHeight w:val="20"/>
        </w:trPr>
        <w:tc>
          <w:tcPr>
            <w:tcW w:w="586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5775325</wp:posOffset>
            </wp:positionH>
            <wp:positionV relativeFrom="paragraph">
              <wp:posOffset>-34925</wp:posOffset>
            </wp:positionV>
            <wp:extent cx="33020" cy="482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-34925</wp:posOffset>
            </wp:positionV>
            <wp:extent cx="33020" cy="482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9120"/>
          </w:cols>
          <w:pgMar w:left="1400" w:top="116" w:right="1379" w:bottom="1440" w:gutter="0" w:footer="0" w:header="0"/>
        </w:sectPr>
      </w:pPr>
    </w:p>
    <w:bookmarkStart w:id="11" w:name="page12"/>
    <w:bookmarkEnd w:id="11"/>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80" w:type="dxa"/>
            <w:vAlign w:val="bottom"/>
          </w:tcPr>
          <w:p>
            <w:pPr>
              <w:spacing w:after="0"/>
              <w:rPr>
                <w:sz w:val="20"/>
                <w:szCs w:val="20"/>
                <w:color w:val="auto"/>
              </w:rPr>
            </w:pPr>
            <w:r>
              <w:rPr>
                <w:rFonts w:ascii="Arial" w:cs="Arial" w:eastAsia="Arial" w:hAnsi="Arial"/>
                <w:sz w:val="15"/>
                <w:szCs w:val="15"/>
                <w:b w:val="1"/>
                <w:bCs w:val="1"/>
                <w:color w:val="auto"/>
              </w:rPr>
              <w:t>8. Accumulated Other Comprehensive Loss</w:t>
            </w:r>
          </w:p>
        </w:tc>
        <w:tc>
          <w:tcPr>
            <w:tcW w:w="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80"/>
        </w:trPr>
        <w:tc>
          <w:tcPr>
            <w:tcW w:w="6360" w:type="dxa"/>
            <w:vAlign w:val="bottom"/>
            <w:gridSpan w:val="3"/>
          </w:tcPr>
          <w:p>
            <w:pPr>
              <w:spacing w:after="0"/>
              <w:rPr>
                <w:sz w:val="20"/>
                <w:szCs w:val="20"/>
                <w:color w:val="auto"/>
              </w:rPr>
            </w:pPr>
            <w:r>
              <w:rPr>
                <w:rFonts w:ascii="Arial" w:cs="Arial" w:eastAsia="Arial" w:hAnsi="Arial"/>
                <w:sz w:val="15"/>
                <w:szCs w:val="15"/>
                <w:color w:val="auto"/>
              </w:rPr>
              <w:t>Accumulated other comprehensive loss (“AOCL”), net of tax, is comprised of the following:</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2"/>
        </w:trPr>
        <w:tc>
          <w:tcPr>
            <w:tcW w:w="4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jc w:val="right"/>
              <w:ind w:right="523"/>
              <w:spacing w:after="0"/>
              <w:rPr>
                <w:sz w:val="20"/>
                <w:szCs w:val="20"/>
                <w:color w:val="auto"/>
              </w:rPr>
            </w:pPr>
            <w:r>
              <w:rPr>
                <w:rFonts w:ascii="Arial" w:cs="Arial" w:eastAsia="Arial" w:hAnsi="Arial"/>
                <w:sz w:val="15"/>
                <w:szCs w:val="15"/>
                <w:b w:val="1"/>
                <w:bCs w:val="1"/>
                <w:color w:val="auto"/>
              </w:rPr>
              <w:t>May 5,</w:t>
            </w:r>
          </w:p>
        </w:tc>
        <w:tc>
          <w:tcPr>
            <w:tcW w:w="320" w:type="dxa"/>
            <w:vAlign w:val="bottom"/>
          </w:tcPr>
          <w:p>
            <w:pPr>
              <w:spacing w:after="0"/>
              <w:rPr>
                <w:sz w:val="19"/>
                <w:szCs w:val="19"/>
                <w:color w:val="auto"/>
              </w:rPr>
            </w:pPr>
          </w:p>
        </w:tc>
        <w:tc>
          <w:tcPr>
            <w:tcW w:w="1160" w:type="dxa"/>
            <w:vAlign w:val="bottom"/>
          </w:tcPr>
          <w:p>
            <w:pPr>
              <w:jc w:val="right"/>
              <w:ind w:right="443"/>
              <w:spacing w:after="0"/>
              <w:rPr>
                <w:sz w:val="20"/>
                <w:szCs w:val="20"/>
                <w:color w:val="auto"/>
              </w:rPr>
            </w:pPr>
            <w:r>
              <w:rPr>
                <w:rFonts w:ascii="Arial" w:cs="Arial" w:eastAsia="Arial" w:hAnsi="Arial"/>
                <w:sz w:val="15"/>
                <w:szCs w:val="15"/>
                <w:b w:val="1"/>
                <w:bCs w:val="1"/>
                <w:color w:val="auto"/>
              </w:rPr>
              <w:t>April 29,</w:t>
            </w:r>
          </w:p>
        </w:tc>
        <w:tc>
          <w:tcPr>
            <w:tcW w:w="1260" w:type="dxa"/>
            <w:vAlign w:val="bottom"/>
            <w:gridSpan w:val="2"/>
          </w:tcPr>
          <w:p>
            <w:pPr>
              <w:jc w:val="right"/>
              <w:ind w:right="123"/>
              <w:spacing w:after="0"/>
              <w:rPr>
                <w:sz w:val="20"/>
                <w:szCs w:val="20"/>
                <w:color w:val="auto"/>
              </w:rPr>
            </w:pPr>
            <w:r>
              <w:rPr>
                <w:rFonts w:ascii="Arial" w:cs="Arial" w:eastAsia="Arial" w:hAnsi="Arial"/>
                <w:sz w:val="15"/>
                <w:szCs w:val="15"/>
                <w:b w:val="1"/>
                <w:bCs w:val="1"/>
                <w:color w:val="auto"/>
              </w:rPr>
              <w:t>February 3,</w:t>
            </w:r>
          </w:p>
        </w:tc>
      </w:tr>
      <w:tr>
        <w:trPr>
          <w:trHeight w:val="194"/>
        </w:trPr>
        <w:tc>
          <w:tcPr>
            <w:tcW w:w="4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83"/>
              <w:spacing w:after="0"/>
              <w:rPr>
                <w:sz w:val="20"/>
                <w:szCs w:val="20"/>
                <w:color w:val="auto"/>
              </w:rPr>
            </w:pPr>
            <w:r>
              <w:rPr>
                <w:rFonts w:ascii="Arial" w:cs="Arial" w:eastAsia="Arial" w:hAnsi="Arial"/>
                <w:sz w:val="15"/>
                <w:szCs w:val="15"/>
                <w:b w:val="1"/>
                <w:bCs w:val="1"/>
                <w:color w:val="auto"/>
              </w:rPr>
              <w:t>2018</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63"/>
              <w:spacing w:after="0"/>
              <w:rPr>
                <w:sz w:val="20"/>
                <w:szCs w:val="20"/>
                <w:color w:val="auto"/>
              </w:rPr>
            </w:pPr>
            <w:r>
              <w:rPr>
                <w:rFonts w:ascii="Arial" w:cs="Arial" w:eastAsia="Arial" w:hAnsi="Arial"/>
                <w:sz w:val="15"/>
                <w:szCs w:val="15"/>
                <w:b w:val="1"/>
                <w:bCs w:val="1"/>
                <w:color w:val="auto"/>
              </w:rPr>
              <w:t>2017</w:t>
            </w: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2018</w:t>
            </w:r>
          </w:p>
        </w:tc>
      </w:tr>
      <w:tr>
        <w:trPr>
          <w:trHeight w:val="187"/>
        </w:trPr>
        <w:tc>
          <w:tcPr>
            <w:tcW w:w="43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200"/>
              <w:spacing w:after="0"/>
              <w:rPr>
                <w:sz w:val="20"/>
                <w:szCs w:val="20"/>
                <w:color w:val="auto"/>
              </w:rPr>
            </w:pPr>
            <w:r>
              <w:rPr>
                <w:rFonts w:ascii="Arial" w:cs="Arial" w:eastAsia="Arial" w:hAnsi="Arial"/>
                <w:sz w:val="15"/>
                <w:szCs w:val="15"/>
                <w:color w:val="auto"/>
              </w:rPr>
              <w:t>($ in millions)</w:t>
            </w: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87"/>
        </w:trPr>
        <w:tc>
          <w:tcPr>
            <w:tcW w:w="4380" w:type="dxa"/>
            <w:vAlign w:val="bottom"/>
            <w:shd w:val="clear" w:color="auto" w:fill="CCEEFF"/>
          </w:tcPr>
          <w:p>
            <w:pPr>
              <w:spacing w:after="0"/>
              <w:rPr>
                <w:sz w:val="20"/>
                <w:szCs w:val="20"/>
                <w:color w:val="auto"/>
              </w:rPr>
            </w:pPr>
            <w:r>
              <w:rPr>
                <w:rFonts w:ascii="Arial" w:cs="Arial" w:eastAsia="Arial" w:hAnsi="Arial"/>
                <w:sz w:val="15"/>
                <w:szCs w:val="15"/>
                <w:color w:val="auto"/>
              </w:rPr>
              <w:t>Foreign currency translation adjustments</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4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(47)</w:t>
            </w:r>
          </w:p>
        </w:tc>
        <w:tc>
          <w:tcPr>
            <w:tcW w:w="3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(123)</w:t>
            </w:r>
          </w:p>
        </w:tc>
        <w:tc>
          <w:tcPr>
            <w:tcW w:w="3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w:t>
            </w:r>
          </w:p>
        </w:tc>
      </w:tr>
      <w:tr>
        <w:trPr>
          <w:trHeight w:val="207"/>
        </w:trPr>
        <w:tc>
          <w:tcPr>
            <w:tcW w:w="4380" w:type="dxa"/>
            <w:vAlign w:val="bottom"/>
          </w:tcPr>
          <w:p>
            <w:pPr>
              <w:spacing w:after="0"/>
              <w:rPr>
                <w:sz w:val="20"/>
                <w:szCs w:val="20"/>
                <w:color w:val="auto"/>
              </w:rPr>
            </w:pPr>
            <w:r>
              <w:rPr>
                <w:rFonts w:ascii="Arial" w:cs="Arial" w:eastAsia="Arial" w:hAnsi="Arial"/>
                <w:sz w:val="15"/>
                <w:szCs w:val="15"/>
                <w:color w:val="auto"/>
              </w:rPr>
              <w:t>Cash flow hedges</w:t>
            </w:r>
          </w:p>
        </w:tc>
        <w:tc>
          <w:tcPr>
            <w:tcW w:w="840" w:type="dxa"/>
            <w:vAlign w:val="bottom"/>
          </w:tcPr>
          <w:p>
            <w:pPr>
              <w:spacing w:after="0"/>
              <w:rPr>
                <w:sz w:val="17"/>
                <w:szCs w:val="17"/>
                <w:color w:val="auto"/>
              </w:rPr>
            </w:pPr>
          </w:p>
        </w:tc>
        <w:tc>
          <w:tcPr>
            <w:tcW w:w="1140" w:type="dxa"/>
            <w:vAlign w:val="bottom"/>
          </w:tcPr>
          <w:p>
            <w:pPr>
              <w:jc w:val="right"/>
              <w:ind w:right="163"/>
              <w:spacing w:after="0"/>
              <w:rPr>
                <w:sz w:val="20"/>
                <w:szCs w:val="20"/>
                <w:color w:val="auto"/>
              </w:rPr>
            </w:pPr>
            <w:r>
              <w:rPr>
                <w:rFonts w:ascii="Arial" w:cs="Arial" w:eastAsia="Arial" w:hAnsi="Arial"/>
                <w:sz w:val="15"/>
                <w:szCs w:val="15"/>
                <w:b w:val="1"/>
                <w:bCs w:val="1"/>
                <w:color w:val="auto"/>
              </w:rPr>
              <w:t>1</w:t>
            </w:r>
          </w:p>
        </w:tc>
        <w:tc>
          <w:tcPr>
            <w:tcW w:w="320" w:type="dxa"/>
            <w:vAlign w:val="bottom"/>
          </w:tcPr>
          <w:p>
            <w:pPr>
              <w:spacing w:after="0"/>
              <w:rPr>
                <w:sz w:val="17"/>
                <w:szCs w:val="17"/>
                <w:color w:val="auto"/>
              </w:rPr>
            </w:pPr>
          </w:p>
        </w:tc>
        <w:tc>
          <w:tcPr>
            <w:tcW w:w="116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4380" w:type="dxa"/>
            <w:vAlign w:val="bottom"/>
            <w:shd w:val="clear" w:color="auto" w:fill="CCEEFF"/>
          </w:tcPr>
          <w:p>
            <w:pPr>
              <w:spacing w:after="0"/>
              <w:rPr>
                <w:sz w:val="20"/>
                <w:szCs w:val="20"/>
                <w:color w:val="auto"/>
              </w:rPr>
            </w:pPr>
            <w:r>
              <w:rPr>
                <w:rFonts w:ascii="Arial" w:cs="Arial" w:eastAsia="Arial" w:hAnsi="Arial"/>
                <w:sz w:val="15"/>
                <w:szCs w:val="15"/>
                <w:color w:val="auto"/>
              </w:rPr>
              <w:t>Unrecognized pension cost and postretirement benefit</w:t>
            </w:r>
          </w:p>
        </w:tc>
        <w:tc>
          <w:tcPr>
            <w:tcW w:w="8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(267)</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(233)</w:t>
            </w: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(270)</w:t>
            </w:r>
          </w:p>
        </w:tc>
      </w:tr>
      <w:tr>
        <w:trPr>
          <w:trHeight w:val="207"/>
        </w:trPr>
        <w:tc>
          <w:tcPr>
            <w:tcW w:w="43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Unrealized loss on available-for-sale security</w:t>
            </w:r>
          </w:p>
        </w:tc>
        <w:tc>
          <w:tcPr>
            <w:tcW w:w="8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(1)</w:t>
            </w: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79"/>
        </w:trPr>
        <w:tc>
          <w:tcPr>
            <w:tcW w:w="43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4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(313)</w:t>
            </w:r>
          </w:p>
        </w:tc>
        <w:tc>
          <w:tcPr>
            <w:tcW w:w="3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(357)</w:t>
            </w:r>
          </w:p>
        </w:tc>
        <w:tc>
          <w:tcPr>
            <w:tcW w:w="3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(279)</w:t>
            </w:r>
          </w:p>
        </w:tc>
      </w:tr>
    </w:tbl>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00" w:type="dxa"/>
            <w:vAlign w:val="bottom"/>
            <w:gridSpan w:val="4"/>
          </w:tcPr>
          <w:p>
            <w:pPr>
              <w:spacing w:after="0"/>
              <w:rPr>
                <w:sz w:val="20"/>
                <w:szCs w:val="20"/>
                <w:color w:val="auto"/>
              </w:rPr>
            </w:pPr>
            <w:r>
              <w:rPr>
                <w:rFonts w:ascii="Arial" w:cs="Arial" w:eastAsia="Arial" w:hAnsi="Arial"/>
                <w:sz w:val="15"/>
                <w:szCs w:val="15"/>
                <w:color w:val="auto"/>
              </w:rPr>
              <w:t>The changes in AOCL for the thirteen weeks ended May 5, 2018 were as follows:</w:t>
            </w: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5"/>
        </w:trPr>
        <w:tc>
          <w:tcPr>
            <w:tcW w:w="3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gridSpan w:val="2"/>
          </w:tcPr>
          <w:p>
            <w:pPr>
              <w:jc w:val="center"/>
              <w:ind w:right="23"/>
              <w:spacing w:after="0"/>
              <w:rPr>
                <w:sz w:val="20"/>
                <w:szCs w:val="20"/>
                <w:color w:val="auto"/>
              </w:rPr>
            </w:pPr>
            <w:r>
              <w:rPr>
                <w:rFonts w:ascii="Arial" w:cs="Arial" w:eastAsia="Arial" w:hAnsi="Arial"/>
                <w:sz w:val="15"/>
                <w:szCs w:val="15"/>
                <w:b w:val="1"/>
                <w:bCs w:val="1"/>
                <w:color w:val="auto"/>
              </w:rPr>
              <w:t>Items Related</w:t>
            </w: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182"/>
        </w:trPr>
        <w:tc>
          <w:tcPr>
            <w:tcW w:w="3380" w:type="dxa"/>
            <w:vAlign w:val="bottom"/>
          </w:tcPr>
          <w:p>
            <w:pPr>
              <w:spacing w:after="0"/>
              <w:rPr>
                <w:sz w:val="15"/>
                <w:szCs w:val="15"/>
                <w:color w:val="auto"/>
              </w:rPr>
            </w:pPr>
          </w:p>
        </w:tc>
        <w:tc>
          <w:tcPr>
            <w:tcW w:w="1500" w:type="dxa"/>
            <w:vAlign w:val="bottom"/>
            <w:gridSpan w:val="2"/>
          </w:tcPr>
          <w:p>
            <w:pPr>
              <w:jc w:val="center"/>
              <w:ind w:right="103"/>
              <w:spacing w:after="0"/>
              <w:rPr>
                <w:sz w:val="20"/>
                <w:szCs w:val="20"/>
                <w:color w:val="auto"/>
              </w:rPr>
            </w:pPr>
            <w:r>
              <w:rPr>
                <w:rFonts w:ascii="Arial" w:cs="Arial" w:eastAsia="Arial" w:hAnsi="Arial"/>
                <w:sz w:val="15"/>
                <w:szCs w:val="15"/>
                <w:b w:val="1"/>
                <w:bCs w:val="1"/>
                <w:color w:val="auto"/>
              </w:rPr>
              <w:t>Foreign Currency</w:t>
            </w: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gridSpan w:val="2"/>
          </w:tcPr>
          <w:p>
            <w:pPr>
              <w:jc w:val="center"/>
              <w:ind w:right="23"/>
              <w:spacing w:after="0"/>
              <w:rPr>
                <w:sz w:val="20"/>
                <w:szCs w:val="20"/>
                <w:color w:val="auto"/>
              </w:rPr>
            </w:pPr>
            <w:r>
              <w:rPr>
                <w:rFonts w:ascii="Arial" w:cs="Arial" w:eastAsia="Arial" w:hAnsi="Arial"/>
                <w:sz w:val="15"/>
                <w:szCs w:val="15"/>
                <w:b w:val="1"/>
                <w:bCs w:val="1"/>
                <w:color w:val="auto"/>
              </w:rPr>
              <w:t>to Pension and</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2"/>
        </w:trPr>
        <w:tc>
          <w:tcPr>
            <w:tcW w:w="3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center"/>
              <w:ind w:right="343"/>
              <w:spacing w:after="0"/>
              <w:rPr>
                <w:sz w:val="20"/>
                <w:szCs w:val="20"/>
                <w:color w:val="auto"/>
              </w:rPr>
            </w:pPr>
            <w:r>
              <w:rPr>
                <w:rFonts w:ascii="Arial" w:cs="Arial" w:eastAsia="Arial" w:hAnsi="Arial"/>
                <w:sz w:val="15"/>
                <w:szCs w:val="15"/>
                <w:b w:val="1"/>
                <w:bCs w:val="1"/>
                <w:color w:val="auto"/>
              </w:rPr>
              <w:t>Translation</w:t>
            </w:r>
          </w:p>
        </w:tc>
        <w:tc>
          <w:tcPr>
            <w:tcW w:w="1120" w:type="dxa"/>
            <w:vAlign w:val="bottom"/>
          </w:tcPr>
          <w:p>
            <w:pPr>
              <w:jc w:val="right"/>
              <w:ind w:right="3"/>
              <w:spacing w:after="0"/>
              <w:rPr>
                <w:sz w:val="20"/>
                <w:szCs w:val="20"/>
                <w:color w:val="auto"/>
              </w:rPr>
            </w:pPr>
            <w:r>
              <w:rPr>
                <w:rFonts w:ascii="Arial" w:cs="Arial" w:eastAsia="Arial" w:hAnsi="Arial"/>
                <w:sz w:val="15"/>
                <w:szCs w:val="15"/>
                <w:b w:val="1"/>
                <w:bCs w:val="1"/>
                <w:color w:val="auto"/>
              </w:rPr>
              <w:t>Cash Flow</w:t>
            </w:r>
          </w:p>
        </w:tc>
        <w:tc>
          <w:tcPr>
            <w:tcW w:w="320" w:type="dxa"/>
            <w:vAlign w:val="bottom"/>
          </w:tcPr>
          <w:p>
            <w:pPr>
              <w:spacing w:after="0"/>
              <w:rPr>
                <w:sz w:val="15"/>
                <w:szCs w:val="15"/>
                <w:color w:val="auto"/>
              </w:rPr>
            </w:pPr>
          </w:p>
        </w:tc>
        <w:tc>
          <w:tcPr>
            <w:tcW w:w="1460" w:type="dxa"/>
            <w:vAlign w:val="bottom"/>
            <w:gridSpan w:val="2"/>
          </w:tcPr>
          <w:p>
            <w:pPr>
              <w:jc w:val="center"/>
              <w:ind w:right="23"/>
              <w:spacing w:after="0"/>
              <w:rPr>
                <w:sz w:val="20"/>
                <w:szCs w:val="20"/>
                <w:color w:val="auto"/>
              </w:rPr>
            </w:pPr>
            <w:r>
              <w:rPr>
                <w:rFonts w:ascii="Arial" w:cs="Arial" w:eastAsia="Arial" w:hAnsi="Arial"/>
                <w:sz w:val="15"/>
                <w:szCs w:val="15"/>
                <w:b w:val="1"/>
                <w:bCs w:val="1"/>
                <w:color w:val="auto"/>
              </w:rPr>
              <w:t>Postretirement</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94"/>
        </w:trPr>
        <w:tc>
          <w:tcPr>
            <w:tcW w:w="33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 in millions)</w:t>
            </w:r>
          </w:p>
        </w:tc>
        <w:tc>
          <w:tcPr>
            <w:tcW w:w="1500" w:type="dxa"/>
            <w:vAlign w:val="bottom"/>
            <w:tcBorders>
              <w:bottom w:val="single" w:sz="8" w:color="auto"/>
            </w:tcBorders>
            <w:gridSpan w:val="2"/>
          </w:tcPr>
          <w:p>
            <w:pPr>
              <w:jc w:val="center"/>
              <w:ind w:right="103"/>
              <w:spacing w:after="0"/>
              <w:rPr>
                <w:sz w:val="20"/>
                <w:szCs w:val="20"/>
                <w:color w:val="auto"/>
              </w:rPr>
            </w:pPr>
            <w:r>
              <w:rPr>
                <w:rFonts w:ascii="Arial" w:cs="Arial" w:eastAsia="Arial" w:hAnsi="Arial"/>
                <w:sz w:val="15"/>
                <w:szCs w:val="15"/>
                <w:b w:val="1"/>
                <w:bCs w:val="1"/>
                <w:color w:val="auto"/>
              </w:rPr>
              <w:t>Adjustments</w:t>
            </w:r>
          </w:p>
        </w:tc>
        <w:tc>
          <w:tcPr>
            <w:tcW w:w="112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Hedges</w:t>
            </w: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43"/>
              <w:spacing w:after="0"/>
              <w:rPr>
                <w:sz w:val="20"/>
                <w:szCs w:val="20"/>
                <w:color w:val="auto"/>
              </w:rPr>
            </w:pPr>
            <w:r>
              <w:rPr>
                <w:rFonts w:ascii="Arial" w:cs="Arial" w:eastAsia="Arial" w:hAnsi="Arial"/>
                <w:sz w:val="15"/>
                <w:szCs w:val="15"/>
                <w:b w:val="1"/>
                <w:bCs w:val="1"/>
                <w:color w:val="auto"/>
              </w:rPr>
              <w:t>Benefits</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Total</w:t>
            </w:r>
          </w:p>
        </w:tc>
      </w:tr>
      <w:tr>
        <w:trPr>
          <w:trHeight w:val="187"/>
        </w:trPr>
        <w:tc>
          <w:tcPr>
            <w:tcW w:w="3380" w:type="dxa"/>
            <w:vAlign w:val="bottom"/>
            <w:shd w:val="clear" w:color="auto" w:fill="CCEEFF"/>
          </w:tcPr>
          <w:p>
            <w:pPr>
              <w:spacing w:after="0"/>
              <w:rPr>
                <w:sz w:val="20"/>
                <w:szCs w:val="20"/>
                <w:color w:val="auto"/>
              </w:rPr>
            </w:pPr>
            <w:r>
              <w:rPr>
                <w:rFonts w:ascii="Arial" w:cs="Arial" w:eastAsia="Arial" w:hAnsi="Arial"/>
                <w:sz w:val="15"/>
                <w:szCs w:val="15"/>
                <w:color w:val="auto"/>
              </w:rPr>
              <w:t>Balance as of February 3, 2018</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(9)</w:t>
            </w:r>
          </w:p>
        </w:tc>
        <w:tc>
          <w:tcPr>
            <w:tcW w:w="1120" w:type="dxa"/>
            <w:vAlign w:val="bottom"/>
            <w:shd w:val="clear" w:color="auto" w:fill="CCEEFF"/>
          </w:tcPr>
          <w:p>
            <w:pPr>
              <w:jc w:val="right"/>
              <w:ind w:right="803"/>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jc w:val="center"/>
              <w:ind w:right="3"/>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(270)</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(279)</w:t>
            </w:r>
          </w:p>
        </w:tc>
      </w:tr>
      <w:tr>
        <w:trPr>
          <w:trHeight w:val="207"/>
        </w:trPr>
        <w:tc>
          <w:tcPr>
            <w:tcW w:w="3380" w:type="dxa"/>
            <w:vAlign w:val="bottom"/>
          </w:tcPr>
          <w:p>
            <w:pPr>
              <w:spacing w:after="0"/>
              <w:rPr>
                <w:sz w:val="20"/>
                <w:szCs w:val="20"/>
                <w:color w:val="auto"/>
              </w:rPr>
            </w:pPr>
            <w:r>
              <w:rPr>
                <w:rFonts w:ascii="Arial" w:cs="Arial" w:eastAsia="Arial" w:hAnsi="Arial"/>
                <w:sz w:val="15"/>
                <w:szCs w:val="15"/>
                <w:color w:val="auto"/>
              </w:rPr>
              <w:t>OCI before reclassification</w:t>
            </w:r>
          </w:p>
        </w:tc>
        <w:tc>
          <w:tcPr>
            <w:tcW w:w="260" w:type="dxa"/>
            <w:vAlign w:val="bottom"/>
          </w:tcPr>
          <w:p>
            <w:pPr>
              <w:spacing w:after="0"/>
              <w:rPr>
                <w:sz w:val="17"/>
                <w:szCs w:val="17"/>
                <w:color w:val="auto"/>
              </w:rPr>
            </w:pPr>
          </w:p>
        </w:tc>
        <w:tc>
          <w:tcPr>
            <w:tcW w:w="1240" w:type="dxa"/>
            <w:vAlign w:val="bottom"/>
          </w:tcPr>
          <w:p>
            <w:pPr>
              <w:jc w:val="right"/>
              <w:ind w:right="83"/>
              <w:spacing w:after="0"/>
              <w:rPr>
                <w:sz w:val="20"/>
                <w:szCs w:val="20"/>
                <w:color w:val="auto"/>
              </w:rPr>
            </w:pPr>
            <w:r>
              <w:rPr>
                <w:rFonts w:ascii="Arial" w:cs="Arial" w:eastAsia="Arial" w:hAnsi="Arial"/>
                <w:sz w:val="15"/>
                <w:szCs w:val="15"/>
                <w:color w:val="auto"/>
              </w:rPr>
              <w:t>(38)</w:t>
            </w:r>
          </w:p>
        </w:tc>
        <w:tc>
          <w:tcPr>
            <w:tcW w:w="1120" w:type="dxa"/>
            <w:vAlign w:val="bottom"/>
          </w:tcPr>
          <w:p>
            <w:pPr>
              <w:spacing w:after="0"/>
              <w:rPr>
                <w:sz w:val="17"/>
                <w:szCs w:val="17"/>
                <w:color w:val="auto"/>
              </w:rPr>
            </w:pPr>
          </w:p>
        </w:tc>
        <w:tc>
          <w:tcPr>
            <w:tcW w:w="320" w:type="dxa"/>
            <w:vAlign w:val="bottom"/>
          </w:tcPr>
          <w:p>
            <w:pPr>
              <w:jc w:val="center"/>
              <w:ind w:right="23"/>
              <w:spacing w:after="0"/>
              <w:rPr>
                <w:sz w:val="20"/>
                <w:szCs w:val="20"/>
                <w:color w:val="auto"/>
              </w:rPr>
            </w:pPr>
            <w:r>
              <w:rPr>
                <w:rFonts w:ascii="Arial" w:cs="Arial" w:eastAsia="Arial" w:hAnsi="Arial"/>
                <w:sz w:val="15"/>
                <w:szCs w:val="15"/>
                <w:color w:val="auto"/>
              </w:rPr>
              <w:t>1</w:t>
            </w:r>
          </w:p>
        </w:tc>
        <w:tc>
          <w:tcPr>
            <w:tcW w:w="320" w:type="dxa"/>
            <w:vAlign w:val="bottom"/>
          </w:tcPr>
          <w:p>
            <w:pPr>
              <w:spacing w:after="0"/>
              <w:rPr>
                <w:sz w:val="17"/>
                <w:szCs w:val="17"/>
                <w:color w:val="auto"/>
              </w:rPr>
            </w:pPr>
          </w:p>
        </w:tc>
        <w:tc>
          <w:tcPr>
            <w:tcW w:w="1140" w:type="dxa"/>
            <w:vAlign w:val="bottom"/>
          </w:tcPr>
          <w:p>
            <w:pPr>
              <w:jc w:val="right"/>
              <w:ind w:right="83"/>
              <w:spacing w:after="0"/>
              <w:rPr>
                <w:sz w:val="20"/>
                <w:szCs w:val="20"/>
                <w:color w:val="auto"/>
              </w:rPr>
            </w:pPr>
            <w:r>
              <w:rPr>
                <w:rFonts w:ascii="Arial" w:cs="Arial" w:eastAsia="Arial" w:hAnsi="Arial"/>
                <w:sz w:val="15"/>
                <w:szCs w:val="15"/>
                <w:color w:val="auto"/>
              </w:rPr>
              <w:t>1</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(36)</w:t>
            </w:r>
          </w:p>
        </w:tc>
      </w:tr>
      <w:tr>
        <w:trPr>
          <w:trHeight w:val="207"/>
        </w:trPr>
        <w:tc>
          <w:tcPr>
            <w:tcW w:w="3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Reclassified from AOCL</w:t>
            </w:r>
          </w:p>
        </w:tc>
        <w:tc>
          <w:tcPr>
            <w:tcW w:w="2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center"/>
              <w:ind w:right="3"/>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2</w:t>
            </w:r>
          </w:p>
        </w:tc>
        <w:tc>
          <w:tcPr>
            <w:tcW w:w="2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w:t>
            </w:r>
          </w:p>
        </w:tc>
      </w:tr>
      <w:tr>
        <w:trPr>
          <w:trHeight w:val="187"/>
        </w:trPr>
        <w:tc>
          <w:tcPr>
            <w:tcW w:w="33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Other comprehensive income</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(38)</w:t>
            </w:r>
          </w:p>
        </w:tc>
        <w:tc>
          <w:tcPr>
            <w:tcW w:w="1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center"/>
              <w:ind w:right="23"/>
              <w:spacing w:after="0"/>
              <w:rPr>
                <w:sz w:val="20"/>
                <w:szCs w:val="20"/>
                <w:color w:val="auto"/>
              </w:rPr>
            </w:pPr>
            <w:r>
              <w:rPr>
                <w:rFonts w:ascii="Arial" w:cs="Arial" w:eastAsia="Arial" w:hAnsi="Arial"/>
                <w:sz w:val="15"/>
                <w:szCs w:val="15"/>
                <w:color w:val="auto"/>
              </w:rPr>
              <w:t>1</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3</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w:t>
            </w:r>
          </w:p>
        </w:tc>
      </w:tr>
      <w:tr>
        <w:trPr>
          <w:trHeight w:val="179"/>
        </w:trPr>
        <w:tc>
          <w:tcPr>
            <w:tcW w:w="3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Balance as of May 5, 2018</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(47)</w:t>
            </w:r>
          </w:p>
        </w:tc>
        <w:tc>
          <w:tcPr>
            <w:tcW w:w="1120" w:type="dxa"/>
            <w:vAlign w:val="bottom"/>
            <w:tcBorders>
              <w:bottom w:val="single" w:sz="8" w:color="auto"/>
            </w:tcBorders>
            <w:shd w:val="clear" w:color="auto" w:fill="CCEEFF"/>
          </w:tcPr>
          <w:p>
            <w:pPr>
              <w:jc w:val="right"/>
              <w:ind w:right="803"/>
              <w:spacing w:after="0"/>
              <w:rPr>
                <w:sz w:val="20"/>
                <w:szCs w:val="20"/>
                <w:color w:val="auto"/>
              </w:rPr>
            </w:pPr>
            <w:r>
              <w:rPr>
                <w:rFonts w:ascii="Arial" w:cs="Arial" w:eastAsia="Arial" w:hAnsi="Arial"/>
                <w:sz w:val="15"/>
                <w:szCs w:val="15"/>
                <w:b w:val="1"/>
                <w:bCs w:val="1"/>
                <w:color w:val="auto"/>
              </w:rPr>
              <w:t>$</w:t>
            </w:r>
          </w:p>
        </w:tc>
        <w:tc>
          <w:tcPr>
            <w:tcW w:w="320" w:type="dxa"/>
            <w:vAlign w:val="bottom"/>
            <w:tcBorders>
              <w:bottom w:val="single" w:sz="8" w:color="auto"/>
            </w:tcBorders>
            <w:shd w:val="clear" w:color="auto" w:fill="CCEEFF"/>
          </w:tcPr>
          <w:p>
            <w:pPr>
              <w:jc w:val="center"/>
              <w:ind w:right="23"/>
              <w:spacing w:after="0"/>
              <w:rPr>
                <w:sz w:val="20"/>
                <w:szCs w:val="20"/>
                <w:color w:val="auto"/>
              </w:rPr>
            </w:pPr>
            <w:r>
              <w:rPr>
                <w:rFonts w:ascii="Arial" w:cs="Arial" w:eastAsia="Arial" w:hAnsi="Arial"/>
                <w:sz w:val="15"/>
                <w:szCs w:val="15"/>
                <w:b w:val="1"/>
                <w:bCs w:val="1"/>
                <w:color w:val="auto"/>
              </w:rPr>
              <w:t>1</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(267)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(313)</w:t>
            </w:r>
          </w:p>
        </w:tc>
      </w:tr>
      <w:tr>
        <w:trPr>
          <w:trHeight w:val="289"/>
        </w:trPr>
        <w:tc>
          <w:tcPr>
            <w:tcW w:w="6000" w:type="dxa"/>
            <w:vAlign w:val="bottom"/>
            <w:gridSpan w:val="4"/>
          </w:tcPr>
          <w:p>
            <w:pPr>
              <w:spacing w:after="0"/>
              <w:rPr>
                <w:sz w:val="20"/>
                <w:szCs w:val="20"/>
                <w:color w:val="auto"/>
              </w:rPr>
            </w:pPr>
            <w:r>
              <w:rPr>
                <w:rFonts w:ascii="Arial" w:cs="Arial" w:eastAsia="Arial" w:hAnsi="Arial"/>
                <w:sz w:val="15"/>
                <w:szCs w:val="15"/>
                <w:color w:val="auto"/>
              </w:rPr>
              <w:t>Reclassifications from AOCL for the thirteen weeks ended May 5, 2018 were as follows:</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0"/>
        </w:trPr>
        <w:tc>
          <w:tcPr>
            <w:tcW w:w="33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rPr>
              <w:t>in millions)</w:t>
            </w:r>
          </w:p>
        </w:tc>
      </w:tr>
      <w:tr>
        <w:trPr>
          <w:trHeight w:val="187"/>
        </w:trPr>
        <w:tc>
          <w:tcPr>
            <w:tcW w:w="3380" w:type="dxa"/>
            <w:vAlign w:val="bottom"/>
            <w:shd w:val="clear" w:color="auto" w:fill="CCEEFF"/>
          </w:tcPr>
          <w:p>
            <w:pPr>
              <w:spacing w:after="0"/>
              <w:rPr>
                <w:sz w:val="20"/>
                <w:szCs w:val="20"/>
                <w:color w:val="auto"/>
              </w:rPr>
            </w:pPr>
            <w:r>
              <w:rPr>
                <w:rFonts w:ascii="Arial" w:cs="Arial" w:eastAsia="Arial" w:hAnsi="Arial"/>
                <w:sz w:val="15"/>
                <w:szCs w:val="15"/>
                <w:color w:val="auto"/>
              </w:rPr>
              <w:t>Amortization of actuarial (gain) loss:</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07"/>
        </w:trPr>
        <w:tc>
          <w:tcPr>
            <w:tcW w:w="3380" w:type="dxa"/>
            <w:vAlign w:val="bottom"/>
          </w:tcPr>
          <w:p>
            <w:pPr>
              <w:ind w:left="180"/>
              <w:spacing w:after="0"/>
              <w:rPr>
                <w:sz w:val="20"/>
                <w:szCs w:val="20"/>
                <w:color w:val="auto"/>
              </w:rPr>
            </w:pPr>
            <w:r>
              <w:rPr>
                <w:rFonts w:ascii="Arial" w:cs="Arial" w:eastAsia="Arial" w:hAnsi="Arial"/>
                <w:sz w:val="15"/>
                <w:szCs w:val="15"/>
                <w:color w:val="auto"/>
              </w:rPr>
              <w:t>Pension benefits- amortization of actuarial loss</w:t>
            </w: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207"/>
        </w:trPr>
        <w:tc>
          <w:tcPr>
            <w:tcW w:w="4880" w:type="dxa"/>
            <w:vAlign w:val="bottom"/>
            <w:tcBorders>
              <w:bottom w:val="single" w:sz="8" w:color="auto"/>
            </w:tcBorders>
            <w:gridSpan w:val="3"/>
            <w:shd w:val="clear" w:color="auto" w:fill="CCEEFF"/>
          </w:tcPr>
          <w:p>
            <w:pPr>
              <w:ind w:left="180"/>
              <w:spacing w:after="0"/>
              <w:rPr>
                <w:sz w:val="20"/>
                <w:szCs w:val="20"/>
                <w:color w:val="auto"/>
              </w:rPr>
            </w:pPr>
            <w:r>
              <w:rPr>
                <w:rFonts w:ascii="Arial" w:cs="Arial" w:eastAsia="Arial" w:hAnsi="Arial"/>
                <w:sz w:val="15"/>
                <w:szCs w:val="15"/>
                <w:color w:val="auto"/>
              </w:rPr>
              <w:t>Postretirement benefits- amortization of actuarial gain</w:t>
            </w:r>
          </w:p>
        </w:tc>
        <w:tc>
          <w:tcPr>
            <w:tcW w:w="11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87"/>
        </w:trPr>
        <w:tc>
          <w:tcPr>
            <w:tcW w:w="3380" w:type="dxa"/>
            <w:vAlign w:val="bottom"/>
          </w:tcPr>
          <w:p>
            <w:pPr>
              <w:spacing w:after="0"/>
              <w:rPr>
                <w:sz w:val="20"/>
                <w:szCs w:val="20"/>
                <w:color w:val="auto"/>
              </w:rPr>
            </w:pPr>
            <w:r>
              <w:rPr>
                <w:rFonts w:ascii="Arial" w:cs="Arial" w:eastAsia="Arial" w:hAnsi="Arial"/>
                <w:sz w:val="15"/>
                <w:szCs w:val="15"/>
                <w:color w:val="auto"/>
              </w:rPr>
              <w:t>Net periodic benefit cost (see Note 12)</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207"/>
        </w:trPr>
        <w:tc>
          <w:tcPr>
            <w:tcW w:w="3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Income tax benefit</w:t>
            </w:r>
          </w:p>
        </w:tc>
        <w:tc>
          <w:tcPr>
            <w:tcW w:w="2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r>
      <w:tr>
        <w:trPr>
          <w:trHeight w:val="179"/>
        </w:trPr>
        <w:tc>
          <w:tcPr>
            <w:tcW w:w="33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Net of tax</w:t>
            </w: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w:t>
            </w:r>
          </w:p>
        </w:tc>
      </w:tr>
    </w:tbl>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9. Income Taxes</w:t>
      </w:r>
    </w:p>
    <w:p>
      <w:pPr>
        <w:spacing w:after="0" w:line="109" w:lineRule="exact"/>
        <w:rPr>
          <w:sz w:val="20"/>
          <w:szCs w:val="20"/>
          <w:color w:val="auto"/>
        </w:rPr>
      </w:pPr>
    </w:p>
    <w:p>
      <w:pPr>
        <w:jc w:val="both"/>
        <w:spacing w:after="0"/>
        <w:rPr>
          <w:sz w:val="20"/>
          <w:szCs w:val="20"/>
          <w:color w:val="auto"/>
        </w:rPr>
      </w:pPr>
      <w:r>
        <w:rPr>
          <w:rFonts w:ascii="Arial" w:cs="Arial" w:eastAsia="Arial" w:hAnsi="Arial"/>
          <w:sz w:val="15"/>
          <w:szCs w:val="15"/>
          <w:color w:val="auto"/>
        </w:rPr>
        <w:t xml:space="preserve">In March 2018, the FASB issued ASU 2018-05, </w:t>
      </w:r>
      <w:r>
        <w:rPr>
          <w:rFonts w:ascii="Arial" w:cs="Arial" w:eastAsia="Arial" w:hAnsi="Arial"/>
          <w:sz w:val="15"/>
          <w:szCs w:val="15"/>
          <w:i w:val="1"/>
          <w:iCs w:val="1"/>
          <w:color w:val="auto"/>
        </w:rPr>
        <w:t>Income Taxes (Topic 740): Amendments to SEC Paragraphs Pursuant to SEC Staff</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Accounting Bulletin No. 118 </w:t>
      </w:r>
      <w:r>
        <w:rPr>
          <w:rFonts w:ascii="Arial" w:cs="Arial" w:eastAsia="Arial" w:hAnsi="Arial"/>
          <w:sz w:val="15"/>
          <w:szCs w:val="15"/>
          <w:color w:val="auto"/>
        </w:rPr>
        <w:t>(“SAB 118”). This update provides guidance on income tax accounting implications under Public Law</w:t>
      </w:r>
      <w:r>
        <w:rPr>
          <w:rFonts w:ascii="Arial" w:cs="Arial" w:eastAsia="Arial" w:hAnsi="Arial"/>
          <w:sz w:val="15"/>
          <w:szCs w:val="15"/>
          <w:i w:val="1"/>
          <w:iCs w:val="1"/>
          <w:color w:val="auto"/>
        </w:rPr>
        <w:t xml:space="preserve"> </w:t>
      </w:r>
      <w:r>
        <w:rPr>
          <w:rFonts w:ascii="Arial" w:cs="Arial" w:eastAsia="Arial" w:hAnsi="Arial"/>
          <w:sz w:val="15"/>
          <w:szCs w:val="15"/>
          <w:color w:val="auto"/>
        </w:rPr>
        <w:t>115-97, informally known as the Tax Cuts and Jobs Act (the "Tax Act"), which was enacted on December 22, 2017. The Tax Act significantly revised the U.S. corporate income tax by, among other things, lowering the statutory corporate tax rate from 35 percent to 21 percent, eliminating certain deductions, imposing a mandatory one-time tax on accumulated earnings of foreign subsidiaries, introducing new tax regimes, and changing how foreign earnings are subject to U.S. tax. SAB 118 addressed the application of GAAP to situations when a registrant does not have the necessary information available, prepared, or analyzed (including computations) in reasonable detail to complete the accounting for certain income tax effects of the Tax Act. As of the fourth quarter of 2017, the Company had not completed the determination of the accounting implications of the Tax Act on the Company’s tax accruals. However, we reasonably estimated the effects of the Tax Act and recognized a provisional net tax expense of $99 million associated with the Tax Act in the fourth quarter of 2017.</w:t>
      </w:r>
    </w:p>
    <w:p>
      <w:pPr>
        <w:spacing w:after="0" w:line="162" w:lineRule="exact"/>
        <w:rPr>
          <w:sz w:val="20"/>
          <w:szCs w:val="20"/>
          <w:color w:val="auto"/>
        </w:rPr>
      </w:pPr>
    </w:p>
    <w:p>
      <w:pPr>
        <w:jc w:val="both"/>
        <w:spacing w:after="0"/>
        <w:rPr>
          <w:sz w:val="20"/>
          <w:szCs w:val="20"/>
          <w:color w:val="auto"/>
        </w:rPr>
      </w:pPr>
      <w:r>
        <w:rPr>
          <w:rFonts w:ascii="Arial" w:cs="Arial" w:eastAsia="Arial" w:hAnsi="Arial"/>
          <w:sz w:val="15"/>
          <w:szCs w:val="15"/>
          <w:color w:val="auto"/>
        </w:rPr>
        <w:t>For the thirteen weeks ended May 5, 2018, our accounting for the Tax Act is still incomplete. We have not made any measurement-period adjustments related to these items during the first quarter of fiscal 2018 because we have not finalized the following items: the earnings and profits of the relevant subsidiaries, deemed repatriation of deferred foreign income, and prior-year deferred tax activity. We are continuing to gather additional information to complete our accounting for these items and expect to complete our accounting within the one-year time period provided by SAB 118. Any adjustment to these amounts during the measurement period will be recorded in income tax expense in the period in which the analysis is complete.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6" w:right="1399" w:bottom="1440" w:gutter="0" w:footer="0" w:header="0"/>
        </w:sectPr>
      </w:pPr>
    </w:p>
    <w:bookmarkStart w:id="12" w:name="page13"/>
    <w:bookmarkEnd w:id="12"/>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278"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Company continues to evaluate the provisions of the Tax Act, including the global intangible low-taxed income (“GILTI”) and the foreign derived intangible income (“FDII”) provisions. The Company has made an accounting policy election to treat GILTI taxes as a current period expense.</w:t>
      </w:r>
    </w:p>
    <w:p>
      <w:pPr>
        <w:spacing w:after="0" w:line="153"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ultimate effect of the Tax Act may differ from these provisional amounts, possibly materially, due to, among other things, additional analysis, changes in interpretations and assumptions the Company has made, additional regulatory guidance that may be issued, as well as any related actions the Company may take.</w:t>
      </w:r>
    </w:p>
    <w:p>
      <w:pPr>
        <w:spacing w:after="0" w:line="153"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For the thirteen weeks ended May 5, 2018, the Company recorded an income tax provision of $64 million, which represented an effective tax rate of 27.9 percent, compared with the prior-year income tax provision of $89 million, which represented an effective tax rate of 33.0 percent. The Company’s interim provision for income taxes is measured using an annual effective tax rate, adjusted for discrete items that occur within the periods presented.</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10. Fair Value Measurements</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color w:val="auto"/>
        </w:rPr>
        <w:t>The Company’s financial assets recorded at fair value are categorized as follows:</w:t>
      </w:r>
    </w:p>
    <w:p>
      <w:pPr>
        <w:spacing w:after="0" w:line="138" w:lineRule="exact"/>
        <w:rPr>
          <w:sz w:val="20"/>
          <w:szCs w:val="20"/>
          <w:color w:val="auto"/>
        </w:rPr>
      </w:pPr>
    </w:p>
    <w:p>
      <w:pPr>
        <w:ind w:left="180"/>
        <w:spacing w:after="0"/>
        <w:tabs>
          <w:tab w:leader="none" w:pos="1080" w:val="left"/>
        </w:tabs>
        <w:rPr>
          <w:sz w:val="20"/>
          <w:szCs w:val="20"/>
          <w:color w:val="auto"/>
        </w:rPr>
      </w:pPr>
      <w:r>
        <w:rPr>
          <w:rFonts w:ascii="Arial" w:cs="Arial" w:eastAsia="Arial" w:hAnsi="Arial"/>
          <w:sz w:val="15"/>
          <w:szCs w:val="15"/>
          <w:b w:val="1"/>
          <w:bCs w:val="1"/>
          <w:color w:val="auto"/>
        </w:rPr>
        <w:t>Level 1 –</w:t>
      </w:r>
      <w:r>
        <w:rPr>
          <w:sz w:val="20"/>
          <w:szCs w:val="20"/>
          <w:color w:val="auto"/>
        </w:rPr>
        <w:tab/>
      </w:r>
      <w:r>
        <w:rPr>
          <w:rFonts w:ascii="Arial" w:cs="Arial" w:eastAsia="Arial" w:hAnsi="Arial"/>
          <w:sz w:val="15"/>
          <w:szCs w:val="15"/>
          <w:color w:val="auto"/>
        </w:rPr>
        <w:t>Quoted prices for identical instruments in active markets.</w:t>
      </w:r>
    </w:p>
    <w:p>
      <w:pPr>
        <w:spacing w:after="0" w:line="217" w:lineRule="exact"/>
        <w:rPr>
          <w:sz w:val="20"/>
          <w:szCs w:val="20"/>
          <w:color w:val="auto"/>
        </w:rPr>
      </w:pPr>
    </w:p>
    <w:p>
      <w:pPr>
        <w:jc w:val="both"/>
        <w:ind w:left="1140" w:hanging="936"/>
        <w:spacing w:after="0" w:line="245" w:lineRule="auto"/>
        <w:tabs>
          <w:tab w:leader="none" w:pos="1120" w:val="left"/>
        </w:tabs>
        <w:rPr>
          <w:sz w:val="20"/>
          <w:szCs w:val="20"/>
          <w:color w:val="auto"/>
        </w:rPr>
      </w:pPr>
      <w:r>
        <w:rPr>
          <w:rFonts w:ascii="Arial" w:cs="Arial" w:eastAsia="Arial" w:hAnsi="Arial"/>
          <w:sz w:val="15"/>
          <w:szCs w:val="15"/>
          <w:b w:val="1"/>
          <w:bCs w:val="1"/>
          <w:color w:val="auto"/>
        </w:rPr>
        <w:t>Level 2 –</w:t>
      </w:r>
      <w:r>
        <w:rPr>
          <w:sz w:val="20"/>
          <w:szCs w:val="20"/>
          <w:color w:val="auto"/>
        </w:rPr>
        <w:tab/>
      </w:r>
      <w:r>
        <w:rPr>
          <w:rFonts w:ascii="Arial" w:cs="Arial" w:eastAsia="Arial" w:hAnsi="Arial"/>
          <w:sz w:val="15"/>
          <w:szCs w:val="15"/>
          <w:color w:val="auto"/>
        </w:rPr>
        <w:t>Quoted prices for similar instruments in active markets; quoted prices for identical or similar instruments in markets that are not active; and model-derived valuations in which all significant inputs or significant value-drivers are observable in active markets.</w:t>
      </w:r>
    </w:p>
    <w:p>
      <w:pPr>
        <w:spacing w:after="0" w:line="116" w:lineRule="exact"/>
        <w:rPr>
          <w:sz w:val="20"/>
          <w:szCs w:val="20"/>
          <w:color w:val="auto"/>
        </w:rPr>
      </w:pPr>
    </w:p>
    <w:p>
      <w:pPr>
        <w:ind w:left="200"/>
        <w:spacing w:after="0"/>
        <w:tabs>
          <w:tab w:leader="none" w:pos="1120" w:val="left"/>
        </w:tabs>
        <w:rPr>
          <w:sz w:val="20"/>
          <w:szCs w:val="20"/>
          <w:color w:val="auto"/>
        </w:rPr>
      </w:pPr>
      <w:r>
        <w:rPr>
          <w:rFonts w:ascii="Arial" w:cs="Arial" w:eastAsia="Arial" w:hAnsi="Arial"/>
          <w:sz w:val="15"/>
          <w:szCs w:val="15"/>
          <w:b w:val="1"/>
          <w:bCs w:val="1"/>
          <w:color w:val="auto"/>
        </w:rPr>
        <w:t>Level 3 –</w:t>
      </w:r>
      <w:r>
        <w:rPr>
          <w:sz w:val="20"/>
          <w:szCs w:val="20"/>
          <w:color w:val="auto"/>
        </w:rPr>
        <w:tab/>
      </w:r>
      <w:r>
        <w:rPr>
          <w:rFonts w:ascii="Arial" w:cs="Arial" w:eastAsia="Arial" w:hAnsi="Arial"/>
          <w:sz w:val="15"/>
          <w:szCs w:val="15"/>
          <w:color w:val="auto"/>
        </w:rPr>
        <w:t>Model-derived valuations in which one or more significant inputs or significant value-drivers are unobservable.</w:t>
      </w:r>
    </w:p>
    <w:p>
      <w:pPr>
        <w:spacing w:after="0" w:line="381"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The following tables provide a summary of the Company’s recognized assets and liabilities that are measured at fair value on a recurring basis: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ind w:left="160"/>
              <w:spacing w:after="0"/>
              <w:rPr>
                <w:sz w:val="20"/>
                <w:szCs w:val="20"/>
                <w:color w:val="auto"/>
              </w:rPr>
            </w:pPr>
            <w:r>
              <w:rPr>
                <w:rFonts w:ascii="Arial" w:cs="Arial" w:eastAsia="Arial" w:hAnsi="Arial"/>
                <w:sz w:val="15"/>
                <w:szCs w:val="15"/>
                <w:b w:val="1"/>
                <w:bCs w:val="1"/>
                <w:color w:val="auto"/>
              </w:rPr>
              <w:t>As of May 5, 2018</w:t>
            </w:r>
          </w:p>
        </w:tc>
        <w:tc>
          <w:tcPr>
            <w:tcW w:w="3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5"/>
                <w:szCs w:val="15"/>
                <w:b w:val="1"/>
                <w:bCs w:val="1"/>
                <w:color w:val="auto"/>
              </w:rPr>
              <w:t>As of April 29, 2017</w:t>
            </w:r>
          </w:p>
        </w:tc>
        <w:tc>
          <w:tcPr>
            <w:tcW w:w="3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80"/>
              <w:spacing w:after="0"/>
              <w:rPr>
                <w:sz w:val="20"/>
                <w:szCs w:val="20"/>
                <w:color w:val="auto"/>
              </w:rPr>
            </w:pPr>
            <w:r>
              <w:rPr>
                <w:rFonts w:ascii="Arial" w:cs="Arial" w:eastAsia="Arial" w:hAnsi="Arial"/>
                <w:sz w:val="15"/>
                <w:szCs w:val="15"/>
                <w:b w:val="1"/>
                <w:bCs w:val="1"/>
                <w:color w:val="auto"/>
              </w:rPr>
              <w:t>As of February 3, 2018</w:t>
            </w:r>
          </w:p>
        </w:tc>
        <w:tc>
          <w:tcPr>
            <w:tcW w:w="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gridSpan w:val="4"/>
          </w:tcPr>
          <w:p>
            <w:pPr>
              <w:jc w:val="center"/>
              <w:spacing w:after="0"/>
              <w:rPr>
                <w:sz w:val="20"/>
                <w:szCs w:val="20"/>
                <w:color w:val="auto"/>
              </w:rPr>
            </w:pPr>
            <w:r>
              <w:rPr>
                <w:rFonts w:ascii="Arial" w:cs="Arial" w:eastAsia="Arial" w:hAnsi="Arial"/>
                <w:sz w:val="15"/>
                <w:szCs w:val="15"/>
                <w:color w:val="auto"/>
              </w:rPr>
              <w:t>($ in millions)</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2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2"/>
          </w:tcPr>
          <w:p>
            <w:pPr>
              <w:ind w:left="360"/>
              <w:spacing w:after="0"/>
              <w:rPr>
                <w:sz w:val="20"/>
                <w:szCs w:val="20"/>
                <w:color w:val="auto"/>
              </w:rPr>
            </w:pPr>
            <w:r>
              <w:rPr>
                <w:rFonts w:ascii="Arial" w:cs="Arial" w:eastAsia="Arial" w:hAnsi="Arial"/>
                <w:sz w:val="15"/>
                <w:szCs w:val="15"/>
                <w:b w:val="1"/>
                <w:bCs w:val="1"/>
                <w:color w:val="auto"/>
              </w:rPr>
              <w:t>Level 1</w:t>
            </w:r>
          </w:p>
        </w:tc>
        <w:tc>
          <w:tcPr>
            <w:tcW w:w="740" w:type="dxa"/>
            <w:vAlign w:val="bottom"/>
            <w:tcBorders>
              <w:bottom w:val="single" w:sz="8" w:color="auto"/>
            </w:tcBorders>
            <w:gridSpan w:val="2"/>
          </w:tcPr>
          <w:p>
            <w:pPr>
              <w:jc w:val="right"/>
              <w:ind w:right="43"/>
              <w:spacing w:after="0"/>
              <w:rPr>
                <w:sz w:val="20"/>
                <w:szCs w:val="20"/>
                <w:color w:val="auto"/>
              </w:rPr>
            </w:pPr>
            <w:r>
              <w:rPr>
                <w:rFonts w:ascii="Arial" w:cs="Arial" w:eastAsia="Arial" w:hAnsi="Arial"/>
                <w:sz w:val="15"/>
                <w:szCs w:val="15"/>
                <w:b w:val="1"/>
                <w:bCs w:val="1"/>
                <w:color w:val="auto"/>
              </w:rPr>
              <w:t>Level 2</w:t>
            </w:r>
          </w:p>
        </w:tc>
        <w:tc>
          <w:tcPr>
            <w:tcW w:w="760" w:type="dxa"/>
            <w:vAlign w:val="bottom"/>
            <w:tcBorders>
              <w:bottom w:val="single" w:sz="8" w:color="auto"/>
            </w:tcBorders>
            <w:gridSpan w:val="2"/>
          </w:tcPr>
          <w:p>
            <w:pPr>
              <w:ind w:left="100"/>
              <w:spacing w:after="0"/>
              <w:rPr>
                <w:sz w:val="20"/>
                <w:szCs w:val="20"/>
                <w:color w:val="auto"/>
              </w:rPr>
            </w:pPr>
            <w:r>
              <w:rPr>
                <w:rFonts w:ascii="Arial" w:cs="Arial" w:eastAsia="Arial" w:hAnsi="Arial"/>
                <w:sz w:val="15"/>
                <w:szCs w:val="15"/>
                <w:b w:val="1"/>
                <w:bCs w:val="1"/>
                <w:color w:val="auto"/>
              </w:rPr>
              <w:t>Level 3</w:t>
            </w: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Level 1</w:t>
            </w: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rPr>
              <w:t>Level 2</w:t>
            </w: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Level 3</w:t>
            </w:r>
          </w:p>
        </w:tc>
        <w:tc>
          <w:tcPr>
            <w:tcW w:w="760" w:type="dxa"/>
            <w:vAlign w:val="bottom"/>
            <w:tcBorders>
              <w:bottom w:val="single" w:sz="8" w:color="auto"/>
            </w:tcBorders>
            <w:gridSpan w:val="2"/>
          </w:tcPr>
          <w:p>
            <w:pPr>
              <w:ind w:left="100"/>
              <w:spacing w:after="0"/>
              <w:rPr>
                <w:sz w:val="20"/>
                <w:szCs w:val="20"/>
                <w:color w:val="auto"/>
              </w:rPr>
            </w:pPr>
            <w:r>
              <w:rPr>
                <w:rFonts w:ascii="Arial" w:cs="Arial" w:eastAsia="Arial" w:hAnsi="Arial"/>
                <w:sz w:val="15"/>
                <w:szCs w:val="15"/>
                <w:b w:val="1"/>
                <w:bCs w:val="1"/>
                <w:color w:val="auto"/>
              </w:rPr>
              <w:t>Level 1</w:t>
            </w:r>
          </w:p>
        </w:tc>
        <w:tc>
          <w:tcPr>
            <w:tcW w:w="760" w:type="dxa"/>
            <w:vAlign w:val="bottom"/>
            <w:tcBorders>
              <w:bottom w:val="single" w:sz="8" w:color="auto"/>
            </w:tcBorders>
            <w:gridSpan w:val="2"/>
          </w:tcPr>
          <w:p>
            <w:pPr>
              <w:jc w:val="right"/>
              <w:ind w:right="43"/>
              <w:spacing w:after="0"/>
              <w:rPr>
                <w:sz w:val="20"/>
                <w:szCs w:val="20"/>
                <w:color w:val="auto"/>
              </w:rPr>
            </w:pPr>
            <w:r>
              <w:rPr>
                <w:rFonts w:ascii="Arial" w:cs="Arial" w:eastAsia="Arial" w:hAnsi="Arial"/>
                <w:sz w:val="15"/>
                <w:szCs w:val="15"/>
                <w:b w:val="1"/>
                <w:bCs w:val="1"/>
                <w:color w:val="auto"/>
              </w:rPr>
              <w:t>Level 2</w:t>
            </w:r>
          </w:p>
        </w:tc>
        <w:tc>
          <w:tcPr>
            <w:tcW w:w="740" w:type="dxa"/>
            <w:vAlign w:val="bottom"/>
            <w:tcBorders>
              <w:bottom w:val="single" w:sz="8" w:color="auto"/>
            </w:tcBorders>
            <w:gridSpan w:val="2"/>
          </w:tcPr>
          <w:p>
            <w:pPr>
              <w:ind w:left="120"/>
              <w:spacing w:after="0"/>
              <w:rPr>
                <w:sz w:val="20"/>
                <w:szCs w:val="20"/>
                <w:color w:val="auto"/>
              </w:rPr>
            </w:pPr>
            <w:r>
              <w:rPr>
                <w:rFonts w:ascii="Arial" w:cs="Arial" w:eastAsia="Arial" w:hAnsi="Arial"/>
                <w:sz w:val="15"/>
                <w:szCs w:val="15"/>
                <w:b w:val="1"/>
                <w:bCs w:val="1"/>
                <w:color w:val="auto"/>
              </w:rPr>
              <w:t>Level 3</w:t>
            </w:r>
          </w:p>
        </w:tc>
        <w:tc>
          <w:tcPr>
            <w:tcW w:w="0" w:type="dxa"/>
            <w:vAlign w:val="bottom"/>
          </w:tcPr>
          <w:p>
            <w:pPr>
              <w:spacing w:after="0"/>
              <w:rPr>
                <w:sz w:val="1"/>
                <w:szCs w:val="1"/>
                <w:color w:val="auto"/>
              </w:rPr>
            </w:pPr>
          </w:p>
        </w:tc>
      </w:tr>
      <w:tr>
        <w:trPr>
          <w:trHeight w:val="187"/>
        </w:trPr>
        <w:tc>
          <w:tcPr>
            <w:tcW w:w="21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5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100" w:type="dxa"/>
            <w:vAlign w:val="bottom"/>
          </w:tcPr>
          <w:p>
            <w:pPr>
              <w:spacing w:after="0"/>
              <w:rPr>
                <w:sz w:val="20"/>
                <w:szCs w:val="20"/>
                <w:color w:val="auto"/>
              </w:rPr>
            </w:pPr>
            <w:r>
              <w:rPr>
                <w:rFonts w:ascii="Arial" w:cs="Arial" w:eastAsia="Arial" w:hAnsi="Arial"/>
                <w:sz w:val="15"/>
                <w:szCs w:val="15"/>
                <w:color w:val="auto"/>
              </w:rPr>
              <w:t>Available-for-sale security</w:t>
            </w:r>
          </w:p>
        </w:tc>
        <w:tc>
          <w:tcPr>
            <w:tcW w:w="560" w:type="dxa"/>
            <w:vAlign w:val="bottom"/>
          </w:tcPr>
          <w:p>
            <w:pPr>
              <w:jc w:val="right"/>
              <w:ind w:right="63"/>
              <w:spacing w:after="0"/>
              <w:rPr>
                <w:sz w:val="20"/>
                <w:szCs w:val="20"/>
                <w:color w:val="auto"/>
              </w:rPr>
            </w:pPr>
            <w:r>
              <w:rPr>
                <w:rFonts w:ascii="Arial" w:cs="Arial" w:eastAsia="Arial" w:hAnsi="Arial"/>
                <w:sz w:val="15"/>
                <w:szCs w:val="15"/>
                <w:b w:val="1"/>
                <w:bCs w:val="1"/>
                <w:color w:val="auto"/>
              </w:rPr>
              <w:t>$</w:t>
            </w:r>
          </w:p>
        </w:tc>
        <w:tc>
          <w:tcPr>
            <w:tcW w:w="460" w:type="dxa"/>
            <w:vAlign w:val="bottom"/>
          </w:tcPr>
          <w:p>
            <w:pPr>
              <w:ind w:left="240"/>
              <w:spacing w:after="0"/>
              <w:rPr>
                <w:sz w:val="20"/>
                <w:szCs w:val="20"/>
                <w:color w:val="auto"/>
              </w:rPr>
            </w:pPr>
            <w:r>
              <w:rPr>
                <w:rFonts w:ascii="Arial" w:cs="Arial" w:eastAsia="Arial" w:hAnsi="Arial"/>
                <w:sz w:val="15"/>
                <w:szCs w:val="15"/>
                <w:b w:val="1"/>
                <w:bCs w:val="1"/>
                <w:color w:val="auto"/>
              </w:rPr>
              <w:t>—</w:t>
            </w:r>
          </w:p>
        </w:tc>
        <w:tc>
          <w:tcPr>
            <w:tcW w:w="360" w:type="dxa"/>
            <w:vAlign w:val="bottom"/>
          </w:tcPr>
          <w:p>
            <w:pPr>
              <w:jc w:val="right"/>
              <w:ind w:right="143"/>
              <w:spacing w:after="0"/>
              <w:rPr>
                <w:sz w:val="20"/>
                <w:szCs w:val="20"/>
                <w:color w:val="auto"/>
              </w:rPr>
            </w:pPr>
            <w:r>
              <w:rPr>
                <w:rFonts w:ascii="Arial" w:cs="Arial" w:eastAsia="Arial" w:hAnsi="Arial"/>
                <w:sz w:val="15"/>
                <w:szCs w:val="15"/>
                <w:b w:val="1"/>
                <w:bCs w:val="1"/>
                <w:color w:val="auto"/>
              </w:rPr>
              <w:t>$</w:t>
            </w:r>
          </w:p>
        </w:tc>
        <w:tc>
          <w:tcPr>
            <w:tcW w:w="380" w:type="dxa"/>
            <w:vAlign w:val="bottom"/>
          </w:tcPr>
          <w:p>
            <w:pPr>
              <w:jc w:val="right"/>
              <w:ind w:right="23"/>
              <w:spacing w:after="0"/>
              <w:rPr>
                <w:sz w:val="20"/>
                <w:szCs w:val="20"/>
                <w:color w:val="auto"/>
              </w:rPr>
            </w:pPr>
            <w:r>
              <w:rPr>
                <w:rFonts w:ascii="Arial" w:cs="Arial" w:eastAsia="Arial" w:hAnsi="Arial"/>
                <w:sz w:val="15"/>
                <w:szCs w:val="15"/>
                <w:b w:val="1"/>
                <w:bCs w:val="1"/>
                <w:color w:val="auto"/>
              </w:rPr>
              <w:t>6</w:t>
            </w:r>
          </w:p>
        </w:tc>
        <w:tc>
          <w:tcPr>
            <w:tcW w:w="400" w:type="dxa"/>
            <w:vAlign w:val="bottom"/>
          </w:tcPr>
          <w:p>
            <w:pPr>
              <w:jc w:val="right"/>
              <w:ind w:right="163"/>
              <w:spacing w:after="0"/>
              <w:rPr>
                <w:sz w:val="20"/>
                <w:szCs w:val="20"/>
                <w:color w:val="auto"/>
              </w:rPr>
            </w:pPr>
            <w:r>
              <w:rPr>
                <w:rFonts w:ascii="Arial" w:cs="Arial" w:eastAsia="Arial" w:hAnsi="Arial"/>
                <w:sz w:val="15"/>
                <w:szCs w:val="15"/>
                <w:b w:val="1"/>
                <w:bCs w:val="1"/>
                <w:color w:val="auto"/>
              </w:rPr>
              <w:t>$</w:t>
            </w:r>
          </w:p>
        </w:tc>
        <w:tc>
          <w:tcPr>
            <w:tcW w:w="360" w:type="dxa"/>
            <w:vAlign w:val="bottom"/>
          </w:tcPr>
          <w:p>
            <w:pPr>
              <w:ind w:left="160"/>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ind w:left="60"/>
              <w:spacing w:after="0"/>
              <w:rPr>
                <w:sz w:val="20"/>
                <w:szCs w:val="20"/>
                <w:color w:val="auto"/>
              </w:rPr>
            </w:pPr>
            <w:r>
              <w:rPr>
                <w:rFonts w:ascii="Arial" w:cs="Arial" w:eastAsia="Arial" w:hAnsi="Arial"/>
                <w:sz w:val="15"/>
                <w:szCs w:val="15"/>
                <w:color w:val="auto"/>
              </w:rPr>
              <w:t>$</w:t>
            </w:r>
          </w:p>
        </w:tc>
        <w:tc>
          <w:tcPr>
            <w:tcW w:w="480" w:type="dxa"/>
            <w:vAlign w:val="bottom"/>
          </w:tcPr>
          <w:p>
            <w:pPr>
              <w:ind w:left="260"/>
              <w:spacing w:after="0"/>
              <w:rPr>
                <w:sz w:val="20"/>
                <w:szCs w:val="20"/>
                <w:color w:val="auto"/>
              </w:rPr>
            </w:pPr>
            <w:r>
              <w:rPr>
                <w:rFonts w:ascii="Arial" w:cs="Arial" w:eastAsia="Arial" w:hAnsi="Arial"/>
                <w:sz w:val="15"/>
                <w:szCs w:val="15"/>
                <w:color w:val="auto"/>
              </w:rPr>
              <w:t>—</w:t>
            </w:r>
          </w:p>
        </w:tc>
        <w:tc>
          <w:tcPr>
            <w:tcW w:w="34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400" w:type="dxa"/>
            <w:vAlign w:val="bottom"/>
          </w:tcPr>
          <w:p>
            <w:pPr>
              <w:jc w:val="center"/>
              <w:ind w:left="23"/>
              <w:spacing w:after="0"/>
              <w:rPr>
                <w:sz w:val="20"/>
                <w:szCs w:val="20"/>
                <w:color w:val="auto"/>
              </w:rPr>
            </w:pPr>
            <w:r>
              <w:rPr>
                <w:rFonts w:ascii="Arial" w:cs="Arial" w:eastAsia="Arial" w:hAnsi="Arial"/>
                <w:sz w:val="15"/>
                <w:szCs w:val="15"/>
                <w:color w:val="auto"/>
              </w:rPr>
              <w:t>6</w:t>
            </w:r>
          </w:p>
        </w:tc>
        <w:tc>
          <w:tcPr>
            <w:tcW w:w="420" w:type="dxa"/>
            <w:vAlign w:val="bottom"/>
          </w:tcPr>
          <w:p>
            <w:pPr>
              <w:jc w:val="right"/>
              <w:ind w:right="203"/>
              <w:spacing w:after="0"/>
              <w:rPr>
                <w:sz w:val="20"/>
                <w:szCs w:val="20"/>
                <w:color w:val="auto"/>
              </w:rPr>
            </w:pPr>
            <w:r>
              <w:rPr>
                <w:rFonts w:ascii="Arial" w:cs="Arial" w:eastAsia="Arial" w:hAnsi="Arial"/>
                <w:sz w:val="15"/>
                <w:szCs w:val="15"/>
                <w:color w:val="auto"/>
              </w:rPr>
              <w:t>$</w:t>
            </w:r>
          </w:p>
        </w:tc>
        <w:tc>
          <w:tcPr>
            <w:tcW w:w="320" w:type="dxa"/>
            <w:vAlign w:val="bottom"/>
          </w:tcPr>
          <w:p>
            <w:pPr>
              <w:ind w:left="100"/>
              <w:spacing w:after="0"/>
              <w:rPr>
                <w:sz w:val="20"/>
                <w:szCs w:val="20"/>
                <w:color w:val="auto"/>
              </w:rPr>
            </w:pPr>
            <w:r>
              <w:rPr>
                <w:rFonts w:ascii="Arial" w:cs="Arial" w:eastAsia="Arial" w:hAnsi="Arial"/>
                <w:sz w:val="15"/>
                <w:szCs w:val="15"/>
                <w:color w:val="auto"/>
              </w:rPr>
              <w:t>—</w:t>
            </w:r>
          </w:p>
        </w:tc>
        <w:tc>
          <w:tcPr>
            <w:tcW w:w="2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520" w:type="dxa"/>
            <w:vAlign w:val="bottom"/>
          </w:tcPr>
          <w:p>
            <w:pPr>
              <w:ind w:left="320"/>
              <w:spacing w:after="0"/>
              <w:rPr>
                <w:sz w:val="20"/>
                <w:szCs w:val="20"/>
                <w:color w:val="auto"/>
              </w:rPr>
            </w:pPr>
            <w:r>
              <w:rPr>
                <w:rFonts w:ascii="Arial" w:cs="Arial" w:eastAsia="Arial" w:hAnsi="Arial"/>
                <w:sz w:val="15"/>
                <w:szCs w:val="15"/>
                <w:color w:val="auto"/>
              </w:rPr>
              <w:t>—</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380" w:type="dxa"/>
            <w:vAlign w:val="bottom"/>
          </w:tcPr>
          <w:p>
            <w:pPr>
              <w:jc w:val="right"/>
              <w:ind w:right="3"/>
              <w:spacing w:after="0"/>
              <w:rPr>
                <w:sz w:val="20"/>
                <w:szCs w:val="20"/>
                <w:color w:val="auto"/>
              </w:rPr>
            </w:pPr>
            <w:r>
              <w:rPr>
                <w:rFonts w:ascii="Arial" w:cs="Arial" w:eastAsia="Arial" w:hAnsi="Arial"/>
                <w:sz w:val="15"/>
                <w:szCs w:val="15"/>
                <w:color w:val="auto"/>
              </w:rPr>
              <w:t>7</w:t>
            </w:r>
          </w:p>
        </w:tc>
        <w:tc>
          <w:tcPr>
            <w:tcW w:w="52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220" w:type="dxa"/>
            <w:vAlign w:val="bottom"/>
          </w:tcPr>
          <w:p>
            <w:pPr>
              <w:ind w:left="60"/>
              <w:spacing w:after="0"/>
              <w:rPr>
                <w:sz w:val="20"/>
                <w:szCs w:val="20"/>
                <w:color w:val="auto"/>
              </w:rPr>
            </w:pPr>
            <w:r>
              <w:rPr>
                <w:rFonts w:ascii="Arial" w:cs="Arial" w:eastAsia="Arial" w:hAnsi="Arial"/>
                <w:sz w:val="15"/>
                <w:szCs w:val="15"/>
                <w:color w:val="auto"/>
                <w:w w:val="93"/>
              </w:rPr>
              <w:t>—</w:t>
            </w:r>
          </w:p>
        </w:tc>
        <w:tc>
          <w:tcPr>
            <w:tcW w:w="0" w:type="dxa"/>
            <w:vAlign w:val="bottom"/>
          </w:tcPr>
          <w:p>
            <w:pPr>
              <w:spacing w:after="0"/>
              <w:rPr>
                <w:sz w:val="1"/>
                <w:szCs w:val="1"/>
                <w:color w:val="auto"/>
              </w:rPr>
            </w:pPr>
          </w:p>
        </w:tc>
      </w:tr>
      <w:tr>
        <w:trPr>
          <w:trHeight w:val="213"/>
        </w:trPr>
        <w:tc>
          <w:tcPr>
            <w:tcW w:w="2100" w:type="dxa"/>
            <w:vAlign w:val="bottom"/>
            <w:shd w:val="clear" w:color="auto" w:fill="CCEEFF"/>
          </w:tcPr>
          <w:p>
            <w:pPr>
              <w:spacing w:after="0"/>
              <w:rPr>
                <w:sz w:val="20"/>
                <w:szCs w:val="20"/>
                <w:color w:val="auto"/>
              </w:rPr>
            </w:pPr>
            <w:r>
              <w:rPr>
                <w:rFonts w:ascii="Arial" w:cs="Arial" w:eastAsia="Arial" w:hAnsi="Arial"/>
                <w:sz w:val="15"/>
                <w:szCs w:val="15"/>
                <w:color w:val="auto"/>
              </w:rPr>
              <w:t>Foreign exchange forward</w:t>
            </w:r>
          </w:p>
        </w:tc>
        <w:tc>
          <w:tcPr>
            <w:tcW w:w="560" w:type="dxa"/>
            <w:vAlign w:val="bottom"/>
            <w:shd w:val="clear" w:color="auto" w:fill="CCEEFF"/>
          </w:tcPr>
          <w:p>
            <w:pPr>
              <w:spacing w:after="0"/>
              <w:rPr>
                <w:sz w:val="18"/>
                <w:szCs w:val="18"/>
                <w:color w:val="auto"/>
              </w:rPr>
            </w:pPr>
          </w:p>
        </w:tc>
        <w:tc>
          <w:tcPr>
            <w:tcW w:w="460" w:type="dxa"/>
            <w:vAlign w:val="bottom"/>
            <w:vMerge w:val="restart"/>
            <w:shd w:val="clear" w:color="auto" w:fill="CCEEFF"/>
          </w:tcPr>
          <w:p>
            <w:pPr>
              <w:ind w:left="240"/>
              <w:spacing w:after="0"/>
              <w:rPr>
                <w:sz w:val="20"/>
                <w:szCs w:val="20"/>
                <w:color w:val="auto"/>
              </w:rPr>
            </w:pPr>
            <w:r>
              <w:rPr>
                <w:rFonts w:ascii="Arial" w:cs="Arial" w:eastAsia="Arial" w:hAnsi="Arial"/>
                <w:sz w:val="15"/>
                <w:szCs w:val="15"/>
                <w:b w:val="1"/>
                <w:bCs w:val="1"/>
                <w:color w:val="auto"/>
              </w:rPr>
              <w:t>—</w:t>
            </w:r>
          </w:p>
        </w:tc>
        <w:tc>
          <w:tcPr>
            <w:tcW w:w="360" w:type="dxa"/>
            <w:vAlign w:val="bottom"/>
            <w:shd w:val="clear" w:color="auto" w:fill="CCEEFF"/>
          </w:tcPr>
          <w:p>
            <w:pPr>
              <w:spacing w:after="0"/>
              <w:rPr>
                <w:sz w:val="18"/>
                <w:szCs w:val="18"/>
                <w:color w:val="auto"/>
              </w:rPr>
            </w:pPr>
          </w:p>
        </w:tc>
        <w:tc>
          <w:tcPr>
            <w:tcW w:w="3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1</w:t>
            </w:r>
          </w:p>
        </w:tc>
        <w:tc>
          <w:tcPr>
            <w:tcW w:w="400" w:type="dxa"/>
            <w:vAlign w:val="bottom"/>
            <w:shd w:val="clear" w:color="auto" w:fill="CCEEFF"/>
          </w:tcPr>
          <w:p>
            <w:pPr>
              <w:spacing w:after="0"/>
              <w:rPr>
                <w:sz w:val="18"/>
                <w:szCs w:val="18"/>
                <w:color w:val="auto"/>
              </w:rPr>
            </w:pPr>
          </w:p>
        </w:tc>
        <w:tc>
          <w:tcPr>
            <w:tcW w:w="360" w:type="dxa"/>
            <w:vAlign w:val="bottom"/>
            <w:vMerge w:val="restart"/>
            <w:shd w:val="clear" w:color="auto" w:fill="CCEEFF"/>
          </w:tcPr>
          <w:p>
            <w:pPr>
              <w:ind w:left="160"/>
              <w:spacing w:after="0"/>
              <w:rPr>
                <w:sz w:val="20"/>
                <w:szCs w:val="20"/>
                <w:color w:val="auto"/>
              </w:rPr>
            </w:pPr>
            <w:r>
              <w:rPr>
                <w:rFonts w:ascii="Arial" w:cs="Arial" w:eastAsia="Arial" w:hAnsi="Arial"/>
                <w:sz w:val="15"/>
                <w:szCs w:val="15"/>
                <w:b w:val="1"/>
                <w:bCs w:val="1"/>
                <w:color w:val="auto"/>
              </w:rPr>
              <w:t>—</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1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5"/>
                <w:szCs w:val="15"/>
                <w:color w:val="auto"/>
              </w:rPr>
              <w:t>contracts</w:t>
            </w:r>
          </w:p>
        </w:tc>
        <w:tc>
          <w:tcPr>
            <w:tcW w:w="56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vMerge w:val="continue"/>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vMerge w:val="continue"/>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vMerge w:val="continue"/>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center"/>
              <w:ind w:left="43"/>
              <w:spacing w:after="0"/>
              <w:rPr>
                <w:sz w:val="20"/>
                <w:szCs w:val="20"/>
                <w:color w:val="auto"/>
              </w:rPr>
            </w:pPr>
            <w:r>
              <w:rPr>
                <w:rFonts w:ascii="Arial" w:cs="Arial" w:eastAsia="Arial" w:hAnsi="Arial"/>
                <w:sz w:val="15"/>
                <w:szCs w:val="15"/>
                <w:color w:val="auto"/>
              </w:rPr>
              <w:t>—</w:t>
            </w:r>
          </w:p>
        </w:tc>
        <w:tc>
          <w:tcPr>
            <w:tcW w:w="42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w:t>
            </w:r>
          </w:p>
        </w:tc>
        <w:tc>
          <w:tcPr>
            <w:tcW w:w="5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5"/>
                <w:szCs w:val="15"/>
                <w:color w:val="auto"/>
                <w:w w:val="93"/>
              </w:rPr>
              <w:t>—</w:t>
            </w:r>
          </w:p>
        </w:tc>
        <w:tc>
          <w:tcPr>
            <w:tcW w:w="0" w:type="dxa"/>
            <w:vAlign w:val="bottom"/>
          </w:tcPr>
          <w:p>
            <w:pPr>
              <w:spacing w:after="0"/>
              <w:rPr>
                <w:sz w:val="1"/>
                <w:szCs w:val="1"/>
                <w:color w:val="auto"/>
              </w:rPr>
            </w:pPr>
          </w:p>
        </w:tc>
      </w:tr>
      <w:tr>
        <w:trPr>
          <w:trHeight w:val="179"/>
        </w:trPr>
        <w:tc>
          <w:tcPr>
            <w:tcW w:w="21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Total Assets</w:t>
            </w:r>
          </w:p>
        </w:tc>
        <w:tc>
          <w:tcPr>
            <w:tcW w:w="5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w:t>
            </w:r>
          </w:p>
        </w:tc>
        <w:tc>
          <w:tcPr>
            <w:tcW w:w="460" w:type="dxa"/>
            <w:vAlign w:val="bottom"/>
            <w:tcBorders>
              <w:bottom w:val="single" w:sz="8" w:color="auto"/>
            </w:tcBorders>
          </w:tcPr>
          <w:p>
            <w:pPr>
              <w:ind w:left="240"/>
              <w:spacing w:after="0"/>
              <w:rPr>
                <w:sz w:val="20"/>
                <w:szCs w:val="20"/>
                <w:color w:val="auto"/>
              </w:rPr>
            </w:pPr>
            <w:r>
              <w:rPr>
                <w:rFonts w:ascii="Arial" w:cs="Arial" w:eastAsia="Arial" w:hAnsi="Arial"/>
                <w:sz w:val="15"/>
                <w:szCs w:val="15"/>
                <w:b w:val="1"/>
                <w:bCs w:val="1"/>
                <w:color w:val="auto"/>
              </w:rPr>
              <w:t>—</w:t>
            </w:r>
          </w:p>
        </w:tc>
        <w:tc>
          <w:tcPr>
            <w:tcW w:w="36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w:t>
            </w:r>
          </w:p>
        </w:tc>
        <w:tc>
          <w:tcPr>
            <w:tcW w:w="3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7</w:t>
            </w:r>
          </w:p>
        </w:tc>
        <w:tc>
          <w:tcPr>
            <w:tcW w:w="40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b w:val="1"/>
                <w:bCs w:val="1"/>
                <w:color w:val="auto"/>
              </w:rPr>
              <w:t>$</w:t>
            </w:r>
          </w:p>
        </w:tc>
        <w:tc>
          <w:tcPr>
            <w:tcW w:w="360" w:type="dxa"/>
            <w:vAlign w:val="bottom"/>
            <w:tcBorders>
              <w:bottom w:val="single" w:sz="8" w:color="auto"/>
            </w:tcBorders>
          </w:tcPr>
          <w:p>
            <w:pPr>
              <w:ind w:left="160"/>
              <w:spacing w:after="0"/>
              <w:rPr>
                <w:sz w:val="20"/>
                <w:szCs w:val="20"/>
                <w:color w:val="auto"/>
              </w:rPr>
            </w:pPr>
            <w:r>
              <w:rPr>
                <w:rFonts w:ascii="Arial" w:cs="Arial" w:eastAsia="Arial" w:hAnsi="Arial"/>
                <w:sz w:val="15"/>
                <w:szCs w:val="15"/>
                <w:b w:val="1"/>
                <w:bCs w:val="1"/>
                <w:color w:val="auto"/>
              </w:rPr>
              <w:t>—</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tcPr>
          <w:p>
            <w:pPr>
              <w:ind w:left="260"/>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jc w:val="center"/>
              <w:ind w:left="23"/>
              <w:spacing w:after="0"/>
              <w:rPr>
                <w:sz w:val="20"/>
                <w:szCs w:val="20"/>
                <w:color w:val="auto"/>
              </w:rPr>
            </w:pPr>
            <w:r>
              <w:rPr>
                <w:rFonts w:ascii="Arial" w:cs="Arial" w:eastAsia="Arial" w:hAnsi="Arial"/>
                <w:sz w:val="15"/>
                <w:szCs w:val="15"/>
                <w:color w:val="auto"/>
              </w:rPr>
              <w:t>6</w:t>
            </w:r>
          </w:p>
        </w:tc>
        <w:tc>
          <w:tcPr>
            <w:tcW w:w="42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8</w:t>
            </w:r>
          </w:p>
        </w:tc>
        <w:tc>
          <w:tcPr>
            <w:tcW w:w="52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w w:val="93"/>
              </w:rPr>
              <w:t>—</w:t>
            </w:r>
          </w:p>
        </w:tc>
        <w:tc>
          <w:tcPr>
            <w:tcW w:w="0" w:type="dxa"/>
            <w:vAlign w:val="bottom"/>
          </w:tcPr>
          <w:p>
            <w:pPr>
              <w:spacing w:after="0"/>
              <w:rPr>
                <w:sz w:val="1"/>
                <w:szCs w:val="1"/>
                <w:color w:val="auto"/>
              </w:rPr>
            </w:pPr>
          </w:p>
        </w:tc>
      </w:tr>
      <w:tr>
        <w:trPr>
          <w:trHeight w:val="195"/>
        </w:trPr>
        <w:tc>
          <w:tcPr>
            <w:tcW w:w="21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Liabilities</w:t>
            </w:r>
          </w:p>
        </w:tc>
        <w:tc>
          <w:tcPr>
            <w:tcW w:w="5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100" w:type="dxa"/>
            <w:vAlign w:val="bottom"/>
          </w:tcPr>
          <w:p>
            <w:pPr>
              <w:spacing w:after="0"/>
              <w:rPr>
                <w:sz w:val="20"/>
                <w:szCs w:val="20"/>
                <w:color w:val="auto"/>
              </w:rPr>
            </w:pPr>
            <w:r>
              <w:rPr>
                <w:rFonts w:ascii="Arial" w:cs="Arial" w:eastAsia="Arial" w:hAnsi="Arial"/>
                <w:sz w:val="15"/>
                <w:szCs w:val="15"/>
                <w:color w:val="auto"/>
              </w:rPr>
              <w:t>Foreign exchange forward</w:t>
            </w:r>
          </w:p>
        </w:tc>
        <w:tc>
          <w:tcPr>
            <w:tcW w:w="560" w:type="dxa"/>
            <w:vAlign w:val="bottom"/>
          </w:tcPr>
          <w:p>
            <w:pPr>
              <w:spacing w:after="0"/>
              <w:rPr>
                <w:sz w:val="18"/>
                <w:szCs w:val="18"/>
                <w:color w:val="auto"/>
              </w:rPr>
            </w:pPr>
          </w:p>
        </w:tc>
        <w:tc>
          <w:tcPr>
            <w:tcW w:w="460" w:type="dxa"/>
            <w:vAlign w:val="bottom"/>
            <w:vMerge w:val="restart"/>
          </w:tcPr>
          <w:p>
            <w:pPr>
              <w:ind w:left="240"/>
              <w:spacing w:after="0"/>
              <w:rPr>
                <w:sz w:val="20"/>
                <w:szCs w:val="20"/>
                <w:color w:val="auto"/>
              </w:rPr>
            </w:pPr>
            <w:r>
              <w:rPr>
                <w:rFonts w:ascii="Arial" w:cs="Arial" w:eastAsia="Arial" w:hAnsi="Arial"/>
                <w:sz w:val="15"/>
                <w:szCs w:val="15"/>
                <w:b w:val="1"/>
                <w:bCs w:val="1"/>
                <w:color w:val="auto"/>
              </w:rPr>
              <w:t>—</w:t>
            </w:r>
          </w:p>
        </w:tc>
        <w:tc>
          <w:tcPr>
            <w:tcW w:w="360" w:type="dxa"/>
            <w:vAlign w:val="bottom"/>
          </w:tcPr>
          <w:p>
            <w:pPr>
              <w:spacing w:after="0"/>
              <w:rPr>
                <w:sz w:val="18"/>
                <w:szCs w:val="18"/>
                <w:color w:val="auto"/>
              </w:rPr>
            </w:pPr>
          </w:p>
        </w:tc>
        <w:tc>
          <w:tcPr>
            <w:tcW w:w="380" w:type="dxa"/>
            <w:vAlign w:val="bottom"/>
            <w:vMerge w:val="restart"/>
          </w:tcPr>
          <w:p>
            <w:pPr>
              <w:jc w:val="right"/>
              <w:ind w:right="23"/>
              <w:spacing w:after="0"/>
              <w:rPr>
                <w:sz w:val="20"/>
                <w:szCs w:val="20"/>
                <w:color w:val="auto"/>
              </w:rPr>
            </w:pPr>
            <w:r>
              <w:rPr>
                <w:rFonts w:ascii="Arial" w:cs="Arial" w:eastAsia="Arial" w:hAnsi="Arial"/>
                <w:sz w:val="15"/>
                <w:szCs w:val="15"/>
                <w:b w:val="1"/>
                <w:bCs w:val="1"/>
                <w:color w:val="auto"/>
              </w:rPr>
              <w:t>1</w:t>
            </w:r>
          </w:p>
        </w:tc>
        <w:tc>
          <w:tcPr>
            <w:tcW w:w="400" w:type="dxa"/>
            <w:vAlign w:val="bottom"/>
          </w:tcPr>
          <w:p>
            <w:pPr>
              <w:spacing w:after="0"/>
              <w:rPr>
                <w:sz w:val="18"/>
                <w:szCs w:val="18"/>
                <w:color w:val="auto"/>
              </w:rPr>
            </w:pPr>
          </w:p>
        </w:tc>
        <w:tc>
          <w:tcPr>
            <w:tcW w:w="36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10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contracts</w:t>
            </w:r>
          </w:p>
        </w:tc>
        <w:tc>
          <w:tcPr>
            <w:tcW w:w="5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ind w:left="260"/>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center"/>
              <w:ind w:left="23"/>
              <w:spacing w:after="0"/>
              <w:rPr>
                <w:sz w:val="20"/>
                <w:szCs w:val="20"/>
                <w:color w:val="auto"/>
              </w:rPr>
            </w:pPr>
            <w:r>
              <w:rPr>
                <w:rFonts w:ascii="Arial" w:cs="Arial" w:eastAsia="Arial" w:hAnsi="Arial"/>
                <w:sz w:val="15"/>
                <w:szCs w:val="15"/>
                <w:color w:val="auto"/>
              </w:rPr>
              <w:t>2</w:t>
            </w:r>
          </w:p>
        </w:tc>
        <w:tc>
          <w:tcPr>
            <w:tcW w:w="4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w:t>
            </w:r>
          </w:p>
        </w:tc>
        <w:tc>
          <w:tcPr>
            <w:tcW w:w="5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w w:val="93"/>
              </w:rPr>
              <w:t>—</w:t>
            </w:r>
          </w:p>
        </w:tc>
        <w:tc>
          <w:tcPr>
            <w:tcW w:w="0" w:type="dxa"/>
            <w:vAlign w:val="bottom"/>
          </w:tcPr>
          <w:p>
            <w:pPr>
              <w:spacing w:after="0"/>
              <w:rPr>
                <w:sz w:val="1"/>
                <w:szCs w:val="1"/>
                <w:color w:val="auto"/>
              </w:rPr>
            </w:pPr>
          </w:p>
        </w:tc>
      </w:tr>
      <w:tr>
        <w:trPr>
          <w:trHeight w:val="179"/>
        </w:trPr>
        <w:tc>
          <w:tcPr>
            <w:tcW w:w="2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Total Liabilities</w:t>
            </w:r>
          </w:p>
        </w:tc>
        <w:tc>
          <w:tcPr>
            <w:tcW w:w="5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w:t>
            </w:r>
          </w:p>
        </w:tc>
        <w:tc>
          <w:tcPr>
            <w:tcW w:w="46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5"/>
                <w:szCs w:val="15"/>
                <w:b w:val="1"/>
                <w:bCs w:val="1"/>
                <w:color w:val="auto"/>
              </w:rPr>
              <w:t>—</w:t>
            </w:r>
          </w:p>
        </w:tc>
        <w:tc>
          <w:tcPr>
            <w:tcW w:w="36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w:t>
            </w:r>
          </w:p>
        </w:tc>
        <w:tc>
          <w:tcPr>
            <w:tcW w:w="3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1</w:t>
            </w:r>
          </w:p>
        </w:tc>
        <w:tc>
          <w:tcPr>
            <w:tcW w:w="40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b w:val="1"/>
                <w:bCs w:val="1"/>
                <w:color w:val="auto"/>
              </w:rPr>
              <w:t>$</w:t>
            </w:r>
          </w:p>
        </w:tc>
        <w:tc>
          <w:tcPr>
            <w:tcW w:w="3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5"/>
                <w:szCs w:val="15"/>
                <w:b w:val="1"/>
                <w:bCs w:val="1"/>
                <w:color w:val="auto"/>
              </w:rPr>
              <w:t>—</w:t>
            </w:r>
          </w:p>
        </w:tc>
        <w:tc>
          <w:tcPr>
            <w:tcW w:w="2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shd w:val="clear" w:color="auto" w:fill="CCEEFF"/>
          </w:tcPr>
          <w:p>
            <w:pPr>
              <w:jc w:val="center"/>
              <w:ind w:left="23"/>
              <w:spacing w:after="0"/>
              <w:rPr>
                <w:sz w:val="20"/>
                <w:szCs w:val="20"/>
                <w:color w:val="auto"/>
              </w:rPr>
            </w:pPr>
            <w:r>
              <w:rPr>
                <w:rFonts w:ascii="Arial" w:cs="Arial" w:eastAsia="Arial" w:hAnsi="Arial"/>
                <w:sz w:val="15"/>
                <w:szCs w:val="15"/>
                <w:color w:val="auto"/>
              </w:rPr>
              <w:t>2</w:t>
            </w:r>
          </w:p>
        </w:tc>
        <w:tc>
          <w:tcPr>
            <w:tcW w:w="42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w:t>
            </w:r>
          </w:p>
        </w:tc>
        <w:tc>
          <w:tcPr>
            <w:tcW w:w="52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5"/>
                <w:szCs w:val="15"/>
                <w:color w:val="auto"/>
                <w:w w:val="93"/>
              </w:rPr>
              <w:t>—</w:t>
            </w:r>
          </w:p>
        </w:tc>
        <w:tc>
          <w:tcPr>
            <w:tcW w:w="0" w:type="dxa"/>
            <w:vAlign w:val="bottom"/>
          </w:tcPr>
          <w:p>
            <w:pPr>
              <w:spacing w:after="0"/>
              <w:rPr>
                <w:sz w:val="1"/>
                <w:szCs w:val="1"/>
                <w:color w:val="auto"/>
              </w:rPr>
            </w:pPr>
          </w:p>
        </w:tc>
      </w:tr>
    </w:tbl>
    <w:p>
      <w:pPr>
        <w:spacing w:after="0" w:line="124"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In conjunction with the first quarter 2018 adoption of ASU 2016-01, </w:t>
      </w:r>
      <w:r>
        <w:rPr>
          <w:rFonts w:ascii="Arial" w:cs="Arial" w:eastAsia="Arial" w:hAnsi="Arial"/>
          <w:sz w:val="15"/>
          <w:szCs w:val="15"/>
          <w:i w:val="1"/>
          <w:iCs w:val="1"/>
          <w:color w:val="auto"/>
        </w:rPr>
        <w:t>Financial Instruments – Overall (Subtopic 825-10): Recognition</w:t>
      </w:r>
      <w:r>
        <w:rPr>
          <w:rFonts w:ascii="Arial" w:cs="Arial" w:eastAsia="Arial" w:hAnsi="Arial"/>
          <w:sz w:val="15"/>
          <w:szCs w:val="15"/>
          <w:color w:val="auto"/>
        </w:rPr>
        <w:t xml:space="preserve"> </w:t>
      </w:r>
      <w:r>
        <w:rPr>
          <w:rFonts w:ascii="Arial" w:cs="Arial" w:eastAsia="Arial" w:hAnsi="Arial"/>
          <w:sz w:val="15"/>
          <w:szCs w:val="15"/>
          <w:i w:val="1"/>
          <w:iCs w:val="1"/>
          <w:color w:val="auto"/>
        </w:rPr>
        <w:t>and Measurement of Financial Assets and Financial Liabilities</w:t>
      </w:r>
      <w:r>
        <w:rPr>
          <w:rFonts w:ascii="Arial" w:cs="Arial" w:eastAsia="Arial" w:hAnsi="Arial"/>
          <w:sz w:val="15"/>
          <w:szCs w:val="15"/>
          <w:color w:val="auto"/>
        </w:rPr>
        <w:t>, our security classified as available-for-sale is now recorded at fair</w:t>
      </w:r>
      <w:r>
        <w:rPr>
          <w:rFonts w:ascii="Arial" w:cs="Arial" w:eastAsia="Arial" w:hAnsi="Arial"/>
          <w:sz w:val="15"/>
          <w:szCs w:val="15"/>
          <w:i w:val="1"/>
          <w:iCs w:val="1"/>
          <w:color w:val="auto"/>
        </w:rPr>
        <w:t xml:space="preserve"> </w:t>
      </w:r>
      <w:r>
        <w:rPr>
          <w:rFonts w:ascii="Arial" w:cs="Arial" w:eastAsia="Arial" w:hAnsi="Arial"/>
          <w:sz w:val="15"/>
          <w:szCs w:val="15"/>
          <w:color w:val="auto"/>
        </w:rPr>
        <w:t>value with gains and losses reported to other income in our Statement of Operations, whereas previously it was recorded to AOCL. The adjustment recorded to retained earnings as a result of adopting ASU 2016-01 was not significant. The fair value of the auction rate security is determined by using quoted prices for similar instruments in active markets and accordingly is classified as a Level 2 instrument.</w:t>
      </w:r>
    </w:p>
    <w:p>
      <w:pPr>
        <w:spacing w:after="0" w:line="328"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Company’s derivative financial instruments are valued using market-based inputs to valuation models. These valuation models require a variety of inputs, including contractual terms, market prices, yield curves, and measures of volatility and therefore are classified as Level 2 instruments.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color w:val="auto"/>
        </w:rPr>
        <w:t>There were no transfers into or out of Level 1, Level 2, or Level 3 assets and liabilities for any of the periods presented.</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6" w:right="1399" w:bottom="1440" w:gutter="0" w:footer="0" w:header="0"/>
        </w:sectPr>
      </w:pPr>
    </w:p>
    <w:bookmarkStart w:id="13" w:name="page14"/>
    <w:bookmarkEnd w:id="13"/>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The carrying value and estimated fair value of long-term debt and obligations under capital leases were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9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120" w:type="dxa"/>
            <w:vAlign w:val="bottom"/>
          </w:tcPr>
          <w:p>
            <w:pPr>
              <w:jc w:val="right"/>
              <w:ind w:right="463"/>
              <w:spacing w:after="0"/>
              <w:rPr>
                <w:sz w:val="20"/>
                <w:szCs w:val="20"/>
                <w:color w:val="auto"/>
              </w:rPr>
            </w:pPr>
            <w:r>
              <w:rPr>
                <w:rFonts w:ascii="Arial" w:cs="Arial" w:eastAsia="Arial" w:hAnsi="Arial"/>
                <w:sz w:val="15"/>
                <w:szCs w:val="15"/>
                <w:b w:val="1"/>
                <w:bCs w:val="1"/>
                <w:color w:val="auto"/>
              </w:rPr>
              <w:t>May 5,</w:t>
            </w:r>
          </w:p>
        </w:tc>
        <w:tc>
          <w:tcPr>
            <w:tcW w:w="420" w:type="dxa"/>
            <w:vAlign w:val="bottom"/>
          </w:tcPr>
          <w:p>
            <w:pPr>
              <w:spacing w:after="0"/>
              <w:rPr>
                <w:sz w:val="15"/>
                <w:szCs w:val="15"/>
                <w:color w:val="auto"/>
              </w:rPr>
            </w:pPr>
          </w:p>
        </w:tc>
        <w:tc>
          <w:tcPr>
            <w:tcW w:w="1140" w:type="dxa"/>
            <w:vAlign w:val="bottom"/>
          </w:tcPr>
          <w:p>
            <w:pPr>
              <w:jc w:val="right"/>
              <w:ind w:right="443"/>
              <w:spacing w:after="0"/>
              <w:rPr>
                <w:sz w:val="20"/>
                <w:szCs w:val="20"/>
                <w:color w:val="auto"/>
              </w:rPr>
            </w:pPr>
            <w:r>
              <w:rPr>
                <w:rFonts w:ascii="Arial" w:cs="Arial" w:eastAsia="Arial" w:hAnsi="Arial"/>
                <w:sz w:val="15"/>
                <w:szCs w:val="15"/>
                <w:b w:val="1"/>
                <w:bCs w:val="1"/>
                <w:color w:val="auto"/>
              </w:rPr>
              <w:t>April 29,</w:t>
            </w:r>
          </w:p>
        </w:tc>
        <w:tc>
          <w:tcPr>
            <w:tcW w:w="280" w:type="dxa"/>
            <w:vAlign w:val="bottom"/>
          </w:tcPr>
          <w:p>
            <w:pPr>
              <w:spacing w:after="0"/>
              <w:rPr>
                <w:sz w:val="15"/>
                <w:szCs w:val="15"/>
                <w:color w:val="auto"/>
              </w:rPr>
            </w:pPr>
          </w:p>
        </w:tc>
        <w:tc>
          <w:tcPr>
            <w:tcW w:w="1100" w:type="dxa"/>
            <w:vAlign w:val="bottom"/>
          </w:tcPr>
          <w:p>
            <w:pPr>
              <w:jc w:val="right"/>
              <w:ind w:right="183"/>
              <w:spacing w:after="0"/>
              <w:rPr>
                <w:sz w:val="20"/>
                <w:szCs w:val="20"/>
                <w:color w:val="auto"/>
              </w:rPr>
            </w:pPr>
            <w:r>
              <w:rPr>
                <w:rFonts w:ascii="Arial" w:cs="Arial" w:eastAsia="Arial" w:hAnsi="Arial"/>
                <w:sz w:val="15"/>
                <w:szCs w:val="15"/>
                <w:b w:val="1"/>
                <w:bCs w:val="1"/>
                <w:color w:val="auto"/>
              </w:rPr>
              <w:t>February 3,</w:t>
            </w:r>
          </w:p>
        </w:tc>
      </w:tr>
      <w:tr>
        <w:trPr>
          <w:trHeight w:val="194"/>
        </w:trPr>
        <w:tc>
          <w:tcPr>
            <w:tcW w:w="29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43"/>
              <w:spacing w:after="0"/>
              <w:rPr>
                <w:sz w:val="20"/>
                <w:szCs w:val="20"/>
                <w:color w:val="auto"/>
              </w:rPr>
            </w:pPr>
            <w:r>
              <w:rPr>
                <w:rFonts w:ascii="Arial" w:cs="Arial" w:eastAsia="Arial" w:hAnsi="Arial"/>
                <w:sz w:val="15"/>
                <w:szCs w:val="15"/>
                <w:b w:val="1"/>
                <w:bCs w:val="1"/>
                <w:color w:val="auto"/>
              </w:rPr>
              <w:t>2018</w:t>
            </w: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83"/>
              <w:spacing w:after="0"/>
              <w:rPr>
                <w:sz w:val="20"/>
                <w:szCs w:val="20"/>
                <w:color w:val="auto"/>
              </w:rPr>
            </w:pPr>
            <w:r>
              <w:rPr>
                <w:rFonts w:ascii="Arial" w:cs="Arial" w:eastAsia="Arial" w:hAnsi="Arial"/>
                <w:sz w:val="15"/>
                <w:szCs w:val="15"/>
                <w:b w:val="1"/>
                <w:bCs w:val="1"/>
                <w:color w:val="auto"/>
              </w:rPr>
              <w:t>2017</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2018</w:t>
            </w:r>
          </w:p>
        </w:tc>
      </w:tr>
      <w:tr>
        <w:trPr>
          <w:trHeight w:val="187"/>
        </w:trPr>
        <w:tc>
          <w:tcPr>
            <w:tcW w:w="29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303"/>
              <w:spacing w:after="0"/>
              <w:rPr>
                <w:sz w:val="20"/>
                <w:szCs w:val="20"/>
                <w:color w:val="auto"/>
              </w:rPr>
            </w:pPr>
            <w:r>
              <w:rPr>
                <w:rFonts w:ascii="Arial" w:cs="Arial" w:eastAsia="Arial" w:hAnsi="Arial"/>
                <w:sz w:val="15"/>
                <w:szCs w:val="15"/>
                <w:color w:val="auto"/>
              </w:rPr>
              <w:t>in millions)</w:t>
            </w: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7"/>
        </w:trPr>
        <w:tc>
          <w:tcPr>
            <w:tcW w:w="2940" w:type="dxa"/>
            <w:vAlign w:val="bottom"/>
            <w:shd w:val="clear" w:color="auto" w:fill="CCEEFF"/>
          </w:tcPr>
          <w:p>
            <w:pPr>
              <w:spacing w:after="0"/>
              <w:rPr>
                <w:sz w:val="20"/>
                <w:szCs w:val="20"/>
                <w:color w:val="auto"/>
              </w:rPr>
            </w:pPr>
            <w:r>
              <w:rPr>
                <w:rFonts w:ascii="Arial" w:cs="Arial" w:eastAsia="Arial" w:hAnsi="Arial"/>
                <w:sz w:val="15"/>
                <w:szCs w:val="15"/>
                <w:color w:val="auto"/>
              </w:rPr>
              <w:t>Carrying value</w:t>
            </w:r>
          </w:p>
        </w:tc>
        <w:tc>
          <w:tcPr>
            <w:tcW w:w="210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w:t>
            </w:r>
          </w:p>
        </w:tc>
        <w:tc>
          <w:tcPr>
            <w:tcW w:w="112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125</w:t>
            </w:r>
          </w:p>
        </w:tc>
        <w:tc>
          <w:tcPr>
            <w:tcW w:w="4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127</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w:t>
            </w:r>
          </w:p>
        </w:tc>
      </w:tr>
      <w:tr>
        <w:trPr>
          <w:trHeight w:val="207"/>
        </w:trPr>
        <w:tc>
          <w:tcPr>
            <w:tcW w:w="29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Fair value</w:t>
            </w:r>
          </w:p>
        </w:tc>
        <w:tc>
          <w:tcPr>
            <w:tcW w:w="21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w:t>
            </w:r>
          </w:p>
        </w:tc>
        <w:tc>
          <w:tcPr>
            <w:tcW w:w="11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142</w:t>
            </w:r>
          </w:p>
        </w:tc>
        <w:tc>
          <w:tcPr>
            <w:tcW w:w="42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147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144</w:t>
            </w:r>
          </w:p>
        </w:tc>
      </w:tr>
    </w:tbl>
    <w:p>
      <w:pPr>
        <w:spacing w:after="0" w:line="189"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fair value of long-term debt is determined by using model-derived valuations in which all significant inputs or significant value drivers are observable in active markets and therefore are classified as Level 2. The carrying values of cash and cash equivalents, and other current receivables and payables approximate their fair value.</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11. Earnings Per Share</w:t>
      </w:r>
    </w:p>
    <w:p>
      <w:pPr>
        <w:spacing w:after="0" w:line="113"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The Company accounts for and discloses earnings per share using the treasury stock method. Basic earnings per share is computed by dividing net income for the period by the weighted-average number of common shares outstanding at the end of the period. Restricted stock awards, which contain non-forfeitable rights to dividends, are considered participating securities and are included in the calculation of basic earnings per share. Diluted earnings per share reflects the weighted-average number of common shares outstanding during the period used in the basic earnings per share computation plus dilutive common stock equivalents.</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The computation of basic and diluted earnings per share is as follows:</w:t>
      </w:r>
    </w:p>
    <w:p>
      <w:pPr>
        <w:spacing w:after="0" w:line="65" w:lineRule="exact"/>
        <w:rPr>
          <w:sz w:val="20"/>
          <w:szCs w:val="20"/>
          <w:color w:val="auto"/>
        </w:rPr>
      </w:pPr>
    </w:p>
    <w:p>
      <w:pPr>
        <w:ind w:left="6640"/>
        <w:spacing w:after="0"/>
        <w:rPr>
          <w:sz w:val="20"/>
          <w:szCs w:val="20"/>
          <w:color w:val="auto"/>
        </w:rPr>
      </w:pPr>
      <w:r>
        <w:rPr>
          <w:rFonts w:ascii="Arial" w:cs="Arial" w:eastAsia="Arial" w:hAnsi="Arial"/>
          <w:sz w:val="15"/>
          <w:szCs w:val="15"/>
          <w:b w:val="1"/>
          <w:bCs w:val="1"/>
          <w:color w:val="auto"/>
        </w:rPr>
        <w:t>Thirteen weeks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16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5"/>
                <w:szCs w:val="15"/>
                <w:b w:val="1"/>
                <w:bCs w:val="1"/>
                <w:color w:val="auto"/>
              </w:rPr>
              <w:t>May 5,</w:t>
            </w:r>
          </w:p>
        </w:tc>
        <w:tc>
          <w:tcPr>
            <w:tcW w:w="6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5"/>
                <w:szCs w:val="15"/>
                <w:b w:val="1"/>
                <w:bCs w:val="1"/>
                <w:color w:val="auto"/>
              </w:rPr>
              <w:t>April 29,</w:t>
            </w:r>
          </w:p>
        </w:tc>
        <w:tc>
          <w:tcPr>
            <w:tcW w:w="420" w:type="dxa"/>
            <w:vAlign w:val="bottom"/>
            <w:tcBorders>
              <w:top w:val="single" w:sz="8" w:color="auto"/>
            </w:tcBorders>
          </w:tcPr>
          <w:p>
            <w:pPr>
              <w:spacing w:after="0"/>
              <w:rPr>
                <w:sz w:val="13"/>
                <w:szCs w:val="13"/>
                <w:color w:val="auto"/>
              </w:rPr>
            </w:pPr>
          </w:p>
        </w:tc>
      </w:tr>
      <w:tr>
        <w:trPr>
          <w:trHeight w:val="205"/>
        </w:trPr>
        <w:tc>
          <w:tcPr>
            <w:tcW w:w="51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2018</w:t>
            </w:r>
          </w:p>
        </w:tc>
        <w:tc>
          <w:tcPr>
            <w:tcW w:w="6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2017</w:t>
            </w:r>
          </w:p>
        </w:tc>
        <w:tc>
          <w:tcPr>
            <w:tcW w:w="420" w:type="dxa"/>
            <w:vAlign w:val="bottom"/>
            <w:tcBorders>
              <w:bottom w:val="single" w:sz="8" w:color="auto"/>
            </w:tcBorders>
          </w:tcPr>
          <w:p>
            <w:pPr>
              <w:spacing w:after="0"/>
              <w:rPr>
                <w:sz w:val="17"/>
                <w:szCs w:val="17"/>
                <w:color w:val="auto"/>
              </w:rPr>
            </w:pPr>
          </w:p>
        </w:tc>
      </w:tr>
      <w:tr>
        <w:trPr>
          <w:trHeight w:val="187"/>
        </w:trPr>
        <w:tc>
          <w:tcPr>
            <w:tcW w:w="5160" w:type="dxa"/>
            <w:vAlign w:val="bottom"/>
          </w:tcPr>
          <w:p>
            <w:pPr>
              <w:spacing w:after="0"/>
              <w:rPr>
                <w:sz w:val="16"/>
                <w:szCs w:val="16"/>
                <w:color w:val="auto"/>
              </w:rPr>
            </w:pPr>
          </w:p>
        </w:tc>
        <w:tc>
          <w:tcPr>
            <w:tcW w:w="3520" w:type="dxa"/>
            <w:vAlign w:val="bottom"/>
            <w:gridSpan w:val="3"/>
          </w:tcPr>
          <w:p>
            <w:pPr>
              <w:jc w:val="right"/>
              <w:spacing w:after="0"/>
              <w:rPr>
                <w:sz w:val="20"/>
                <w:szCs w:val="20"/>
                <w:color w:val="auto"/>
              </w:rPr>
            </w:pPr>
            <w:r>
              <w:rPr>
                <w:rFonts w:ascii="Arial" w:cs="Arial" w:eastAsia="Arial" w:hAnsi="Arial"/>
                <w:sz w:val="15"/>
                <w:szCs w:val="15"/>
                <w:color w:val="auto"/>
              </w:rPr>
              <w:t>(in millions, except per share data)</w:t>
            </w:r>
          </w:p>
        </w:tc>
        <w:tc>
          <w:tcPr>
            <w:tcW w:w="420" w:type="dxa"/>
            <w:vAlign w:val="bottom"/>
          </w:tcPr>
          <w:p>
            <w:pPr>
              <w:spacing w:after="0"/>
              <w:rPr>
                <w:sz w:val="16"/>
                <w:szCs w:val="16"/>
                <w:color w:val="auto"/>
              </w:rPr>
            </w:pPr>
          </w:p>
        </w:tc>
      </w:tr>
      <w:tr>
        <w:trPr>
          <w:trHeight w:val="208"/>
        </w:trPr>
        <w:tc>
          <w:tcPr>
            <w:tcW w:w="5160" w:type="dxa"/>
            <w:vAlign w:val="bottom"/>
            <w:shd w:val="clear" w:color="auto" w:fill="CCEEFF"/>
          </w:tcPr>
          <w:p>
            <w:pPr>
              <w:spacing w:after="0"/>
              <w:rPr>
                <w:sz w:val="20"/>
                <w:szCs w:val="20"/>
                <w:color w:val="auto"/>
              </w:rPr>
            </w:pPr>
            <w:r>
              <w:rPr>
                <w:rFonts w:ascii="Arial" w:cs="Arial" w:eastAsia="Arial" w:hAnsi="Arial"/>
                <w:sz w:val="15"/>
                <w:szCs w:val="15"/>
                <w:color w:val="auto"/>
              </w:rPr>
              <w:t>Net Income</w:t>
            </w:r>
          </w:p>
        </w:tc>
        <w:tc>
          <w:tcPr>
            <w:tcW w:w="1660" w:type="dxa"/>
            <w:vAlign w:val="bottom"/>
            <w:shd w:val="clear" w:color="auto" w:fill="CCEEFF"/>
          </w:tcPr>
          <w:p>
            <w:pPr>
              <w:jc w:val="right"/>
              <w:ind w:right="803"/>
              <w:spacing w:after="0"/>
              <w:rPr>
                <w:sz w:val="20"/>
                <w:szCs w:val="20"/>
                <w:color w:val="auto"/>
              </w:rPr>
            </w:pPr>
            <w:r>
              <w:rPr>
                <w:rFonts w:ascii="Arial" w:cs="Arial" w:eastAsia="Arial" w:hAnsi="Arial"/>
                <w:sz w:val="15"/>
                <w:szCs w:val="15"/>
                <w:b w:val="1"/>
                <w:bCs w:val="1"/>
                <w:color w:val="auto"/>
              </w:rPr>
              <w:t>$</w:t>
            </w:r>
          </w:p>
        </w:tc>
        <w:tc>
          <w:tcPr>
            <w:tcW w:w="64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165</w:t>
            </w:r>
          </w:p>
        </w:tc>
        <w:tc>
          <w:tcPr>
            <w:tcW w:w="1220" w:type="dxa"/>
            <w:vAlign w:val="bottom"/>
            <w:shd w:val="clear" w:color="auto" w:fill="CCEEFF"/>
          </w:tcPr>
          <w:p>
            <w:pPr>
              <w:jc w:val="right"/>
              <w:ind w:right="823"/>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w:t>
            </w:r>
          </w:p>
        </w:tc>
      </w:tr>
      <w:tr>
        <w:trPr>
          <w:trHeight w:val="195"/>
        </w:trPr>
        <w:tc>
          <w:tcPr>
            <w:tcW w:w="5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07"/>
        </w:trPr>
        <w:tc>
          <w:tcPr>
            <w:tcW w:w="5160" w:type="dxa"/>
            <w:vAlign w:val="bottom"/>
            <w:shd w:val="clear" w:color="auto" w:fill="CCEEFF"/>
          </w:tcPr>
          <w:p>
            <w:pPr>
              <w:spacing w:after="0"/>
              <w:rPr>
                <w:sz w:val="20"/>
                <w:szCs w:val="20"/>
                <w:color w:val="auto"/>
              </w:rPr>
            </w:pPr>
            <w:r>
              <w:rPr>
                <w:rFonts w:ascii="Arial" w:cs="Arial" w:eastAsia="Arial" w:hAnsi="Arial"/>
                <w:sz w:val="15"/>
                <w:szCs w:val="15"/>
                <w:color w:val="auto"/>
              </w:rPr>
              <w:t>Weighted-average common shares outstanding</w:t>
            </w:r>
          </w:p>
        </w:tc>
        <w:tc>
          <w:tcPr>
            <w:tcW w:w="16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118.7</w:t>
            </w:r>
          </w:p>
        </w:tc>
        <w:tc>
          <w:tcPr>
            <w:tcW w:w="12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131.4</w:t>
            </w:r>
          </w:p>
        </w:tc>
      </w:tr>
      <w:tr>
        <w:trPr>
          <w:trHeight w:val="207"/>
        </w:trPr>
        <w:tc>
          <w:tcPr>
            <w:tcW w:w="51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Dilutive effect of potential common shares</w:t>
            </w:r>
          </w:p>
        </w:tc>
        <w:tc>
          <w:tcPr>
            <w:tcW w:w="16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0.4</w:t>
            </w:r>
          </w:p>
        </w:tc>
        <w:tc>
          <w:tcPr>
            <w:tcW w:w="12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w:t>
            </w:r>
          </w:p>
        </w:tc>
      </w:tr>
      <w:tr>
        <w:trPr>
          <w:trHeight w:val="179"/>
        </w:trPr>
        <w:tc>
          <w:tcPr>
            <w:tcW w:w="5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Weighted-average common shares outstanding assuming dilution</w:t>
            </w:r>
          </w:p>
        </w:tc>
        <w:tc>
          <w:tcPr>
            <w:tcW w:w="16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119.1</w:t>
            </w:r>
          </w:p>
        </w:tc>
        <w:tc>
          <w:tcPr>
            <w:tcW w:w="122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132.6</w:t>
            </w:r>
          </w:p>
        </w:tc>
      </w:tr>
      <w:tr>
        <w:trPr>
          <w:trHeight w:val="182"/>
        </w:trPr>
        <w:tc>
          <w:tcPr>
            <w:tcW w:w="51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207"/>
        </w:trPr>
        <w:tc>
          <w:tcPr>
            <w:tcW w:w="5160" w:type="dxa"/>
            <w:vAlign w:val="bottom"/>
            <w:shd w:val="clear" w:color="auto" w:fill="CCEEFF"/>
          </w:tcPr>
          <w:p>
            <w:pPr>
              <w:spacing w:after="0"/>
              <w:rPr>
                <w:sz w:val="20"/>
                <w:szCs w:val="20"/>
                <w:color w:val="auto"/>
              </w:rPr>
            </w:pPr>
            <w:r>
              <w:rPr>
                <w:rFonts w:ascii="Arial" w:cs="Arial" w:eastAsia="Arial" w:hAnsi="Arial"/>
                <w:sz w:val="15"/>
                <w:szCs w:val="15"/>
                <w:color w:val="auto"/>
              </w:rPr>
              <w:t>Earnings per share - basic</w:t>
            </w:r>
          </w:p>
        </w:tc>
        <w:tc>
          <w:tcPr>
            <w:tcW w:w="1660" w:type="dxa"/>
            <w:vAlign w:val="bottom"/>
            <w:shd w:val="clear" w:color="auto" w:fill="CCEEFF"/>
          </w:tcPr>
          <w:p>
            <w:pPr>
              <w:jc w:val="right"/>
              <w:ind w:right="803"/>
              <w:spacing w:after="0"/>
              <w:rPr>
                <w:sz w:val="20"/>
                <w:szCs w:val="20"/>
                <w:color w:val="auto"/>
              </w:rPr>
            </w:pPr>
            <w:r>
              <w:rPr>
                <w:rFonts w:ascii="Arial" w:cs="Arial" w:eastAsia="Arial" w:hAnsi="Arial"/>
                <w:sz w:val="15"/>
                <w:szCs w:val="15"/>
                <w:b w:val="1"/>
                <w:bCs w:val="1"/>
                <w:color w:val="auto"/>
              </w:rPr>
              <w:t>$</w:t>
            </w:r>
          </w:p>
        </w:tc>
        <w:tc>
          <w:tcPr>
            <w:tcW w:w="64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1.39</w:t>
            </w:r>
          </w:p>
        </w:tc>
        <w:tc>
          <w:tcPr>
            <w:tcW w:w="1220" w:type="dxa"/>
            <w:vAlign w:val="bottom"/>
            <w:shd w:val="clear" w:color="auto" w:fill="CCEEFF"/>
          </w:tcPr>
          <w:p>
            <w:pPr>
              <w:jc w:val="right"/>
              <w:ind w:right="823"/>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w:t>
            </w:r>
          </w:p>
        </w:tc>
      </w:tr>
      <w:tr>
        <w:trPr>
          <w:trHeight w:val="207"/>
        </w:trPr>
        <w:tc>
          <w:tcPr>
            <w:tcW w:w="5160" w:type="dxa"/>
            <w:vAlign w:val="bottom"/>
          </w:tcPr>
          <w:p>
            <w:pPr>
              <w:spacing w:after="0"/>
              <w:rPr>
                <w:sz w:val="20"/>
                <w:szCs w:val="20"/>
                <w:color w:val="auto"/>
              </w:rPr>
            </w:pPr>
            <w:r>
              <w:rPr>
                <w:rFonts w:ascii="Arial" w:cs="Arial" w:eastAsia="Arial" w:hAnsi="Arial"/>
                <w:sz w:val="15"/>
                <w:szCs w:val="15"/>
                <w:color w:val="auto"/>
              </w:rPr>
              <w:t>Earnings per share - diluted</w:t>
            </w:r>
          </w:p>
        </w:tc>
        <w:tc>
          <w:tcPr>
            <w:tcW w:w="1660" w:type="dxa"/>
            <w:vAlign w:val="bottom"/>
          </w:tcPr>
          <w:p>
            <w:pPr>
              <w:jc w:val="right"/>
              <w:ind w:right="803"/>
              <w:spacing w:after="0"/>
              <w:rPr>
                <w:sz w:val="20"/>
                <w:szCs w:val="20"/>
                <w:color w:val="auto"/>
              </w:rPr>
            </w:pPr>
            <w:r>
              <w:rPr>
                <w:rFonts w:ascii="Arial" w:cs="Arial" w:eastAsia="Arial" w:hAnsi="Arial"/>
                <w:sz w:val="15"/>
                <w:szCs w:val="15"/>
                <w:b w:val="1"/>
                <w:bCs w:val="1"/>
                <w:color w:val="auto"/>
              </w:rPr>
              <w:t>$</w:t>
            </w:r>
          </w:p>
        </w:tc>
        <w:tc>
          <w:tcPr>
            <w:tcW w:w="640" w:type="dxa"/>
            <w:vAlign w:val="bottom"/>
          </w:tcPr>
          <w:p>
            <w:pPr>
              <w:jc w:val="right"/>
              <w:ind w:right="143"/>
              <w:spacing w:after="0"/>
              <w:rPr>
                <w:sz w:val="20"/>
                <w:szCs w:val="20"/>
                <w:color w:val="auto"/>
              </w:rPr>
            </w:pPr>
            <w:r>
              <w:rPr>
                <w:rFonts w:ascii="Arial" w:cs="Arial" w:eastAsia="Arial" w:hAnsi="Arial"/>
                <w:sz w:val="15"/>
                <w:szCs w:val="15"/>
                <w:b w:val="1"/>
                <w:bCs w:val="1"/>
                <w:color w:val="auto"/>
              </w:rPr>
              <w:t>1.38</w:t>
            </w:r>
          </w:p>
        </w:tc>
        <w:tc>
          <w:tcPr>
            <w:tcW w:w="1220" w:type="dxa"/>
            <w:vAlign w:val="bottom"/>
          </w:tcPr>
          <w:p>
            <w:pPr>
              <w:jc w:val="right"/>
              <w:ind w:right="823"/>
              <w:spacing w:after="0"/>
              <w:rPr>
                <w:sz w:val="20"/>
                <w:szCs w:val="20"/>
                <w:color w:val="auto"/>
              </w:rPr>
            </w:pPr>
            <w:r>
              <w:rPr>
                <w:rFonts w:ascii="Arial" w:cs="Arial" w:eastAsia="Arial" w:hAnsi="Arial"/>
                <w:sz w:val="15"/>
                <w:szCs w:val="15"/>
                <w:color w:val="auto"/>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1.36</w:t>
            </w:r>
          </w:p>
        </w:tc>
      </w:tr>
      <w:tr>
        <w:trPr>
          <w:trHeight w:val="195"/>
        </w:trPr>
        <w:tc>
          <w:tcPr>
            <w:tcW w:w="516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r>
      <w:tr>
        <w:trPr>
          <w:trHeight w:val="207"/>
        </w:trPr>
        <w:tc>
          <w:tcPr>
            <w:tcW w:w="51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Anti-dilutive option awards excluded from diluted calculation</w:t>
            </w:r>
          </w:p>
        </w:tc>
        <w:tc>
          <w:tcPr>
            <w:tcW w:w="16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2.2</w:t>
            </w:r>
          </w:p>
        </w:tc>
        <w:tc>
          <w:tcPr>
            <w:tcW w:w="12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0.2</w:t>
            </w:r>
          </w:p>
        </w:tc>
      </w:tr>
    </w:tbl>
    <w:p>
      <w:pPr>
        <w:spacing w:after="0" w:line="189"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Additionally, shares of 1.1 million and 0.4 million as of May 5, 2018 and April 29, 2017, respectively, have been excluded from diluted weighted-average shares as the number of shares that will be issued is contingent on the Company’s performance metrics as compared to the pre-established performance goals which have not been achieved as of May 5, 2018 and April 29, 2017. These shares relate to restricted stock units issued in connection with the Company’s long-term incentive program.</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12. Pension and Postretirement Plans</w:t>
      </w:r>
    </w:p>
    <w:p>
      <w:pPr>
        <w:spacing w:after="0" w:line="186"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The Company has defined benefit pension plans covering certain of its North American employees, which are funded in accordance with the provisions of the laws where the plans are in effect. The Company also has a defined benefit pension plan covering certain employees of the Runners Point Group. In addition to providing pension benefits, the Company sponsors postretirement medical and life insurance plans, which are available to most of its retired U.S. employees. These medical and life insurance plans are contributory and are not funded.</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6" w:right="139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192" w:lineRule="exact"/>
        <w:rPr>
          <w:sz w:val="20"/>
          <w:szCs w:val="20"/>
          <w:color w:val="auto"/>
        </w:rPr>
      </w:pPr>
    </w:p>
    <w:p>
      <w:pPr>
        <w:jc w:val="both"/>
        <w:ind w:right="20"/>
        <w:spacing w:after="0" w:line="241" w:lineRule="auto"/>
        <w:rPr>
          <w:sz w:val="20"/>
          <w:szCs w:val="20"/>
          <w:color w:val="auto"/>
        </w:rPr>
      </w:pPr>
      <w:r>
        <w:rPr>
          <w:rFonts w:ascii="Arial" w:cs="Arial" w:eastAsia="Arial" w:hAnsi="Arial"/>
          <w:sz w:val="15"/>
          <w:szCs w:val="15"/>
          <w:color w:val="auto"/>
        </w:rPr>
        <w:t xml:space="preserve">The following are the components of net periodic pension benefit cost and net periodic postretirement benefit income. In conjunction with the adoption of ASU 2017-07, </w:t>
      </w:r>
      <w:r>
        <w:rPr>
          <w:rFonts w:ascii="Arial" w:cs="Arial" w:eastAsia="Arial" w:hAnsi="Arial"/>
          <w:sz w:val="15"/>
          <w:szCs w:val="15"/>
          <w:i w:val="1"/>
          <w:iCs w:val="1"/>
          <w:color w:val="auto"/>
        </w:rPr>
        <w:t>Compensation - Retirement Benefits (Topic 715) Improving the Presentation of Net Periodic</w:t>
      </w:r>
      <w:r>
        <w:rPr>
          <w:rFonts w:ascii="Arial" w:cs="Arial" w:eastAsia="Arial" w:hAnsi="Arial"/>
          <w:sz w:val="15"/>
          <w:szCs w:val="15"/>
          <w:color w:val="auto"/>
        </w:rPr>
        <w:t xml:space="preserve"> </w:t>
      </w:r>
      <w:r>
        <w:rPr>
          <w:rFonts w:ascii="Arial" w:cs="Arial" w:eastAsia="Arial" w:hAnsi="Arial"/>
          <w:sz w:val="15"/>
          <w:szCs w:val="15"/>
          <w:i w:val="1"/>
          <w:iCs w:val="1"/>
          <w:color w:val="auto"/>
        </w:rPr>
        <w:t>Pension Cost and Net Periodic Postretirement Benefit Cost</w:t>
      </w:r>
      <w:r>
        <w:rPr>
          <w:rFonts w:ascii="Arial" w:cs="Arial" w:eastAsia="Arial" w:hAnsi="Arial"/>
          <w:sz w:val="15"/>
          <w:szCs w:val="15"/>
          <w:color w:val="auto"/>
        </w:rPr>
        <w:t>, service cost continues to be recognized as part of SG&amp;A expense,</w:t>
      </w:r>
      <w:r>
        <w:rPr>
          <w:rFonts w:ascii="Arial" w:cs="Arial" w:eastAsia="Arial" w:hAnsi="Arial"/>
          <w:sz w:val="15"/>
          <w:szCs w:val="15"/>
          <w:i w:val="1"/>
          <w:iCs w:val="1"/>
          <w:color w:val="auto"/>
        </w:rPr>
        <w:t xml:space="preserve"> </w:t>
      </w:r>
      <w:r>
        <w:rPr>
          <w:rFonts w:ascii="Arial" w:cs="Arial" w:eastAsia="Arial" w:hAnsi="Arial"/>
          <w:sz w:val="15"/>
          <w:szCs w:val="15"/>
          <w:color w:val="auto"/>
        </w:rPr>
        <w:t>while the remaining pension and postretirement expense components are now recognized as part of other income. Prior periods were not reclassified as required by this ASU as the amounts were not considered significant.</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90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3"/>
          </w:tcPr>
          <w:p>
            <w:pPr>
              <w:jc w:val="right"/>
              <w:ind w:right="403"/>
              <w:spacing w:after="0"/>
              <w:rPr>
                <w:sz w:val="20"/>
                <w:szCs w:val="20"/>
                <w:color w:val="auto"/>
              </w:rPr>
            </w:pPr>
            <w:r>
              <w:rPr>
                <w:rFonts w:ascii="Arial" w:cs="Arial" w:eastAsia="Arial" w:hAnsi="Arial"/>
                <w:sz w:val="15"/>
                <w:szCs w:val="15"/>
                <w:b w:val="1"/>
                <w:bCs w:val="1"/>
                <w:color w:val="auto"/>
              </w:rPr>
              <w:t>Pension Benefits</w:t>
            </w:r>
          </w:p>
        </w:tc>
        <w:tc>
          <w:tcPr>
            <w:tcW w:w="4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ind w:left="160"/>
              <w:spacing w:after="0"/>
              <w:rPr>
                <w:sz w:val="20"/>
                <w:szCs w:val="20"/>
                <w:color w:val="auto"/>
              </w:rPr>
            </w:pPr>
            <w:r>
              <w:rPr>
                <w:rFonts w:ascii="Arial" w:cs="Arial" w:eastAsia="Arial" w:hAnsi="Arial"/>
                <w:sz w:val="15"/>
                <w:szCs w:val="15"/>
                <w:b w:val="1"/>
                <w:bCs w:val="1"/>
                <w:color w:val="auto"/>
              </w:rPr>
              <w:t>Postretirement Benefits</w:t>
            </w:r>
          </w:p>
        </w:tc>
      </w:tr>
      <w:tr>
        <w:trPr>
          <w:trHeight w:val="187"/>
        </w:trPr>
        <w:tc>
          <w:tcPr>
            <w:tcW w:w="290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3"/>
          </w:tcPr>
          <w:p>
            <w:pPr>
              <w:jc w:val="right"/>
              <w:ind w:right="223"/>
              <w:spacing w:after="0"/>
              <w:rPr>
                <w:sz w:val="20"/>
                <w:szCs w:val="20"/>
                <w:color w:val="auto"/>
              </w:rPr>
            </w:pPr>
            <w:r>
              <w:rPr>
                <w:rFonts w:ascii="Arial" w:cs="Arial" w:eastAsia="Arial" w:hAnsi="Arial"/>
                <w:sz w:val="15"/>
                <w:szCs w:val="15"/>
                <w:b w:val="1"/>
                <w:bCs w:val="1"/>
                <w:color w:val="auto"/>
              </w:rPr>
              <w:t>Thirteen weeks ended</w:t>
            </w:r>
          </w:p>
        </w:tc>
        <w:tc>
          <w:tcPr>
            <w:tcW w:w="4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ind w:left="220"/>
              <w:spacing w:after="0"/>
              <w:rPr>
                <w:sz w:val="20"/>
                <w:szCs w:val="20"/>
                <w:color w:val="auto"/>
              </w:rPr>
            </w:pPr>
            <w:r>
              <w:rPr>
                <w:rFonts w:ascii="Arial" w:cs="Arial" w:eastAsia="Arial" w:hAnsi="Arial"/>
                <w:sz w:val="15"/>
                <w:szCs w:val="15"/>
                <w:b w:val="1"/>
                <w:bCs w:val="1"/>
                <w:color w:val="auto"/>
              </w:rPr>
              <w:t>Thirteen weeks ended</w:t>
            </w:r>
          </w:p>
        </w:tc>
      </w:tr>
      <w:tr>
        <w:trPr>
          <w:trHeight w:val="139"/>
        </w:trPr>
        <w:tc>
          <w:tcPr>
            <w:tcW w:w="2900" w:type="dxa"/>
            <w:vAlign w:val="bottom"/>
          </w:tcPr>
          <w:p>
            <w:pPr>
              <w:spacing w:after="0"/>
              <w:rPr>
                <w:sz w:val="12"/>
                <w:szCs w:val="12"/>
                <w:color w:val="auto"/>
              </w:rPr>
            </w:pPr>
          </w:p>
        </w:tc>
        <w:tc>
          <w:tcPr>
            <w:tcW w:w="1540" w:type="dxa"/>
            <w:vAlign w:val="bottom"/>
          </w:tcPr>
          <w:p>
            <w:pPr>
              <w:jc w:val="right"/>
              <w:ind w:right="3"/>
              <w:spacing w:after="0" w:line="139" w:lineRule="exact"/>
              <w:rPr>
                <w:sz w:val="20"/>
                <w:szCs w:val="20"/>
                <w:color w:val="auto"/>
              </w:rPr>
            </w:pPr>
            <w:r>
              <w:rPr>
                <w:rFonts w:ascii="Arial" w:cs="Arial" w:eastAsia="Arial" w:hAnsi="Arial"/>
                <w:sz w:val="15"/>
                <w:szCs w:val="15"/>
                <w:b w:val="1"/>
                <w:bCs w:val="1"/>
                <w:color w:val="auto"/>
              </w:rPr>
              <w:t>May 5,</w:t>
            </w:r>
          </w:p>
        </w:tc>
        <w:tc>
          <w:tcPr>
            <w:tcW w:w="420" w:type="dxa"/>
            <w:vAlign w:val="bottom"/>
          </w:tcPr>
          <w:p>
            <w:pPr>
              <w:spacing w:after="0"/>
              <w:rPr>
                <w:sz w:val="12"/>
                <w:szCs w:val="12"/>
                <w:color w:val="auto"/>
              </w:rPr>
            </w:pPr>
          </w:p>
        </w:tc>
        <w:tc>
          <w:tcPr>
            <w:tcW w:w="1100" w:type="dxa"/>
            <w:vAlign w:val="bottom"/>
          </w:tcPr>
          <w:p>
            <w:pPr>
              <w:jc w:val="right"/>
              <w:spacing w:after="0" w:line="139" w:lineRule="exact"/>
              <w:rPr>
                <w:sz w:val="20"/>
                <w:szCs w:val="20"/>
                <w:color w:val="auto"/>
              </w:rPr>
            </w:pPr>
            <w:r>
              <w:rPr>
                <w:rFonts w:ascii="Arial" w:cs="Arial" w:eastAsia="Arial" w:hAnsi="Arial"/>
                <w:sz w:val="15"/>
                <w:szCs w:val="15"/>
                <w:b w:val="1"/>
                <w:bCs w:val="1"/>
                <w:color w:val="auto"/>
              </w:rPr>
              <w:t>April 29,</w:t>
            </w: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ind w:left="60"/>
              <w:spacing w:after="0" w:line="139" w:lineRule="exact"/>
              <w:rPr>
                <w:sz w:val="20"/>
                <w:szCs w:val="20"/>
                <w:color w:val="auto"/>
              </w:rPr>
            </w:pPr>
            <w:r>
              <w:rPr>
                <w:rFonts w:ascii="Arial" w:cs="Arial" w:eastAsia="Arial" w:hAnsi="Arial"/>
                <w:sz w:val="15"/>
                <w:szCs w:val="15"/>
                <w:b w:val="1"/>
                <w:bCs w:val="1"/>
                <w:color w:val="auto"/>
              </w:rPr>
              <w:t>May 5,</w:t>
            </w:r>
          </w:p>
        </w:tc>
        <w:tc>
          <w:tcPr>
            <w:tcW w:w="280" w:type="dxa"/>
            <w:vAlign w:val="bottom"/>
          </w:tcPr>
          <w:p>
            <w:pPr>
              <w:spacing w:after="0"/>
              <w:rPr>
                <w:sz w:val="12"/>
                <w:szCs w:val="12"/>
                <w:color w:val="auto"/>
              </w:rPr>
            </w:pPr>
          </w:p>
        </w:tc>
        <w:tc>
          <w:tcPr>
            <w:tcW w:w="1080" w:type="dxa"/>
            <w:vAlign w:val="bottom"/>
          </w:tcPr>
          <w:p>
            <w:pPr>
              <w:ind w:left="140"/>
              <w:spacing w:after="0" w:line="139" w:lineRule="exact"/>
              <w:rPr>
                <w:sz w:val="20"/>
                <w:szCs w:val="20"/>
                <w:color w:val="auto"/>
              </w:rPr>
            </w:pPr>
            <w:r>
              <w:rPr>
                <w:rFonts w:ascii="Arial" w:cs="Arial" w:eastAsia="Arial" w:hAnsi="Arial"/>
                <w:sz w:val="15"/>
                <w:szCs w:val="15"/>
                <w:b w:val="1"/>
                <w:bCs w:val="1"/>
                <w:color w:val="auto"/>
              </w:rPr>
              <w:t>April 29,</w:t>
            </w:r>
          </w:p>
        </w:tc>
      </w:tr>
      <w:tr>
        <w:trPr>
          <w:trHeight w:val="194"/>
        </w:trPr>
        <w:tc>
          <w:tcPr>
            <w:tcW w:w="29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 in millions)</w:t>
            </w:r>
          </w:p>
        </w:tc>
        <w:tc>
          <w:tcPr>
            <w:tcW w:w="15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2018</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2017</w:t>
            </w:r>
          </w:p>
        </w:tc>
        <w:tc>
          <w:tcPr>
            <w:tcW w:w="4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140"/>
              <w:spacing w:after="0"/>
              <w:rPr>
                <w:sz w:val="20"/>
                <w:szCs w:val="20"/>
                <w:color w:val="auto"/>
              </w:rPr>
            </w:pPr>
            <w:r>
              <w:rPr>
                <w:rFonts w:ascii="Arial" w:cs="Arial" w:eastAsia="Arial" w:hAnsi="Arial"/>
                <w:sz w:val="15"/>
                <w:szCs w:val="15"/>
                <w:b w:val="1"/>
                <w:bCs w:val="1"/>
                <w:color w:val="auto"/>
              </w:rPr>
              <w:t>2018</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260"/>
              <w:spacing w:after="0"/>
              <w:rPr>
                <w:sz w:val="20"/>
                <w:szCs w:val="20"/>
                <w:color w:val="auto"/>
              </w:rPr>
            </w:pPr>
            <w:r>
              <w:rPr>
                <w:rFonts w:ascii="Arial" w:cs="Arial" w:eastAsia="Arial" w:hAnsi="Arial"/>
                <w:sz w:val="15"/>
                <w:szCs w:val="15"/>
                <w:b w:val="1"/>
                <w:bCs w:val="1"/>
                <w:color w:val="auto"/>
              </w:rPr>
              <w:t>2017</w:t>
            </w:r>
          </w:p>
        </w:tc>
      </w:tr>
      <w:tr>
        <w:trPr>
          <w:trHeight w:val="187"/>
        </w:trPr>
        <w:tc>
          <w:tcPr>
            <w:tcW w:w="2900" w:type="dxa"/>
            <w:vAlign w:val="bottom"/>
            <w:shd w:val="clear" w:color="auto" w:fill="CCEEFF"/>
          </w:tcPr>
          <w:p>
            <w:pPr>
              <w:spacing w:after="0"/>
              <w:rPr>
                <w:sz w:val="20"/>
                <w:szCs w:val="20"/>
                <w:color w:val="auto"/>
              </w:rPr>
            </w:pPr>
            <w:r>
              <w:rPr>
                <w:rFonts w:ascii="Arial" w:cs="Arial" w:eastAsia="Arial" w:hAnsi="Arial"/>
                <w:sz w:val="15"/>
                <w:szCs w:val="15"/>
                <w:color w:val="auto"/>
              </w:rPr>
              <w:t>Service cost</w:t>
            </w:r>
          </w:p>
        </w:tc>
        <w:tc>
          <w:tcPr>
            <w:tcW w:w="1540" w:type="dxa"/>
            <w:vAlign w:val="bottom"/>
            <w:shd w:val="clear" w:color="auto" w:fill="CCEEFF"/>
          </w:tcPr>
          <w:p>
            <w:pPr>
              <w:jc w:val="right"/>
              <w:ind w:right="603"/>
              <w:spacing w:after="0"/>
              <w:rPr>
                <w:sz w:val="20"/>
                <w:szCs w:val="20"/>
                <w:color w:val="auto"/>
              </w:rPr>
            </w:pPr>
            <w:r>
              <w:rPr>
                <w:rFonts w:ascii="Arial" w:cs="Arial" w:eastAsia="Arial" w:hAnsi="Arial"/>
                <w:sz w:val="15"/>
                <w:szCs w:val="15"/>
                <w:b w:val="1"/>
                <w:bCs w:val="1"/>
                <w:color w:val="auto"/>
              </w:rPr>
              <w:t>$</w:t>
            </w:r>
          </w:p>
        </w:tc>
        <w:tc>
          <w:tcPr>
            <w:tcW w:w="42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5</w:t>
            </w:r>
          </w:p>
        </w:tc>
        <w:tc>
          <w:tcPr>
            <w:tcW w:w="1100" w:type="dxa"/>
            <w:vAlign w:val="bottom"/>
            <w:shd w:val="clear" w:color="auto" w:fill="CCEEFF"/>
          </w:tcPr>
          <w:p>
            <w:pPr>
              <w:jc w:val="right"/>
              <w:ind w:right="863"/>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center"/>
              <w:ind w:right="3"/>
              <w:spacing w:after="0"/>
              <w:rPr>
                <w:sz w:val="20"/>
                <w:szCs w:val="20"/>
                <w:color w:val="auto"/>
              </w:rPr>
            </w:pPr>
            <w:r>
              <w:rPr>
                <w:rFonts w:ascii="Arial" w:cs="Arial" w:eastAsia="Arial" w:hAnsi="Arial"/>
                <w:sz w:val="15"/>
                <w:szCs w:val="15"/>
                <w:color w:val="auto"/>
                <w:w w:val="95"/>
              </w:rPr>
              <w:t>4</w:t>
            </w: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shd w:val="clear" w:color="auto" w:fill="CCEEFF"/>
          </w:tcPr>
          <w:p>
            <w:pPr>
              <w:ind w:left="800"/>
              <w:spacing w:after="0"/>
              <w:rPr>
                <w:sz w:val="20"/>
                <w:szCs w:val="20"/>
                <w:color w:val="auto"/>
              </w:rPr>
            </w:pPr>
            <w:r>
              <w:rPr>
                <w:rFonts w:ascii="Arial" w:cs="Arial" w:eastAsia="Arial" w:hAnsi="Arial"/>
                <w:sz w:val="15"/>
                <w:szCs w:val="15"/>
                <w:b w:val="1"/>
                <w:bCs w:val="1"/>
                <w:color w:val="auto"/>
              </w:rPr>
              <w:t>—</w:t>
            </w:r>
          </w:p>
        </w:tc>
        <w:tc>
          <w:tcPr>
            <w:tcW w:w="28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ind w:left="920"/>
              <w:spacing w:after="0"/>
              <w:rPr>
                <w:sz w:val="20"/>
                <w:szCs w:val="20"/>
                <w:color w:val="auto"/>
              </w:rPr>
            </w:pPr>
            <w:r>
              <w:rPr>
                <w:rFonts w:ascii="Arial" w:cs="Arial" w:eastAsia="Arial" w:hAnsi="Arial"/>
                <w:sz w:val="15"/>
                <w:szCs w:val="15"/>
                <w:color w:val="auto"/>
                <w:w w:val="93"/>
              </w:rPr>
              <w:t>—</w:t>
            </w:r>
          </w:p>
        </w:tc>
      </w:tr>
      <w:tr>
        <w:trPr>
          <w:trHeight w:val="207"/>
        </w:trPr>
        <w:tc>
          <w:tcPr>
            <w:tcW w:w="2900" w:type="dxa"/>
            <w:vAlign w:val="bottom"/>
          </w:tcPr>
          <w:p>
            <w:pPr>
              <w:spacing w:after="0"/>
              <w:rPr>
                <w:sz w:val="20"/>
                <w:szCs w:val="20"/>
                <w:color w:val="auto"/>
              </w:rPr>
            </w:pPr>
            <w:r>
              <w:rPr>
                <w:rFonts w:ascii="Arial" w:cs="Arial" w:eastAsia="Arial" w:hAnsi="Arial"/>
                <w:sz w:val="15"/>
                <w:szCs w:val="15"/>
                <w:color w:val="auto"/>
              </w:rPr>
              <w:t>Interest cost</w:t>
            </w:r>
          </w:p>
        </w:tc>
        <w:tc>
          <w:tcPr>
            <w:tcW w:w="1540" w:type="dxa"/>
            <w:vAlign w:val="bottom"/>
          </w:tcPr>
          <w:p>
            <w:pPr>
              <w:spacing w:after="0"/>
              <w:rPr>
                <w:sz w:val="17"/>
                <w:szCs w:val="17"/>
                <w:color w:val="auto"/>
              </w:rPr>
            </w:pPr>
          </w:p>
        </w:tc>
        <w:tc>
          <w:tcPr>
            <w:tcW w:w="420" w:type="dxa"/>
            <w:vAlign w:val="bottom"/>
          </w:tcPr>
          <w:p>
            <w:pPr>
              <w:jc w:val="right"/>
              <w:ind w:right="43"/>
              <w:spacing w:after="0"/>
              <w:rPr>
                <w:sz w:val="20"/>
                <w:szCs w:val="20"/>
                <w:color w:val="auto"/>
              </w:rPr>
            </w:pPr>
            <w:r>
              <w:rPr>
                <w:rFonts w:ascii="Arial" w:cs="Arial" w:eastAsia="Arial" w:hAnsi="Arial"/>
                <w:sz w:val="15"/>
                <w:szCs w:val="15"/>
                <w:b w:val="1"/>
                <w:bCs w:val="1"/>
                <w:color w:val="auto"/>
              </w:rPr>
              <w:t>6</w:t>
            </w:r>
          </w:p>
        </w:tc>
        <w:tc>
          <w:tcPr>
            <w:tcW w:w="1100" w:type="dxa"/>
            <w:vAlign w:val="bottom"/>
          </w:tcPr>
          <w:p>
            <w:pPr>
              <w:spacing w:after="0"/>
              <w:rPr>
                <w:sz w:val="17"/>
                <w:szCs w:val="17"/>
                <w:color w:val="auto"/>
              </w:rPr>
            </w:pPr>
          </w:p>
        </w:tc>
        <w:tc>
          <w:tcPr>
            <w:tcW w:w="440" w:type="dxa"/>
            <w:vAlign w:val="bottom"/>
          </w:tcPr>
          <w:p>
            <w:pPr>
              <w:jc w:val="center"/>
              <w:ind w:right="3"/>
              <w:spacing w:after="0"/>
              <w:rPr>
                <w:sz w:val="20"/>
                <w:szCs w:val="20"/>
                <w:color w:val="auto"/>
              </w:rPr>
            </w:pPr>
            <w:r>
              <w:rPr>
                <w:rFonts w:ascii="Arial" w:cs="Arial" w:eastAsia="Arial" w:hAnsi="Arial"/>
                <w:sz w:val="15"/>
                <w:szCs w:val="15"/>
                <w:color w:val="auto"/>
                <w:w w:val="95"/>
              </w:rPr>
              <w:t>6</w:t>
            </w:r>
          </w:p>
        </w:tc>
        <w:tc>
          <w:tcPr>
            <w:tcW w:w="320" w:type="dxa"/>
            <w:vAlign w:val="bottom"/>
          </w:tcPr>
          <w:p>
            <w:pPr>
              <w:spacing w:after="0"/>
              <w:rPr>
                <w:sz w:val="17"/>
                <w:szCs w:val="17"/>
                <w:color w:val="auto"/>
              </w:rPr>
            </w:pPr>
          </w:p>
        </w:tc>
        <w:tc>
          <w:tcPr>
            <w:tcW w:w="1020" w:type="dxa"/>
            <w:vAlign w:val="bottom"/>
          </w:tcPr>
          <w:p>
            <w:pPr>
              <w:ind w:left="800"/>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7"/>
                <w:szCs w:val="17"/>
                <w:color w:val="auto"/>
              </w:rPr>
            </w:pPr>
          </w:p>
        </w:tc>
        <w:tc>
          <w:tcPr>
            <w:tcW w:w="1080" w:type="dxa"/>
            <w:vAlign w:val="bottom"/>
          </w:tcPr>
          <w:p>
            <w:pPr>
              <w:ind w:left="920"/>
              <w:spacing w:after="0"/>
              <w:rPr>
                <w:sz w:val="20"/>
                <w:szCs w:val="20"/>
                <w:color w:val="auto"/>
              </w:rPr>
            </w:pPr>
            <w:r>
              <w:rPr>
                <w:rFonts w:ascii="Arial" w:cs="Arial" w:eastAsia="Arial" w:hAnsi="Arial"/>
                <w:sz w:val="15"/>
                <w:szCs w:val="15"/>
                <w:color w:val="auto"/>
                <w:w w:val="93"/>
              </w:rPr>
              <w:t>—</w:t>
            </w:r>
          </w:p>
        </w:tc>
      </w:tr>
      <w:tr>
        <w:trPr>
          <w:trHeight w:val="207"/>
        </w:trPr>
        <w:tc>
          <w:tcPr>
            <w:tcW w:w="2900" w:type="dxa"/>
            <w:vAlign w:val="bottom"/>
            <w:shd w:val="clear" w:color="auto" w:fill="CCEEFF"/>
          </w:tcPr>
          <w:p>
            <w:pPr>
              <w:spacing w:after="0"/>
              <w:rPr>
                <w:sz w:val="20"/>
                <w:szCs w:val="20"/>
                <w:color w:val="auto"/>
              </w:rPr>
            </w:pPr>
            <w:r>
              <w:rPr>
                <w:rFonts w:ascii="Arial" w:cs="Arial" w:eastAsia="Arial" w:hAnsi="Arial"/>
                <w:sz w:val="15"/>
                <w:szCs w:val="15"/>
                <w:color w:val="auto"/>
              </w:rPr>
              <w:t>Expected return on plan assets</w:t>
            </w:r>
          </w:p>
        </w:tc>
        <w:tc>
          <w:tcPr>
            <w:tcW w:w="154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(10)</w:t>
            </w:r>
          </w:p>
        </w:tc>
        <w:tc>
          <w:tcPr>
            <w:tcW w:w="1100" w:type="dxa"/>
            <w:vAlign w:val="bottom"/>
            <w:shd w:val="clear" w:color="auto" w:fill="CCEEFF"/>
          </w:tcPr>
          <w:p>
            <w:pPr>
              <w:spacing w:after="0"/>
              <w:rPr>
                <w:sz w:val="17"/>
                <w:szCs w:val="17"/>
                <w:color w:val="auto"/>
              </w:rPr>
            </w:pPr>
          </w:p>
        </w:tc>
        <w:tc>
          <w:tcPr>
            <w:tcW w:w="440" w:type="dxa"/>
            <w:vAlign w:val="bottom"/>
            <w:shd w:val="clear" w:color="auto" w:fill="CCEEFF"/>
          </w:tcPr>
          <w:p>
            <w:pPr>
              <w:jc w:val="center"/>
              <w:ind w:right="3"/>
              <w:spacing w:after="0"/>
              <w:rPr>
                <w:sz w:val="20"/>
                <w:szCs w:val="20"/>
                <w:color w:val="auto"/>
              </w:rPr>
            </w:pPr>
            <w:r>
              <w:rPr>
                <w:rFonts w:ascii="Arial" w:cs="Arial" w:eastAsia="Arial" w:hAnsi="Arial"/>
                <w:sz w:val="15"/>
                <w:szCs w:val="15"/>
                <w:color w:val="auto"/>
              </w:rPr>
              <w:t>(9)</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ind w:left="800"/>
              <w:spacing w:after="0"/>
              <w:rPr>
                <w:sz w:val="20"/>
                <w:szCs w:val="20"/>
                <w:color w:val="auto"/>
              </w:rPr>
            </w:pPr>
            <w:r>
              <w:rPr>
                <w:rFonts w:ascii="Arial" w:cs="Arial" w:eastAsia="Arial" w:hAnsi="Arial"/>
                <w:sz w:val="15"/>
                <w:szCs w:val="15"/>
                <w:b w:val="1"/>
                <w:bCs w:val="1"/>
                <w:color w:val="auto"/>
              </w:rPr>
              <w:t>—</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ind w:left="920"/>
              <w:spacing w:after="0"/>
              <w:rPr>
                <w:sz w:val="20"/>
                <w:szCs w:val="20"/>
                <w:color w:val="auto"/>
              </w:rPr>
            </w:pPr>
            <w:r>
              <w:rPr>
                <w:rFonts w:ascii="Arial" w:cs="Arial" w:eastAsia="Arial" w:hAnsi="Arial"/>
                <w:sz w:val="15"/>
                <w:szCs w:val="15"/>
                <w:color w:val="auto"/>
                <w:w w:val="93"/>
              </w:rPr>
              <w:t>—</w:t>
            </w:r>
          </w:p>
        </w:tc>
      </w:tr>
      <w:tr>
        <w:trPr>
          <w:trHeight w:val="207"/>
        </w:trPr>
        <w:tc>
          <w:tcPr>
            <w:tcW w:w="29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Amortization of net loss (gain)</w:t>
            </w:r>
          </w:p>
        </w:tc>
        <w:tc>
          <w:tcPr>
            <w:tcW w:w="15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3</w:t>
            </w:r>
          </w:p>
        </w:tc>
        <w:tc>
          <w:tcPr>
            <w:tcW w:w="1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center"/>
              <w:ind w:right="3"/>
              <w:spacing w:after="0"/>
              <w:rPr>
                <w:sz w:val="20"/>
                <w:szCs w:val="20"/>
                <w:color w:val="auto"/>
              </w:rPr>
            </w:pPr>
            <w:r>
              <w:rPr>
                <w:rFonts w:ascii="Arial" w:cs="Arial" w:eastAsia="Arial" w:hAnsi="Arial"/>
                <w:sz w:val="15"/>
                <w:szCs w:val="15"/>
                <w:color w:val="auto"/>
                <w:w w:val="95"/>
              </w:rPr>
              <w:t>3</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800"/>
              <w:spacing w:after="0"/>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ind w:left="920"/>
              <w:spacing w:after="0"/>
              <w:rPr>
                <w:sz w:val="20"/>
                <w:szCs w:val="20"/>
                <w:color w:val="auto"/>
              </w:rPr>
            </w:pPr>
            <w:r>
              <w:rPr>
                <w:rFonts w:ascii="Arial" w:cs="Arial" w:eastAsia="Arial" w:hAnsi="Arial"/>
                <w:sz w:val="15"/>
                <w:szCs w:val="15"/>
                <w:color w:val="auto"/>
                <w:w w:val="93"/>
              </w:rPr>
              <w:t>—</w:t>
            </w:r>
          </w:p>
        </w:tc>
      </w:tr>
      <w:tr>
        <w:trPr>
          <w:trHeight w:val="179"/>
        </w:trPr>
        <w:tc>
          <w:tcPr>
            <w:tcW w:w="2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Net benefit expense (income)</w:t>
            </w:r>
          </w:p>
        </w:tc>
        <w:tc>
          <w:tcPr>
            <w:tcW w:w="1540" w:type="dxa"/>
            <w:vAlign w:val="bottom"/>
            <w:tcBorders>
              <w:bottom w:val="single" w:sz="8" w:color="auto"/>
            </w:tcBorders>
            <w:shd w:val="clear" w:color="auto" w:fill="CCEEFF"/>
          </w:tcPr>
          <w:p>
            <w:pPr>
              <w:jc w:val="right"/>
              <w:ind w:right="603"/>
              <w:spacing w:after="0"/>
              <w:rPr>
                <w:sz w:val="20"/>
                <w:szCs w:val="20"/>
                <w:color w:val="auto"/>
              </w:rPr>
            </w:pPr>
            <w:r>
              <w:rPr>
                <w:rFonts w:ascii="Arial" w:cs="Arial" w:eastAsia="Arial" w:hAnsi="Arial"/>
                <w:sz w:val="15"/>
                <w:szCs w:val="15"/>
                <w:b w:val="1"/>
                <w:bCs w:val="1"/>
                <w:color w:val="auto"/>
              </w:rPr>
              <w:t>$</w:t>
            </w:r>
          </w:p>
        </w:tc>
        <w:tc>
          <w:tcPr>
            <w:tcW w:w="4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4</w:t>
            </w:r>
          </w:p>
        </w:tc>
        <w:tc>
          <w:tcPr>
            <w:tcW w:w="1100" w:type="dxa"/>
            <w:vAlign w:val="bottom"/>
            <w:tcBorders>
              <w:bottom w:val="single" w:sz="8" w:color="auto"/>
            </w:tcBorders>
            <w:shd w:val="clear" w:color="auto" w:fill="CCEEFF"/>
          </w:tcPr>
          <w:p>
            <w:pPr>
              <w:jc w:val="right"/>
              <w:ind w:right="863"/>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shd w:val="clear" w:color="auto" w:fill="CCEEFF"/>
          </w:tcPr>
          <w:p>
            <w:pPr>
              <w:jc w:val="center"/>
              <w:ind w:right="3"/>
              <w:spacing w:after="0"/>
              <w:rPr>
                <w:sz w:val="20"/>
                <w:szCs w:val="20"/>
                <w:color w:val="auto"/>
              </w:rPr>
            </w:pPr>
            <w:r>
              <w:rPr>
                <w:rFonts w:ascii="Arial" w:cs="Arial" w:eastAsia="Arial" w:hAnsi="Arial"/>
                <w:sz w:val="15"/>
                <w:szCs w:val="15"/>
                <w:color w:val="auto"/>
                <w:w w:val="95"/>
              </w:rPr>
              <w:t>4</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5"/>
                <w:szCs w:val="15"/>
                <w:color w:val="auto"/>
                <w:w w:val="93"/>
              </w:rPr>
              <w:t>—</w:t>
            </w:r>
          </w:p>
        </w:tc>
      </w:tr>
    </w:tbl>
    <w:p>
      <w:pPr>
        <w:spacing w:after="0" w:line="177" w:lineRule="exact"/>
        <w:rPr>
          <w:sz w:val="20"/>
          <w:szCs w:val="20"/>
          <w:color w:val="auto"/>
        </w:rPr>
      </w:pPr>
    </w:p>
    <w:p>
      <w:pPr>
        <w:jc w:val="both"/>
        <w:ind w:right="20"/>
        <w:spacing w:after="0" w:line="250" w:lineRule="auto"/>
        <w:rPr>
          <w:sz w:val="20"/>
          <w:szCs w:val="20"/>
          <w:color w:val="auto"/>
        </w:rPr>
      </w:pPr>
      <w:r>
        <w:rPr>
          <w:rFonts w:ascii="Arial" w:cs="Arial" w:eastAsia="Arial" w:hAnsi="Arial"/>
          <w:sz w:val="15"/>
          <w:szCs w:val="15"/>
          <w:color w:val="auto"/>
        </w:rPr>
        <w:t xml:space="preserve">The Company continually evaluates the amount and timing of any future contributions. Actual contributions are dependent on several factors; however, the Company expects to make contributions totaling $128 million during 2018 in connection with the anticipated U.S. pension plan reformation. The Company contributed approximately $30 million in late May 2018 and currently expects the remaining balance to be contributed on or before September 15, 2018. See Note 14, </w:t>
      </w:r>
      <w:r>
        <w:rPr>
          <w:rFonts w:ascii="Arial" w:cs="Arial" w:eastAsia="Arial" w:hAnsi="Arial"/>
          <w:sz w:val="15"/>
          <w:szCs w:val="15"/>
          <w:i w:val="1"/>
          <w:iCs w:val="1"/>
          <w:color w:val="auto"/>
        </w:rPr>
        <w:t>Legal Proceedings,</w:t>
      </w:r>
      <w:r>
        <w:rPr>
          <w:rFonts w:ascii="Arial" w:cs="Arial" w:eastAsia="Arial" w:hAnsi="Arial"/>
          <w:sz w:val="15"/>
          <w:szCs w:val="15"/>
          <w:color w:val="auto"/>
        </w:rPr>
        <w:t xml:space="preserve"> for further information about this matter.</w:t>
      </w:r>
    </w:p>
    <w:p>
      <w:pPr>
        <w:spacing w:after="0" w:line="3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13. Share-Based Compensation</w:t>
      </w:r>
    </w:p>
    <w:p>
      <w:pPr>
        <w:spacing w:after="0" w:line="186" w:lineRule="exact"/>
        <w:rPr>
          <w:sz w:val="20"/>
          <w:szCs w:val="20"/>
          <w:color w:val="auto"/>
        </w:rPr>
      </w:pPr>
    </w:p>
    <w:p>
      <w:pPr>
        <w:jc w:val="both"/>
        <w:ind w:right="20"/>
        <w:spacing w:after="0" w:line="254" w:lineRule="auto"/>
        <w:rPr>
          <w:sz w:val="20"/>
          <w:szCs w:val="20"/>
          <w:color w:val="auto"/>
        </w:rPr>
      </w:pPr>
      <w:r>
        <w:rPr>
          <w:rFonts w:ascii="Arial" w:cs="Arial" w:eastAsia="Arial" w:hAnsi="Arial"/>
          <w:sz w:val="15"/>
          <w:szCs w:val="15"/>
          <w:color w:val="auto"/>
        </w:rPr>
        <w:t>Total compensation expense included in SG&amp;A, and the associated tax benefits recognized related to the Company’s share-based compensation plans, were as follows:</w:t>
      </w:r>
    </w:p>
    <w:p>
      <w:pPr>
        <w:spacing w:after="0" w:line="43" w:lineRule="exact"/>
        <w:rPr>
          <w:sz w:val="20"/>
          <w:szCs w:val="20"/>
          <w:color w:val="auto"/>
        </w:rPr>
      </w:pPr>
    </w:p>
    <w:p>
      <w:pPr>
        <w:ind w:left="6700"/>
        <w:spacing w:after="0"/>
        <w:rPr>
          <w:sz w:val="20"/>
          <w:szCs w:val="20"/>
          <w:color w:val="auto"/>
        </w:rPr>
      </w:pPr>
      <w:r>
        <w:rPr>
          <w:rFonts w:ascii="Arial" w:cs="Arial" w:eastAsia="Arial" w:hAnsi="Arial"/>
          <w:sz w:val="15"/>
          <w:szCs w:val="15"/>
          <w:b w:val="1"/>
          <w:bCs w:val="1"/>
          <w:color w:val="auto"/>
        </w:rPr>
        <w:t>Thirteen weeks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48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jc w:val="right"/>
              <w:ind w:right="3"/>
              <w:spacing w:after="0" w:line="151" w:lineRule="exact"/>
              <w:rPr>
                <w:sz w:val="20"/>
                <w:szCs w:val="20"/>
                <w:color w:val="auto"/>
              </w:rPr>
            </w:pPr>
            <w:r>
              <w:rPr>
                <w:rFonts w:ascii="Arial" w:cs="Arial" w:eastAsia="Arial" w:hAnsi="Arial"/>
                <w:sz w:val="15"/>
                <w:szCs w:val="15"/>
                <w:b w:val="1"/>
                <w:bCs w:val="1"/>
                <w:color w:val="auto"/>
              </w:rPr>
              <w:t>May 5,</w:t>
            </w:r>
          </w:p>
        </w:tc>
        <w:tc>
          <w:tcPr>
            <w:tcW w:w="62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ind w:right="343"/>
              <w:spacing w:after="0" w:line="151" w:lineRule="exact"/>
              <w:rPr>
                <w:sz w:val="20"/>
                <w:szCs w:val="20"/>
                <w:color w:val="auto"/>
              </w:rPr>
            </w:pPr>
            <w:r>
              <w:rPr>
                <w:rFonts w:ascii="Arial" w:cs="Arial" w:eastAsia="Arial" w:hAnsi="Arial"/>
                <w:sz w:val="15"/>
                <w:szCs w:val="15"/>
                <w:b w:val="1"/>
                <w:bCs w:val="1"/>
                <w:color w:val="auto"/>
              </w:rPr>
              <w:t>April 29,</w:t>
            </w:r>
          </w:p>
        </w:tc>
      </w:tr>
      <w:tr>
        <w:trPr>
          <w:trHeight w:val="194"/>
        </w:trPr>
        <w:tc>
          <w:tcPr>
            <w:tcW w:w="54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2018</w:t>
            </w:r>
          </w:p>
        </w:tc>
        <w:tc>
          <w:tcPr>
            <w:tcW w:w="6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2017</w:t>
            </w:r>
          </w:p>
        </w:tc>
      </w:tr>
      <w:tr>
        <w:trPr>
          <w:trHeight w:val="187"/>
        </w:trPr>
        <w:tc>
          <w:tcPr>
            <w:tcW w:w="54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Arial" w:cs="Arial" w:eastAsia="Arial" w:hAnsi="Arial"/>
                <w:sz w:val="15"/>
                <w:szCs w:val="15"/>
                <w:color w:val="auto"/>
              </w:rPr>
              <w:t>($ in millions)</w:t>
            </w:r>
          </w:p>
        </w:tc>
        <w:tc>
          <w:tcPr>
            <w:tcW w:w="1080" w:type="dxa"/>
            <w:vAlign w:val="bottom"/>
          </w:tcPr>
          <w:p>
            <w:pPr>
              <w:spacing w:after="0"/>
              <w:rPr>
                <w:sz w:val="16"/>
                <w:szCs w:val="16"/>
                <w:color w:val="auto"/>
              </w:rPr>
            </w:pPr>
          </w:p>
        </w:tc>
      </w:tr>
      <w:tr>
        <w:trPr>
          <w:trHeight w:val="207"/>
        </w:trPr>
        <w:tc>
          <w:tcPr>
            <w:tcW w:w="5480" w:type="dxa"/>
            <w:vAlign w:val="bottom"/>
            <w:shd w:val="clear" w:color="auto" w:fill="CCEEFF"/>
          </w:tcPr>
          <w:p>
            <w:pPr>
              <w:spacing w:after="0"/>
              <w:rPr>
                <w:sz w:val="20"/>
                <w:szCs w:val="20"/>
                <w:color w:val="auto"/>
              </w:rPr>
            </w:pPr>
            <w:r>
              <w:rPr>
                <w:rFonts w:ascii="Arial" w:cs="Arial" w:eastAsia="Arial" w:hAnsi="Arial"/>
                <w:sz w:val="15"/>
                <w:szCs w:val="15"/>
                <w:color w:val="auto"/>
              </w:rPr>
              <w:t>Options and shares purchased under the employee stock purchase plan</w:t>
            </w:r>
          </w:p>
        </w:tc>
        <w:tc>
          <w:tcPr>
            <w:tcW w:w="1480" w:type="dxa"/>
            <w:vAlign w:val="bottom"/>
            <w:shd w:val="clear" w:color="auto" w:fill="CCEEFF"/>
          </w:tcPr>
          <w:p>
            <w:pPr>
              <w:jc w:val="right"/>
              <w:ind w:right="743"/>
              <w:spacing w:after="0"/>
              <w:rPr>
                <w:sz w:val="20"/>
                <w:szCs w:val="20"/>
                <w:color w:val="auto"/>
              </w:rPr>
            </w:pPr>
            <w:r>
              <w:rPr>
                <w:rFonts w:ascii="Arial" w:cs="Arial" w:eastAsia="Arial" w:hAnsi="Arial"/>
                <w:sz w:val="15"/>
                <w:szCs w:val="15"/>
                <w:b w:val="1"/>
                <w:bCs w:val="1"/>
                <w:color w:val="auto"/>
              </w:rPr>
              <w:t>$</w:t>
            </w:r>
          </w:p>
        </w:tc>
        <w:tc>
          <w:tcPr>
            <w:tcW w:w="62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2</w:t>
            </w:r>
          </w:p>
        </w:tc>
        <w:tc>
          <w:tcPr>
            <w:tcW w:w="4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r>
      <w:tr>
        <w:trPr>
          <w:trHeight w:val="207"/>
        </w:trPr>
        <w:tc>
          <w:tcPr>
            <w:tcW w:w="54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Restricted stock and restricted stock units</w:t>
            </w:r>
          </w:p>
        </w:tc>
        <w:tc>
          <w:tcPr>
            <w:tcW w:w="14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3</w:t>
            </w: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w:t>
            </w:r>
          </w:p>
        </w:tc>
      </w:tr>
      <w:tr>
        <w:trPr>
          <w:trHeight w:val="179"/>
        </w:trPr>
        <w:tc>
          <w:tcPr>
            <w:tcW w:w="5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Total share-based compensation expense</w:t>
            </w:r>
          </w:p>
        </w:tc>
        <w:tc>
          <w:tcPr>
            <w:tcW w:w="1480" w:type="dxa"/>
            <w:vAlign w:val="bottom"/>
            <w:tcBorders>
              <w:bottom w:val="single" w:sz="8" w:color="auto"/>
            </w:tcBorders>
            <w:shd w:val="clear" w:color="auto" w:fill="CCEEFF"/>
          </w:tcPr>
          <w:p>
            <w:pPr>
              <w:jc w:val="right"/>
              <w:ind w:right="743"/>
              <w:spacing w:after="0"/>
              <w:rPr>
                <w:sz w:val="20"/>
                <w:szCs w:val="20"/>
                <w:color w:val="auto"/>
              </w:rPr>
            </w:pPr>
            <w:r>
              <w:rPr>
                <w:rFonts w:ascii="Arial" w:cs="Arial" w:eastAsia="Arial" w:hAnsi="Arial"/>
                <w:sz w:val="15"/>
                <w:szCs w:val="15"/>
                <w:b w:val="1"/>
                <w:bCs w:val="1"/>
                <w:color w:val="auto"/>
              </w:rPr>
              <w:t>$</w:t>
            </w:r>
          </w:p>
        </w:tc>
        <w:tc>
          <w:tcPr>
            <w:tcW w:w="6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5</w:t>
            </w:r>
          </w:p>
        </w:tc>
        <w:tc>
          <w:tcPr>
            <w:tcW w:w="4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w:t>
            </w:r>
          </w:p>
        </w:tc>
      </w:tr>
      <w:tr>
        <w:trPr>
          <w:trHeight w:val="195"/>
        </w:trPr>
        <w:tc>
          <w:tcPr>
            <w:tcW w:w="54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7"/>
        </w:trPr>
        <w:tc>
          <w:tcPr>
            <w:tcW w:w="5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Tax benefit recognized</w:t>
            </w:r>
          </w:p>
        </w:tc>
        <w:tc>
          <w:tcPr>
            <w:tcW w:w="1480" w:type="dxa"/>
            <w:vAlign w:val="bottom"/>
            <w:tcBorders>
              <w:bottom w:val="single" w:sz="8" w:color="auto"/>
            </w:tcBorders>
            <w:shd w:val="clear" w:color="auto" w:fill="CCEEFF"/>
          </w:tcPr>
          <w:p>
            <w:pPr>
              <w:jc w:val="right"/>
              <w:ind w:right="743"/>
              <w:spacing w:after="0"/>
              <w:rPr>
                <w:sz w:val="20"/>
                <w:szCs w:val="20"/>
                <w:color w:val="auto"/>
              </w:rPr>
            </w:pPr>
            <w:r>
              <w:rPr>
                <w:rFonts w:ascii="Arial" w:cs="Arial" w:eastAsia="Arial" w:hAnsi="Arial"/>
                <w:sz w:val="15"/>
                <w:szCs w:val="15"/>
                <w:b w:val="1"/>
                <w:bCs w:val="1"/>
                <w:color w:val="auto"/>
              </w:rPr>
              <w:t>$</w:t>
            </w:r>
          </w:p>
        </w:tc>
        <w:tc>
          <w:tcPr>
            <w:tcW w:w="6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1</w:t>
            </w:r>
          </w:p>
        </w:tc>
        <w:tc>
          <w:tcPr>
            <w:tcW w:w="4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r>
    </w:tbl>
    <w:p>
      <w:pPr>
        <w:spacing w:after="0" w:line="17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Valuation Model and Assumptions</w:t>
      </w:r>
    </w:p>
    <w:p>
      <w:pPr>
        <w:spacing w:after="0" w:line="184" w:lineRule="exact"/>
        <w:rPr>
          <w:sz w:val="20"/>
          <w:szCs w:val="20"/>
          <w:color w:val="auto"/>
        </w:rPr>
      </w:pPr>
    </w:p>
    <w:p>
      <w:pPr>
        <w:jc w:val="both"/>
        <w:ind w:right="20"/>
        <w:spacing w:after="0" w:line="254" w:lineRule="auto"/>
        <w:rPr>
          <w:sz w:val="20"/>
          <w:szCs w:val="20"/>
          <w:color w:val="auto"/>
        </w:rPr>
      </w:pPr>
      <w:r>
        <w:rPr>
          <w:rFonts w:ascii="Arial" w:cs="Arial" w:eastAsia="Arial" w:hAnsi="Arial"/>
          <w:sz w:val="15"/>
          <w:szCs w:val="15"/>
          <w:color w:val="auto"/>
        </w:rPr>
        <w:t>The Company uses the Black-Scholes option-pricing model to estimate the fair value of share-based awards. The Black-Scholes option-pricing model incorporates various and subjective assumptions, including expected term and expected volatility.</w:t>
      </w:r>
    </w:p>
    <w:p>
      <w:pPr>
        <w:spacing w:after="0" w:line="146" w:lineRule="exact"/>
        <w:rPr>
          <w:sz w:val="20"/>
          <w:szCs w:val="20"/>
          <w:color w:val="auto"/>
        </w:rPr>
      </w:pPr>
    </w:p>
    <w:p>
      <w:pPr>
        <w:jc w:val="both"/>
        <w:ind w:right="20"/>
        <w:spacing w:after="0" w:line="254" w:lineRule="auto"/>
        <w:rPr>
          <w:sz w:val="20"/>
          <w:szCs w:val="20"/>
          <w:color w:val="auto"/>
        </w:rPr>
      </w:pPr>
      <w:r>
        <w:rPr>
          <w:rFonts w:ascii="Arial" w:cs="Arial" w:eastAsia="Arial" w:hAnsi="Arial"/>
          <w:sz w:val="15"/>
          <w:szCs w:val="15"/>
          <w:color w:val="auto"/>
        </w:rPr>
        <w:t>The following table shows the Company’s assumptions used to compute share-based compensation expense for awards granted during the thirteen weeks ended May 5, 2018 and April 29, 2017:</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5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603"/>
              <w:spacing w:after="0"/>
              <w:rPr>
                <w:sz w:val="20"/>
                <w:szCs w:val="20"/>
                <w:color w:val="auto"/>
              </w:rPr>
            </w:pPr>
            <w:r>
              <w:rPr>
                <w:rFonts w:ascii="Arial" w:cs="Arial" w:eastAsia="Arial" w:hAnsi="Arial"/>
                <w:sz w:val="15"/>
                <w:szCs w:val="15"/>
                <w:b w:val="1"/>
                <w:bCs w:val="1"/>
                <w:color w:val="auto"/>
              </w:rPr>
              <w:t>Stock Option Plans</w:t>
            </w:r>
          </w:p>
        </w:tc>
        <w:tc>
          <w:tcPr>
            <w:tcW w:w="2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543"/>
              <w:spacing w:after="0"/>
              <w:rPr>
                <w:sz w:val="20"/>
                <w:szCs w:val="20"/>
                <w:color w:val="auto"/>
              </w:rPr>
            </w:pPr>
            <w:r>
              <w:rPr>
                <w:rFonts w:ascii="Arial" w:cs="Arial" w:eastAsia="Arial" w:hAnsi="Arial"/>
                <w:sz w:val="15"/>
                <w:szCs w:val="15"/>
                <w:b w:val="1"/>
                <w:bCs w:val="1"/>
                <w:color w:val="auto"/>
              </w:rPr>
              <w:t>Stock Purchase Plan</w:t>
            </w:r>
          </w:p>
        </w:tc>
        <w:tc>
          <w:tcPr>
            <w:tcW w:w="20" w:type="dxa"/>
            <w:vAlign w:val="bottom"/>
          </w:tcPr>
          <w:p>
            <w:pPr>
              <w:spacing w:after="0"/>
              <w:rPr>
                <w:sz w:val="16"/>
                <w:szCs w:val="16"/>
                <w:color w:val="auto"/>
              </w:rPr>
            </w:pPr>
          </w:p>
        </w:tc>
      </w:tr>
      <w:tr>
        <w:trPr>
          <w:trHeight w:val="151"/>
        </w:trPr>
        <w:tc>
          <w:tcPr>
            <w:tcW w:w="3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00" w:type="dxa"/>
            <w:vAlign w:val="bottom"/>
          </w:tcPr>
          <w:p>
            <w:pPr>
              <w:jc w:val="right"/>
              <w:ind w:right="403"/>
              <w:spacing w:after="0" w:line="151" w:lineRule="exact"/>
              <w:rPr>
                <w:sz w:val="20"/>
                <w:szCs w:val="20"/>
                <w:color w:val="auto"/>
              </w:rPr>
            </w:pPr>
            <w:r>
              <w:rPr>
                <w:rFonts w:ascii="Arial" w:cs="Arial" w:eastAsia="Arial" w:hAnsi="Arial"/>
                <w:sz w:val="15"/>
                <w:szCs w:val="15"/>
                <w:b w:val="1"/>
                <w:bCs w:val="1"/>
                <w:color w:val="auto"/>
              </w:rPr>
              <w:t>May 5,</w:t>
            </w:r>
          </w:p>
        </w:tc>
        <w:tc>
          <w:tcPr>
            <w:tcW w:w="240" w:type="dxa"/>
            <w:vAlign w:val="bottom"/>
          </w:tcPr>
          <w:p>
            <w:pPr>
              <w:spacing w:after="0"/>
              <w:rPr>
                <w:sz w:val="13"/>
                <w:szCs w:val="13"/>
                <w:color w:val="auto"/>
              </w:rPr>
            </w:pPr>
          </w:p>
        </w:tc>
        <w:tc>
          <w:tcPr>
            <w:tcW w:w="1120" w:type="dxa"/>
            <w:vAlign w:val="bottom"/>
          </w:tcPr>
          <w:p>
            <w:pPr>
              <w:jc w:val="right"/>
              <w:ind w:right="323"/>
              <w:spacing w:after="0" w:line="151" w:lineRule="exact"/>
              <w:rPr>
                <w:sz w:val="20"/>
                <w:szCs w:val="20"/>
                <w:color w:val="auto"/>
              </w:rPr>
            </w:pPr>
            <w:r>
              <w:rPr>
                <w:rFonts w:ascii="Arial" w:cs="Arial" w:eastAsia="Arial" w:hAnsi="Arial"/>
                <w:sz w:val="15"/>
                <w:szCs w:val="15"/>
                <w:b w:val="1"/>
                <w:bCs w:val="1"/>
                <w:color w:val="auto"/>
              </w:rPr>
              <w:t>April 29,</w:t>
            </w:r>
          </w:p>
        </w:tc>
        <w:tc>
          <w:tcPr>
            <w:tcW w:w="280" w:type="dxa"/>
            <w:vAlign w:val="bottom"/>
          </w:tcPr>
          <w:p>
            <w:pPr>
              <w:spacing w:after="0"/>
              <w:rPr>
                <w:sz w:val="13"/>
                <w:szCs w:val="13"/>
                <w:color w:val="auto"/>
              </w:rPr>
            </w:pPr>
          </w:p>
        </w:tc>
        <w:tc>
          <w:tcPr>
            <w:tcW w:w="1080" w:type="dxa"/>
            <w:vAlign w:val="bottom"/>
          </w:tcPr>
          <w:p>
            <w:pPr>
              <w:jc w:val="right"/>
              <w:ind w:right="383"/>
              <w:spacing w:after="0" w:line="151" w:lineRule="exact"/>
              <w:rPr>
                <w:sz w:val="20"/>
                <w:szCs w:val="20"/>
                <w:color w:val="auto"/>
              </w:rPr>
            </w:pPr>
            <w:r>
              <w:rPr>
                <w:rFonts w:ascii="Arial" w:cs="Arial" w:eastAsia="Arial" w:hAnsi="Arial"/>
                <w:sz w:val="15"/>
                <w:szCs w:val="15"/>
                <w:b w:val="1"/>
                <w:bCs w:val="1"/>
                <w:color w:val="auto"/>
              </w:rPr>
              <w:t>May 5,</w:t>
            </w:r>
          </w:p>
        </w:tc>
        <w:tc>
          <w:tcPr>
            <w:tcW w:w="260" w:type="dxa"/>
            <w:vAlign w:val="bottom"/>
          </w:tcPr>
          <w:p>
            <w:pPr>
              <w:spacing w:after="0"/>
              <w:rPr>
                <w:sz w:val="13"/>
                <w:szCs w:val="13"/>
                <w:color w:val="auto"/>
              </w:rPr>
            </w:pPr>
          </w:p>
        </w:tc>
        <w:tc>
          <w:tcPr>
            <w:tcW w:w="1100" w:type="dxa"/>
            <w:vAlign w:val="bottom"/>
          </w:tcPr>
          <w:p>
            <w:pPr>
              <w:jc w:val="right"/>
              <w:ind w:right="303"/>
              <w:spacing w:after="0" w:line="151" w:lineRule="exact"/>
              <w:rPr>
                <w:sz w:val="20"/>
                <w:szCs w:val="20"/>
                <w:color w:val="auto"/>
              </w:rPr>
            </w:pPr>
            <w:r>
              <w:rPr>
                <w:rFonts w:ascii="Arial" w:cs="Arial" w:eastAsia="Arial" w:hAnsi="Arial"/>
                <w:sz w:val="15"/>
                <w:szCs w:val="15"/>
                <w:b w:val="1"/>
                <w:bCs w:val="1"/>
                <w:color w:val="auto"/>
              </w:rPr>
              <w:t>April 29,</w:t>
            </w:r>
          </w:p>
        </w:tc>
        <w:tc>
          <w:tcPr>
            <w:tcW w:w="20" w:type="dxa"/>
            <w:vAlign w:val="bottom"/>
          </w:tcPr>
          <w:p>
            <w:pPr>
              <w:spacing w:after="0"/>
              <w:rPr>
                <w:sz w:val="13"/>
                <w:szCs w:val="13"/>
                <w:color w:val="auto"/>
              </w:rPr>
            </w:pPr>
          </w:p>
        </w:tc>
      </w:tr>
      <w:tr>
        <w:trPr>
          <w:trHeight w:val="194"/>
        </w:trPr>
        <w:tc>
          <w:tcPr>
            <w:tcW w:w="35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2018</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2017</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2018</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2017</w:t>
            </w:r>
          </w:p>
        </w:tc>
        <w:tc>
          <w:tcPr>
            <w:tcW w:w="20" w:type="dxa"/>
            <w:vAlign w:val="bottom"/>
          </w:tcPr>
          <w:p>
            <w:pPr>
              <w:spacing w:after="0"/>
              <w:rPr>
                <w:sz w:val="16"/>
                <w:szCs w:val="16"/>
                <w:color w:val="auto"/>
              </w:rPr>
            </w:pPr>
          </w:p>
        </w:tc>
      </w:tr>
      <w:tr>
        <w:trPr>
          <w:trHeight w:val="187"/>
        </w:trPr>
        <w:tc>
          <w:tcPr>
            <w:tcW w:w="3500" w:type="dxa"/>
            <w:vAlign w:val="bottom"/>
            <w:shd w:val="clear" w:color="auto" w:fill="CCEEFF"/>
          </w:tcPr>
          <w:p>
            <w:pPr>
              <w:spacing w:after="0"/>
              <w:rPr>
                <w:sz w:val="20"/>
                <w:szCs w:val="20"/>
                <w:color w:val="auto"/>
              </w:rPr>
            </w:pPr>
            <w:r>
              <w:rPr>
                <w:rFonts w:ascii="Arial" w:cs="Arial" w:eastAsia="Arial" w:hAnsi="Arial"/>
                <w:sz w:val="15"/>
                <w:szCs w:val="15"/>
                <w:color w:val="auto"/>
              </w:rPr>
              <w:t>Weighted-average risk free rate of interest</w:t>
            </w:r>
          </w:p>
        </w:tc>
        <w:tc>
          <w:tcPr>
            <w:tcW w:w="4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2.7 %</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2.1 %</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1.2 %</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0.7 %</w:t>
            </w:r>
          </w:p>
        </w:tc>
        <w:tc>
          <w:tcPr>
            <w:tcW w:w="20" w:type="dxa"/>
            <w:vAlign w:val="bottom"/>
          </w:tcPr>
          <w:p>
            <w:pPr>
              <w:spacing w:after="0"/>
              <w:rPr>
                <w:sz w:val="16"/>
                <w:szCs w:val="16"/>
                <w:color w:val="auto"/>
              </w:rPr>
            </w:pPr>
          </w:p>
        </w:tc>
      </w:tr>
      <w:tr>
        <w:trPr>
          <w:trHeight w:val="207"/>
        </w:trPr>
        <w:tc>
          <w:tcPr>
            <w:tcW w:w="3500" w:type="dxa"/>
            <w:vAlign w:val="bottom"/>
          </w:tcPr>
          <w:p>
            <w:pPr>
              <w:spacing w:after="0"/>
              <w:rPr>
                <w:sz w:val="20"/>
                <w:szCs w:val="20"/>
                <w:color w:val="auto"/>
              </w:rPr>
            </w:pPr>
            <w:r>
              <w:rPr>
                <w:rFonts w:ascii="Arial" w:cs="Arial" w:eastAsia="Arial" w:hAnsi="Arial"/>
                <w:sz w:val="15"/>
                <w:szCs w:val="15"/>
                <w:color w:val="auto"/>
              </w:rPr>
              <w:t>Expected volatility</w:t>
            </w:r>
          </w:p>
        </w:tc>
        <w:tc>
          <w:tcPr>
            <w:tcW w:w="4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b w:val="1"/>
                <w:bCs w:val="1"/>
                <w:color w:val="auto"/>
              </w:rPr>
              <w:t>37 %</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25 %</w:t>
            </w: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30 %</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29 %</w:t>
            </w:r>
          </w:p>
        </w:tc>
        <w:tc>
          <w:tcPr>
            <w:tcW w:w="20" w:type="dxa"/>
            <w:vAlign w:val="bottom"/>
          </w:tcPr>
          <w:p>
            <w:pPr>
              <w:spacing w:after="0"/>
              <w:rPr>
                <w:sz w:val="17"/>
                <w:szCs w:val="17"/>
                <w:color w:val="auto"/>
              </w:rPr>
            </w:pPr>
          </w:p>
        </w:tc>
      </w:tr>
      <w:tr>
        <w:trPr>
          <w:trHeight w:val="365"/>
        </w:trPr>
        <w:tc>
          <w:tcPr>
            <w:tcW w:w="3500" w:type="dxa"/>
            <w:vAlign w:val="bottom"/>
            <w:shd w:val="clear" w:color="auto" w:fill="CCEEFF"/>
          </w:tcPr>
          <w:p>
            <w:pPr>
              <w:spacing w:after="0"/>
              <w:rPr>
                <w:sz w:val="20"/>
                <w:szCs w:val="20"/>
                <w:color w:val="auto"/>
              </w:rPr>
            </w:pPr>
            <w:r>
              <w:rPr>
                <w:rFonts w:ascii="Arial" w:cs="Arial" w:eastAsia="Arial" w:hAnsi="Arial"/>
                <w:sz w:val="15"/>
                <w:szCs w:val="15"/>
                <w:color w:val="auto"/>
              </w:rPr>
              <w:t>Weighted-average expected award life (in years)</w:t>
            </w:r>
          </w:p>
        </w:tc>
        <w:tc>
          <w:tcPr>
            <w:tcW w:w="4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5.5</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5.3</w:t>
            </w: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1.0</w:t>
            </w: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1.0</w:t>
            </w:r>
          </w:p>
        </w:tc>
        <w:tc>
          <w:tcPr>
            <w:tcW w:w="20" w:type="dxa"/>
            <w:vAlign w:val="bottom"/>
          </w:tcPr>
          <w:p>
            <w:pPr>
              <w:spacing w:after="0"/>
              <w:rPr>
                <w:sz w:val="24"/>
                <w:szCs w:val="24"/>
                <w:color w:val="auto"/>
              </w:rPr>
            </w:pPr>
          </w:p>
        </w:tc>
      </w:tr>
      <w:tr>
        <w:trPr>
          <w:trHeight w:val="207"/>
        </w:trPr>
        <w:tc>
          <w:tcPr>
            <w:tcW w:w="3500" w:type="dxa"/>
            <w:vAlign w:val="bottom"/>
          </w:tcPr>
          <w:p>
            <w:pPr>
              <w:spacing w:after="0"/>
              <w:rPr>
                <w:sz w:val="20"/>
                <w:szCs w:val="20"/>
                <w:color w:val="auto"/>
              </w:rPr>
            </w:pPr>
            <w:r>
              <w:rPr>
                <w:rFonts w:ascii="Arial" w:cs="Arial" w:eastAsia="Arial" w:hAnsi="Arial"/>
                <w:sz w:val="15"/>
                <w:szCs w:val="15"/>
                <w:color w:val="auto"/>
              </w:rPr>
              <w:t>Dividend yield</w:t>
            </w:r>
          </w:p>
        </w:tc>
        <w:tc>
          <w:tcPr>
            <w:tcW w:w="4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b w:val="1"/>
                <w:bCs w:val="1"/>
                <w:color w:val="auto"/>
              </w:rPr>
              <w:t>3.1 %</w:t>
            </w:r>
          </w:p>
        </w:tc>
        <w:tc>
          <w:tcPr>
            <w:tcW w:w="2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1.7 %</w:t>
            </w: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b w:val="1"/>
                <w:bCs w:val="1"/>
                <w:color w:val="auto"/>
              </w:rPr>
              <w:t>2.1 %</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2.0 %</w:t>
            </w:r>
          </w:p>
        </w:tc>
        <w:tc>
          <w:tcPr>
            <w:tcW w:w="20" w:type="dxa"/>
            <w:vAlign w:val="bottom"/>
          </w:tcPr>
          <w:p>
            <w:pPr>
              <w:spacing w:after="0"/>
              <w:rPr>
                <w:sz w:val="17"/>
                <w:szCs w:val="17"/>
                <w:color w:val="auto"/>
              </w:rPr>
            </w:pPr>
          </w:p>
        </w:tc>
      </w:tr>
      <w:tr>
        <w:trPr>
          <w:trHeight w:val="207"/>
        </w:trPr>
        <w:tc>
          <w:tcPr>
            <w:tcW w:w="3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Weighted-average fair value</w:t>
            </w:r>
          </w:p>
        </w:tc>
        <w:tc>
          <w:tcPr>
            <w:tcW w:w="4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w:t>
            </w:r>
          </w:p>
        </w:tc>
        <w:tc>
          <w:tcPr>
            <w:tcW w:w="110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12.35</w:t>
            </w:r>
          </w:p>
        </w:tc>
        <w:tc>
          <w:tcPr>
            <w:tcW w:w="2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15.58</w:t>
            </w:r>
          </w:p>
        </w:tc>
        <w:tc>
          <w:tcPr>
            <w:tcW w:w="2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w:t>
            </w:r>
          </w:p>
        </w:tc>
        <w:tc>
          <w:tcPr>
            <w:tcW w:w="10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16.49</w:t>
            </w:r>
          </w:p>
        </w:tc>
        <w:tc>
          <w:tcPr>
            <w:tcW w:w="2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10.33</w:t>
            </w:r>
          </w:p>
        </w:tc>
        <w:tc>
          <w:tcPr>
            <w:tcW w:w="20" w:type="dxa"/>
            <w:vAlign w:val="bottom"/>
          </w:tcPr>
          <w:p>
            <w:pPr>
              <w:spacing w:after="0"/>
              <w:rPr>
                <w:sz w:val="17"/>
                <w:szCs w:val="17"/>
                <w:color w:val="auto"/>
              </w:rPr>
            </w:pPr>
          </w:p>
        </w:tc>
      </w:tr>
      <w:tr>
        <w:trPr>
          <w:trHeight w:val="549"/>
        </w:trPr>
        <w:tc>
          <w:tcPr>
            <w:tcW w:w="3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jc w:val="right"/>
              <w:ind w:right="303"/>
              <w:spacing w:after="0"/>
              <w:rPr>
                <w:sz w:val="20"/>
                <w:szCs w:val="20"/>
                <w:color w:val="auto"/>
              </w:rPr>
            </w:pPr>
            <w:r>
              <w:rPr>
                <w:rFonts w:ascii="Arial" w:cs="Arial" w:eastAsia="Arial" w:hAnsi="Arial"/>
                <w:sz w:val="15"/>
                <w:szCs w:val="15"/>
                <w:color w:val="auto"/>
              </w:rPr>
              <w:t>13</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8"/>
        </w:trPr>
        <w:tc>
          <w:tcPr>
            <w:tcW w:w="35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r>
        <w:trPr>
          <w:trHeight w:val="20"/>
        </w:trPr>
        <w:tc>
          <w:tcPr>
            <w:tcW w:w="350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12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5775325</wp:posOffset>
            </wp:positionH>
            <wp:positionV relativeFrom="paragraph">
              <wp:posOffset>-34925</wp:posOffset>
            </wp:positionV>
            <wp:extent cx="33020" cy="482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-34925</wp:posOffset>
            </wp:positionV>
            <wp:extent cx="33020" cy="482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9120"/>
          </w:cols>
          <w:pgMar w:left="1400" w:top="116" w:right="137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192" w:lineRule="exact"/>
        <w:rPr>
          <w:sz w:val="20"/>
          <w:szCs w:val="20"/>
          <w:color w:val="auto"/>
        </w:rPr>
      </w:pPr>
    </w:p>
    <w:p>
      <w:pPr>
        <w:jc w:val="both"/>
        <w:ind w:right="20"/>
        <w:spacing w:after="0" w:line="254" w:lineRule="auto"/>
        <w:rPr>
          <w:sz w:val="20"/>
          <w:szCs w:val="20"/>
          <w:color w:val="auto"/>
        </w:rPr>
      </w:pPr>
      <w:r>
        <w:rPr>
          <w:rFonts w:ascii="Arial" w:cs="Arial" w:eastAsia="Arial" w:hAnsi="Arial"/>
          <w:sz w:val="15"/>
          <w:szCs w:val="15"/>
          <w:color w:val="auto"/>
        </w:rPr>
        <w:t>The information in the following table covers option activity under the Company’s stock option plans for the thirteen weeks ended May 5, 2018:</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80" w:type="dxa"/>
            <w:vAlign w:val="bottom"/>
          </w:tcPr>
          <w:p>
            <w:pPr>
              <w:jc w:val="center"/>
              <w:ind w:right="83"/>
              <w:spacing w:after="0"/>
              <w:rPr>
                <w:sz w:val="20"/>
                <w:szCs w:val="20"/>
                <w:color w:val="auto"/>
              </w:rPr>
            </w:pPr>
            <w:r>
              <w:rPr>
                <w:rFonts w:ascii="Arial" w:cs="Arial" w:eastAsia="Arial" w:hAnsi="Arial"/>
                <w:sz w:val="15"/>
                <w:szCs w:val="15"/>
                <w:b w:val="1"/>
                <w:bCs w:val="1"/>
                <w:color w:val="auto"/>
              </w:rPr>
              <w:t>Weighted-</w:t>
            </w:r>
          </w:p>
        </w:tc>
        <w:tc>
          <w:tcPr>
            <w:tcW w:w="320" w:type="dxa"/>
            <w:vAlign w:val="bottom"/>
          </w:tcPr>
          <w:p>
            <w:pPr>
              <w:spacing w:after="0"/>
              <w:rPr>
                <w:sz w:val="14"/>
                <w:szCs w:val="14"/>
                <w:color w:val="auto"/>
              </w:rPr>
            </w:pPr>
          </w:p>
        </w:tc>
        <w:tc>
          <w:tcPr>
            <w:tcW w:w="1100" w:type="dxa"/>
            <w:vAlign w:val="bottom"/>
          </w:tcPr>
          <w:p>
            <w:pPr>
              <w:jc w:val="center"/>
              <w:ind w:right="203"/>
              <w:spacing w:after="0"/>
              <w:rPr>
                <w:sz w:val="20"/>
                <w:szCs w:val="20"/>
                <w:color w:val="auto"/>
              </w:rPr>
            </w:pPr>
            <w:r>
              <w:rPr>
                <w:rFonts w:ascii="Arial" w:cs="Arial" w:eastAsia="Arial" w:hAnsi="Arial"/>
                <w:sz w:val="15"/>
                <w:szCs w:val="15"/>
                <w:b w:val="1"/>
                <w:bCs w:val="1"/>
                <w:color w:val="auto"/>
              </w:rPr>
              <w:t>Weighted-</w:t>
            </w:r>
          </w:p>
        </w:tc>
      </w:tr>
      <w:tr>
        <w:trPr>
          <w:trHeight w:val="170"/>
        </w:trPr>
        <w:tc>
          <w:tcPr>
            <w:tcW w:w="6100" w:type="dxa"/>
            <w:vAlign w:val="bottom"/>
            <w:gridSpan w:val="2"/>
          </w:tcPr>
          <w:p>
            <w:pPr>
              <w:jc w:val="center"/>
              <w:ind w:left="4563"/>
              <w:spacing w:after="0" w:line="170" w:lineRule="exact"/>
              <w:rPr>
                <w:sz w:val="20"/>
                <w:szCs w:val="20"/>
                <w:color w:val="auto"/>
              </w:rPr>
            </w:pPr>
            <w:r>
              <w:rPr>
                <w:rFonts w:ascii="Arial" w:cs="Arial" w:eastAsia="Arial" w:hAnsi="Arial"/>
                <w:sz w:val="15"/>
                <w:szCs w:val="15"/>
                <w:b w:val="1"/>
                <w:bCs w:val="1"/>
                <w:color w:val="auto"/>
              </w:rPr>
              <w:t>Number</w:t>
            </w:r>
          </w:p>
        </w:tc>
        <w:tc>
          <w:tcPr>
            <w:tcW w:w="1580" w:type="dxa"/>
            <w:vAlign w:val="bottom"/>
          </w:tcPr>
          <w:p>
            <w:pPr>
              <w:jc w:val="center"/>
              <w:ind w:right="63"/>
              <w:spacing w:after="0" w:line="170" w:lineRule="exact"/>
              <w:rPr>
                <w:sz w:val="20"/>
                <w:szCs w:val="20"/>
                <w:color w:val="auto"/>
              </w:rPr>
            </w:pPr>
            <w:r>
              <w:rPr>
                <w:rFonts w:ascii="Arial" w:cs="Arial" w:eastAsia="Arial" w:hAnsi="Arial"/>
                <w:sz w:val="15"/>
                <w:szCs w:val="15"/>
                <w:b w:val="1"/>
                <w:bCs w:val="1"/>
                <w:color w:val="auto"/>
              </w:rPr>
              <w:t>Average</w:t>
            </w:r>
          </w:p>
        </w:tc>
        <w:tc>
          <w:tcPr>
            <w:tcW w:w="320" w:type="dxa"/>
            <w:vAlign w:val="bottom"/>
          </w:tcPr>
          <w:p>
            <w:pPr>
              <w:spacing w:after="0"/>
              <w:rPr>
                <w:sz w:val="14"/>
                <w:szCs w:val="14"/>
                <w:color w:val="auto"/>
              </w:rPr>
            </w:pPr>
          </w:p>
        </w:tc>
        <w:tc>
          <w:tcPr>
            <w:tcW w:w="1100" w:type="dxa"/>
            <w:vAlign w:val="bottom"/>
          </w:tcPr>
          <w:p>
            <w:pPr>
              <w:jc w:val="center"/>
              <w:ind w:right="183"/>
              <w:spacing w:after="0" w:line="170" w:lineRule="exact"/>
              <w:rPr>
                <w:sz w:val="20"/>
                <w:szCs w:val="20"/>
                <w:color w:val="auto"/>
              </w:rPr>
            </w:pPr>
            <w:r>
              <w:rPr>
                <w:rFonts w:ascii="Arial" w:cs="Arial" w:eastAsia="Arial" w:hAnsi="Arial"/>
                <w:sz w:val="15"/>
                <w:szCs w:val="15"/>
                <w:b w:val="1"/>
                <w:bCs w:val="1"/>
                <w:color w:val="auto"/>
              </w:rPr>
              <w:t>Average</w:t>
            </w:r>
          </w:p>
        </w:tc>
      </w:tr>
      <w:tr>
        <w:trPr>
          <w:trHeight w:val="170"/>
        </w:trPr>
        <w:tc>
          <w:tcPr>
            <w:tcW w:w="5480" w:type="dxa"/>
            <w:vAlign w:val="bottom"/>
          </w:tcPr>
          <w:p>
            <w:pPr>
              <w:jc w:val="center"/>
              <w:ind w:left="5183"/>
              <w:spacing w:after="0" w:line="170" w:lineRule="exact"/>
              <w:rPr>
                <w:sz w:val="20"/>
                <w:szCs w:val="20"/>
                <w:color w:val="auto"/>
              </w:rPr>
            </w:pPr>
            <w:r>
              <w:rPr>
                <w:rFonts w:ascii="Arial" w:cs="Arial" w:eastAsia="Arial" w:hAnsi="Arial"/>
                <w:sz w:val="15"/>
                <w:szCs w:val="15"/>
                <w:b w:val="1"/>
                <w:bCs w:val="1"/>
                <w:color w:val="auto"/>
                <w:w w:val="98"/>
              </w:rPr>
              <w:t>of</w:t>
            </w:r>
          </w:p>
        </w:tc>
        <w:tc>
          <w:tcPr>
            <w:tcW w:w="620" w:type="dxa"/>
            <w:vAlign w:val="bottom"/>
          </w:tcPr>
          <w:p>
            <w:pPr>
              <w:spacing w:after="0"/>
              <w:rPr>
                <w:sz w:val="14"/>
                <w:szCs w:val="14"/>
                <w:color w:val="auto"/>
              </w:rPr>
            </w:pPr>
          </w:p>
        </w:tc>
        <w:tc>
          <w:tcPr>
            <w:tcW w:w="1580" w:type="dxa"/>
            <w:vAlign w:val="bottom"/>
          </w:tcPr>
          <w:p>
            <w:pPr>
              <w:jc w:val="center"/>
              <w:ind w:right="63"/>
              <w:spacing w:after="0" w:line="170" w:lineRule="exact"/>
              <w:rPr>
                <w:sz w:val="20"/>
                <w:szCs w:val="20"/>
                <w:color w:val="auto"/>
              </w:rPr>
            </w:pPr>
            <w:r>
              <w:rPr>
                <w:rFonts w:ascii="Arial" w:cs="Arial" w:eastAsia="Arial" w:hAnsi="Arial"/>
                <w:sz w:val="15"/>
                <w:szCs w:val="15"/>
                <w:b w:val="1"/>
                <w:bCs w:val="1"/>
                <w:color w:val="auto"/>
              </w:rPr>
              <w:t>Remaining</w:t>
            </w:r>
          </w:p>
        </w:tc>
        <w:tc>
          <w:tcPr>
            <w:tcW w:w="320" w:type="dxa"/>
            <w:vAlign w:val="bottom"/>
          </w:tcPr>
          <w:p>
            <w:pPr>
              <w:spacing w:after="0"/>
              <w:rPr>
                <w:sz w:val="14"/>
                <w:szCs w:val="14"/>
                <w:color w:val="auto"/>
              </w:rPr>
            </w:pPr>
          </w:p>
        </w:tc>
        <w:tc>
          <w:tcPr>
            <w:tcW w:w="1100" w:type="dxa"/>
            <w:vAlign w:val="bottom"/>
          </w:tcPr>
          <w:p>
            <w:pPr>
              <w:jc w:val="center"/>
              <w:ind w:right="183"/>
              <w:spacing w:after="0" w:line="170" w:lineRule="exact"/>
              <w:rPr>
                <w:sz w:val="20"/>
                <w:szCs w:val="20"/>
                <w:color w:val="auto"/>
              </w:rPr>
            </w:pPr>
            <w:r>
              <w:rPr>
                <w:rFonts w:ascii="Arial" w:cs="Arial" w:eastAsia="Arial" w:hAnsi="Arial"/>
                <w:sz w:val="15"/>
                <w:szCs w:val="15"/>
                <w:b w:val="1"/>
                <w:bCs w:val="1"/>
                <w:color w:val="auto"/>
              </w:rPr>
              <w:t>Exercise</w:t>
            </w:r>
          </w:p>
        </w:tc>
      </w:tr>
      <w:tr>
        <w:trPr>
          <w:trHeight w:val="194"/>
        </w:trPr>
        <w:tc>
          <w:tcPr>
            <w:tcW w:w="6100" w:type="dxa"/>
            <w:vAlign w:val="bottom"/>
            <w:tcBorders>
              <w:bottom w:val="single" w:sz="8" w:color="auto"/>
            </w:tcBorders>
            <w:gridSpan w:val="2"/>
          </w:tcPr>
          <w:p>
            <w:pPr>
              <w:jc w:val="center"/>
              <w:ind w:left="4543"/>
              <w:spacing w:after="0"/>
              <w:rPr>
                <w:sz w:val="20"/>
                <w:szCs w:val="20"/>
                <w:color w:val="auto"/>
              </w:rPr>
            </w:pPr>
            <w:r>
              <w:rPr>
                <w:rFonts w:ascii="Arial" w:cs="Arial" w:eastAsia="Arial" w:hAnsi="Arial"/>
                <w:sz w:val="15"/>
                <w:szCs w:val="15"/>
                <w:b w:val="1"/>
                <w:bCs w:val="1"/>
                <w:color w:val="auto"/>
              </w:rPr>
              <w:t>Shares</w:t>
            </w:r>
          </w:p>
        </w:tc>
        <w:tc>
          <w:tcPr>
            <w:tcW w:w="1580" w:type="dxa"/>
            <w:vAlign w:val="bottom"/>
            <w:tcBorders>
              <w:bottom w:val="single" w:sz="8" w:color="auto"/>
            </w:tcBorders>
          </w:tcPr>
          <w:p>
            <w:pPr>
              <w:jc w:val="center"/>
              <w:ind w:right="63"/>
              <w:spacing w:after="0"/>
              <w:rPr>
                <w:sz w:val="20"/>
                <w:szCs w:val="20"/>
                <w:color w:val="auto"/>
              </w:rPr>
            </w:pPr>
            <w:r>
              <w:rPr>
                <w:rFonts w:ascii="Arial" w:cs="Arial" w:eastAsia="Arial" w:hAnsi="Arial"/>
                <w:sz w:val="15"/>
                <w:szCs w:val="15"/>
                <w:b w:val="1"/>
                <w:bCs w:val="1"/>
                <w:color w:val="auto"/>
              </w:rPr>
              <w:t>Contractual Life</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03"/>
              <w:spacing w:after="0"/>
              <w:rPr>
                <w:sz w:val="20"/>
                <w:szCs w:val="20"/>
                <w:color w:val="auto"/>
              </w:rPr>
            </w:pPr>
            <w:r>
              <w:rPr>
                <w:rFonts w:ascii="Arial" w:cs="Arial" w:eastAsia="Arial" w:hAnsi="Arial"/>
                <w:sz w:val="15"/>
                <w:szCs w:val="15"/>
                <w:b w:val="1"/>
                <w:bCs w:val="1"/>
                <w:color w:val="auto"/>
              </w:rPr>
              <w:t>Price</w:t>
            </w:r>
          </w:p>
        </w:tc>
      </w:tr>
      <w:tr>
        <w:trPr>
          <w:trHeight w:val="187"/>
        </w:trPr>
        <w:tc>
          <w:tcPr>
            <w:tcW w:w="6100" w:type="dxa"/>
            <w:vAlign w:val="bottom"/>
            <w:gridSpan w:val="2"/>
          </w:tcPr>
          <w:p>
            <w:pPr>
              <w:jc w:val="center"/>
              <w:ind w:left="4563"/>
              <w:spacing w:after="0"/>
              <w:rPr>
                <w:sz w:val="20"/>
                <w:szCs w:val="20"/>
                <w:color w:val="auto"/>
              </w:rPr>
            </w:pPr>
            <w:r>
              <w:rPr>
                <w:rFonts w:ascii="Arial" w:cs="Arial" w:eastAsia="Arial" w:hAnsi="Arial"/>
                <w:sz w:val="15"/>
                <w:szCs w:val="15"/>
                <w:color w:val="auto"/>
              </w:rPr>
              <w:t>(in thousands)</w:t>
            </w:r>
          </w:p>
        </w:tc>
        <w:tc>
          <w:tcPr>
            <w:tcW w:w="1580" w:type="dxa"/>
            <w:vAlign w:val="bottom"/>
          </w:tcPr>
          <w:p>
            <w:pPr>
              <w:jc w:val="center"/>
              <w:ind w:right="63"/>
              <w:spacing w:after="0"/>
              <w:rPr>
                <w:sz w:val="20"/>
                <w:szCs w:val="20"/>
                <w:color w:val="auto"/>
              </w:rPr>
            </w:pPr>
            <w:r>
              <w:rPr>
                <w:rFonts w:ascii="Arial" w:cs="Arial" w:eastAsia="Arial" w:hAnsi="Arial"/>
                <w:sz w:val="15"/>
                <w:szCs w:val="15"/>
                <w:color w:val="auto"/>
              </w:rPr>
              <w:t>(in years)</w:t>
            </w:r>
          </w:p>
        </w:tc>
        <w:tc>
          <w:tcPr>
            <w:tcW w:w="320" w:type="dxa"/>
            <w:vAlign w:val="bottom"/>
          </w:tcPr>
          <w:p>
            <w:pPr>
              <w:spacing w:after="0"/>
              <w:rPr>
                <w:sz w:val="16"/>
                <w:szCs w:val="16"/>
                <w:color w:val="auto"/>
              </w:rPr>
            </w:pPr>
          </w:p>
        </w:tc>
        <w:tc>
          <w:tcPr>
            <w:tcW w:w="1100" w:type="dxa"/>
            <w:vAlign w:val="bottom"/>
          </w:tcPr>
          <w:p>
            <w:pPr>
              <w:jc w:val="center"/>
              <w:ind w:right="183"/>
              <w:spacing w:after="0"/>
              <w:rPr>
                <w:sz w:val="20"/>
                <w:szCs w:val="20"/>
                <w:color w:val="auto"/>
              </w:rPr>
            </w:pPr>
            <w:r>
              <w:rPr>
                <w:rFonts w:ascii="Arial" w:cs="Arial" w:eastAsia="Arial" w:hAnsi="Arial"/>
                <w:sz w:val="15"/>
                <w:szCs w:val="15"/>
                <w:color w:val="auto"/>
              </w:rPr>
              <w:t>(per share)</w:t>
            </w:r>
          </w:p>
        </w:tc>
      </w:tr>
      <w:tr>
        <w:trPr>
          <w:trHeight w:val="207"/>
        </w:trPr>
        <w:tc>
          <w:tcPr>
            <w:tcW w:w="5480" w:type="dxa"/>
            <w:vAlign w:val="bottom"/>
            <w:shd w:val="clear" w:color="auto" w:fill="CCEEFF"/>
          </w:tcPr>
          <w:p>
            <w:pPr>
              <w:spacing w:after="0"/>
              <w:rPr>
                <w:sz w:val="20"/>
                <w:szCs w:val="20"/>
                <w:color w:val="auto"/>
              </w:rPr>
            </w:pPr>
            <w:r>
              <w:rPr>
                <w:rFonts w:ascii="Arial" w:cs="Arial" w:eastAsia="Arial" w:hAnsi="Arial"/>
                <w:sz w:val="15"/>
                <w:szCs w:val="15"/>
                <w:color w:val="auto"/>
              </w:rPr>
              <w:t>Options outstanding at the beginning of the year</w:t>
            </w:r>
          </w:p>
        </w:tc>
        <w:tc>
          <w:tcPr>
            <w:tcW w:w="62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2,739</w:t>
            </w:r>
          </w:p>
        </w:tc>
        <w:tc>
          <w:tcPr>
            <w:tcW w:w="158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52.45</w:t>
            </w:r>
          </w:p>
        </w:tc>
      </w:tr>
      <w:tr>
        <w:trPr>
          <w:trHeight w:val="207"/>
        </w:trPr>
        <w:tc>
          <w:tcPr>
            <w:tcW w:w="5480" w:type="dxa"/>
            <w:vAlign w:val="bottom"/>
          </w:tcPr>
          <w:p>
            <w:pPr>
              <w:spacing w:after="0"/>
              <w:rPr>
                <w:sz w:val="20"/>
                <w:szCs w:val="20"/>
                <w:color w:val="auto"/>
              </w:rPr>
            </w:pPr>
            <w:r>
              <w:rPr>
                <w:rFonts w:ascii="Arial" w:cs="Arial" w:eastAsia="Arial" w:hAnsi="Arial"/>
                <w:sz w:val="15"/>
                <w:szCs w:val="15"/>
                <w:color w:val="auto"/>
              </w:rPr>
              <w:t>Granted</w:t>
            </w:r>
          </w:p>
        </w:tc>
        <w:tc>
          <w:tcPr>
            <w:tcW w:w="620" w:type="dxa"/>
            <w:vAlign w:val="bottom"/>
          </w:tcPr>
          <w:p>
            <w:pPr>
              <w:jc w:val="right"/>
              <w:ind w:right="103"/>
              <w:spacing w:after="0"/>
              <w:rPr>
                <w:sz w:val="20"/>
                <w:szCs w:val="20"/>
                <w:color w:val="auto"/>
              </w:rPr>
            </w:pPr>
            <w:r>
              <w:rPr>
                <w:rFonts w:ascii="Arial" w:cs="Arial" w:eastAsia="Arial" w:hAnsi="Arial"/>
                <w:sz w:val="15"/>
                <w:szCs w:val="15"/>
                <w:color w:val="auto"/>
              </w:rPr>
              <w:t>379</w:t>
            </w: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44.79</w:t>
            </w:r>
          </w:p>
        </w:tc>
      </w:tr>
      <w:tr>
        <w:trPr>
          <w:trHeight w:val="207"/>
        </w:trPr>
        <w:tc>
          <w:tcPr>
            <w:tcW w:w="5480" w:type="dxa"/>
            <w:vAlign w:val="bottom"/>
            <w:shd w:val="clear" w:color="auto" w:fill="CCEEFF"/>
          </w:tcPr>
          <w:p>
            <w:pPr>
              <w:spacing w:after="0"/>
              <w:rPr>
                <w:sz w:val="20"/>
                <w:szCs w:val="20"/>
                <w:color w:val="auto"/>
              </w:rPr>
            </w:pPr>
            <w:r>
              <w:rPr>
                <w:rFonts w:ascii="Arial" w:cs="Arial" w:eastAsia="Arial" w:hAnsi="Arial"/>
                <w:sz w:val="15"/>
                <w:szCs w:val="15"/>
                <w:color w:val="auto"/>
              </w:rPr>
              <w:t>Exercised</w:t>
            </w:r>
          </w:p>
        </w:tc>
        <w:tc>
          <w:tcPr>
            <w:tcW w:w="6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(4)</w:t>
            </w:r>
          </w:p>
        </w:tc>
        <w:tc>
          <w:tcPr>
            <w:tcW w:w="1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11.66</w:t>
            </w:r>
          </w:p>
        </w:tc>
      </w:tr>
      <w:tr>
        <w:trPr>
          <w:trHeight w:val="207"/>
        </w:trPr>
        <w:tc>
          <w:tcPr>
            <w:tcW w:w="54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Expired or cancelled</w:t>
            </w:r>
          </w:p>
        </w:tc>
        <w:tc>
          <w:tcPr>
            <w:tcW w:w="6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(23)</w:t>
            </w:r>
          </w:p>
        </w:tc>
        <w:tc>
          <w:tcPr>
            <w:tcW w:w="15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50.19</w:t>
            </w:r>
          </w:p>
        </w:tc>
      </w:tr>
      <w:tr>
        <w:trPr>
          <w:trHeight w:val="179"/>
        </w:trPr>
        <w:tc>
          <w:tcPr>
            <w:tcW w:w="5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Options outstanding at May 5, 2018</w:t>
            </w:r>
          </w:p>
        </w:tc>
        <w:tc>
          <w:tcPr>
            <w:tcW w:w="62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3,091</w:t>
            </w:r>
          </w:p>
        </w:tc>
        <w:tc>
          <w:tcPr>
            <w:tcW w:w="15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6.7</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51.58</w:t>
            </w:r>
          </w:p>
        </w:tc>
      </w:tr>
      <w:tr>
        <w:trPr>
          <w:trHeight w:val="195"/>
        </w:trPr>
        <w:tc>
          <w:tcPr>
            <w:tcW w:w="5480" w:type="dxa"/>
            <w:vAlign w:val="bottom"/>
          </w:tcPr>
          <w:p>
            <w:pPr>
              <w:spacing w:after="0"/>
              <w:rPr>
                <w:sz w:val="20"/>
                <w:szCs w:val="20"/>
                <w:color w:val="auto"/>
              </w:rPr>
            </w:pPr>
            <w:r>
              <w:rPr>
                <w:rFonts w:ascii="Arial" w:cs="Arial" w:eastAsia="Arial" w:hAnsi="Arial"/>
                <w:sz w:val="15"/>
                <w:szCs w:val="15"/>
                <w:color w:val="auto"/>
              </w:rPr>
              <w:t>Options exercisable at May 5, 2018</w:t>
            </w:r>
          </w:p>
        </w:tc>
        <w:tc>
          <w:tcPr>
            <w:tcW w:w="620" w:type="dxa"/>
            <w:vAlign w:val="bottom"/>
          </w:tcPr>
          <w:p>
            <w:pPr>
              <w:jc w:val="right"/>
              <w:ind w:right="103"/>
              <w:spacing w:after="0"/>
              <w:rPr>
                <w:sz w:val="20"/>
                <w:szCs w:val="20"/>
                <w:color w:val="auto"/>
              </w:rPr>
            </w:pPr>
            <w:r>
              <w:rPr>
                <w:rFonts w:ascii="Arial" w:cs="Arial" w:eastAsia="Arial" w:hAnsi="Arial"/>
                <w:sz w:val="15"/>
                <w:szCs w:val="15"/>
                <w:color w:val="auto"/>
              </w:rPr>
              <w:t>2,174</w:t>
            </w:r>
          </w:p>
        </w:tc>
        <w:tc>
          <w:tcPr>
            <w:tcW w:w="1580" w:type="dxa"/>
            <w:vAlign w:val="bottom"/>
          </w:tcPr>
          <w:p>
            <w:pPr>
              <w:jc w:val="right"/>
              <w:ind w:right="103"/>
              <w:spacing w:after="0"/>
              <w:rPr>
                <w:sz w:val="20"/>
                <w:szCs w:val="20"/>
                <w:color w:val="auto"/>
              </w:rPr>
            </w:pPr>
            <w:r>
              <w:rPr>
                <w:rFonts w:ascii="Arial" w:cs="Arial" w:eastAsia="Arial" w:hAnsi="Arial"/>
                <w:sz w:val="15"/>
                <w:szCs w:val="15"/>
                <w:color w:val="auto"/>
              </w:rPr>
              <w:t>5.6</w:t>
            </w: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48.91</w:t>
            </w:r>
          </w:p>
        </w:tc>
      </w:tr>
      <w:tr>
        <w:trPr>
          <w:trHeight w:val="207"/>
        </w:trPr>
        <w:tc>
          <w:tcPr>
            <w:tcW w:w="5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Options available for future grant at May 5, 2018</w:t>
            </w:r>
          </w:p>
        </w:tc>
        <w:tc>
          <w:tcPr>
            <w:tcW w:w="62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8,271</w:t>
            </w:r>
          </w:p>
        </w:tc>
        <w:tc>
          <w:tcPr>
            <w:tcW w:w="158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r>
    </w:tbl>
    <w:p>
      <w:pPr>
        <w:spacing w:after="0" w:line="140" w:lineRule="exact"/>
        <w:rPr>
          <w:sz w:val="20"/>
          <w:szCs w:val="20"/>
          <w:color w:val="auto"/>
        </w:rPr>
      </w:pPr>
    </w:p>
    <w:p>
      <w:pPr>
        <w:jc w:val="both"/>
        <w:ind w:right="20"/>
        <w:spacing w:after="0" w:line="254" w:lineRule="auto"/>
        <w:rPr>
          <w:sz w:val="20"/>
          <w:szCs w:val="20"/>
          <w:color w:val="auto"/>
        </w:rPr>
      </w:pPr>
      <w:r>
        <w:rPr>
          <w:rFonts w:ascii="Arial" w:cs="Arial" w:eastAsia="Arial" w:hAnsi="Arial"/>
          <w:sz w:val="15"/>
          <w:szCs w:val="15"/>
          <w:color w:val="auto"/>
        </w:rPr>
        <w:t>The total fair value of options vested as of May 5, 2018 and April 29, 2017 was $8 million and $7 million, respectively. The cash received from option exercises and the related tax benefit for the thirteen weeks ended May 5, 2018 was not significant.</w:t>
      </w:r>
    </w:p>
    <w:p>
      <w:pPr>
        <w:spacing w:after="0" w:line="146" w:lineRule="exact"/>
        <w:rPr>
          <w:sz w:val="20"/>
          <w:szCs w:val="20"/>
          <w:color w:val="auto"/>
        </w:rPr>
      </w:pPr>
    </w:p>
    <w:p>
      <w:pPr>
        <w:jc w:val="both"/>
        <w:ind w:right="20"/>
        <w:spacing w:after="0" w:line="254" w:lineRule="auto"/>
        <w:rPr>
          <w:sz w:val="20"/>
          <w:szCs w:val="20"/>
          <w:color w:val="auto"/>
        </w:rPr>
      </w:pPr>
      <w:r>
        <w:rPr>
          <w:rFonts w:ascii="Arial" w:cs="Arial" w:eastAsia="Arial" w:hAnsi="Arial"/>
          <w:sz w:val="15"/>
          <w:szCs w:val="15"/>
          <w:color w:val="auto"/>
        </w:rPr>
        <w:t>The total intrinsic value of options exercised (the difference between the market price of the Company’s common stock on the exercise date and the price paid by the optionee to exercise the option) is presented below:</w:t>
      </w:r>
    </w:p>
    <w:p>
      <w:pPr>
        <w:spacing w:after="0" w:line="18" w:lineRule="exact"/>
        <w:rPr>
          <w:sz w:val="20"/>
          <w:szCs w:val="20"/>
          <w:color w:val="auto"/>
        </w:rPr>
      </w:pPr>
    </w:p>
    <w:p>
      <w:pPr>
        <w:ind w:left="6700"/>
        <w:spacing w:after="0"/>
        <w:rPr>
          <w:sz w:val="20"/>
          <w:szCs w:val="20"/>
          <w:color w:val="auto"/>
        </w:rPr>
      </w:pPr>
      <w:r>
        <w:rPr>
          <w:rFonts w:ascii="Arial" w:cs="Arial" w:eastAsia="Arial" w:hAnsi="Arial"/>
          <w:sz w:val="15"/>
          <w:szCs w:val="15"/>
          <w:b w:val="1"/>
          <w:bCs w:val="1"/>
          <w:color w:val="auto"/>
        </w:rPr>
        <w:t>Thirteen weeks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00" w:type="dxa"/>
            <w:vAlign w:val="bottom"/>
            <w:tcBorders>
              <w:top w:val="single" w:sz="8" w:color="auto"/>
              <w:bottom w:val="single" w:sz="8" w:color="auto"/>
            </w:tcBorders>
          </w:tcPr>
          <w:p>
            <w:pPr>
              <w:spacing w:after="0"/>
              <w:rPr>
                <w:sz w:val="14"/>
                <w:szCs w:val="14"/>
                <w:color w:val="auto"/>
              </w:rPr>
            </w:pPr>
          </w:p>
        </w:tc>
        <w:tc>
          <w:tcPr>
            <w:tcW w:w="3860" w:type="dxa"/>
            <w:vAlign w:val="bottom"/>
            <w:tcBorders>
              <w:top w:val="single" w:sz="8" w:color="auto"/>
              <w:bottom w:val="single" w:sz="8" w:color="auto"/>
            </w:tcBorders>
          </w:tcPr>
          <w:p>
            <w:pPr>
              <w:jc w:val="right"/>
              <w:ind w:right="3"/>
              <w:spacing w:after="0" w:line="163" w:lineRule="exact"/>
              <w:rPr>
                <w:sz w:val="20"/>
                <w:szCs w:val="20"/>
                <w:color w:val="auto"/>
              </w:rPr>
            </w:pPr>
            <w:r>
              <w:rPr>
                <w:rFonts w:ascii="Arial" w:cs="Arial" w:eastAsia="Arial" w:hAnsi="Arial"/>
                <w:sz w:val="15"/>
                <w:szCs w:val="15"/>
                <w:b w:val="1"/>
                <w:bCs w:val="1"/>
                <w:color w:val="auto"/>
              </w:rPr>
              <w:t>May 5, 2018</w:t>
            </w:r>
          </w:p>
        </w:tc>
        <w:tc>
          <w:tcPr>
            <w:tcW w:w="1720" w:type="dxa"/>
            <w:vAlign w:val="bottom"/>
            <w:tcBorders>
              <w:top w:val="single" w:sz="8" w:color="auto"/>
              <w:bottom w:val="single" w:sz="8" w:color="auto"/>
            </w:tcBorders>
          </w:tcPr>
          <w:p>
            <w:pPr>
              <w:ind w:left="720"/>
              <w:spacing w:after="0" w:line="163" w:lineRule="exact"/>
              <w:rPr>
                <w:sz w:val="20"/>
                <w:szCs w:val="20"/>
                <w:color w:val="auto"/>
              </w:rPr>
            </w:pPr>
            <w:r>
              <w:rPr>
                <w:rFonts w:ascii="Arial" w:cs="Arial" w:eastAsia="Arial" w:hAnsi="Arial"/>
                <w:sz w:val="15"/>
                <w:szCs w:val="15"/>
                <w:b w:val="1"/>
                <w:bCs w:val="1"/>
                <w:color w:val="auto"/>
              </w:rPr>
              <w:t>April 29, 2017</w:t>
            </w:r>
          </w:p>
        </w:tc>
        <w:tc>
          <w:tcPr>
            <w:tcW w:w="220" w:type="dxa"/>
            <w:vAlign w:val="bottom"/>
            <w:tcBorders>
              <w:top w:val="single" w:sz="8" w:color="auto"/>
              <w:bottom w:val="single" w:sz="8" w:color="auto"/>
            </w:tcBorders>
          </w:tcPr>
          <w:p>
            <w:pPr>
              <w:spacing w:after="0"/>
              <w:rPr>
                <w:sz w:val="14"/>
                <w:szCs w:val="14"/>
                <w:color w:val="auto"/>
              </w:rPr>
            </w:pPr>
          </w:p>
        </w:tc>
      </w:tr>
      <w:tr>
        <w:trPr>
          <w:trHeight w:val="199"/>
        </w:trPr>
        <w:tc>
          <w:tcPr>
            <w:tcW w:w="3300" w:type="dxa"/>
            <w:vAlign w:val="bottom"/>
          </w:tcPr>
          <w:p>
            <w:pPr>
              <w:spacing w:after="0"/>
              <w:rPr>
                <w:sz w:val="17"/>
                <w:szCs w:val="17"/>
                <w:color w:val="auto"/>
              </w:rPr>
            </w:pPr>
          </w:p>
        </w:tc>
        <w:tc>
          <w:tcPr>
            <w:tcW w:w="5580" w:type="dxa"/>
            <w:vAlign w:val="bottom"/>
            <w:gridSpan w:val="2"/>
          </w:tcPr>
          <w:p>
            <w:pPr>
              <w:jc w:val="center"/>
              <w:ind w:left="2763"/>
              <w:spacing w:after="0"/>
              <w:rPr>
                <w:sz w:val="20"/>
                <w:szCs w:val="20"/>
                <w:color w:val="auto"/>
              </w:rPr>
            </w:pPr>
            <w:r>
              <w:rPr>
                <w:rFonts w:ascii="Arial" w:cs="Arial" w:eastAsia="Arial" w:hAnsi="Arial"/>
                <w:sz w:val="15"/>
                <w:szCs w:val="15"/>
                <w:color w:val="auto"/>
              </w:rPr>
              <w:t>($ in millions)</w:t>
            </w:r>
          </w:p>
        </w:tc>
        <w:tc>
          <w:tcPr>
            <w:tcW w:w="220" w:type="dxa"/>
            <w:vAlign w:val="bottom"/>
          </w:tcPr>
          <w:p>
            <w:pPr>
              <w:spacing w:after="0"/>
              <w:rPr>
                <w:sz w:val="17"/>
                <w:szCs w:val="17"/>
                <w:color w:val="auto"/>
              </w:rPr>
            </w:pPr>
          </w:p>
        </w:tc>
      </w:tr>
      <w:tr>
        <w:trPr>
          <w:trHeight w:val="207"/>
        </w:trPr>
        <w:tc>
          <w:tcPr>
            <w:tcW w:w="3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Exercised</w:t>
            </w:r>
          </w:p>
        </w:tc>
        <w:tc>
          <w:tcPr>
            <w:tcW w:w="3860" w:type="dxa"/>
            <w:vAlign w:val="bottom"/>
            <w:tcBorders>
              <w:bottom w:val="single" w:sz="8" w:color="auto"/>
            </w:tcBorders>
            <w:shd w:val="clear" w:color="auto" w:fill="CCEEFF"/>
          </w:tcPr>
          <w:p>
            <w:pPr>
              <w:jc w:val="right"/>
              <w:ind w:right="1103"/>
              <w:spacing w:after="0"/>
              <w:rPr>
                <w:sz w:val="20"/>
                <w:szCs w:val="20"/>
                <w:color w:val="auto"/>
              </w:rPr>
            </w:pPr>
            <w:r>
              <w:rPr>
                <w:rFonts w:ascii="Arial" w:cs="Arial" w:eastAsia="Arial" w:hAnsi="Arial"/>
                <w:sz w:val="15"/>
                <w:szCs w:val="15"/>
                <w:b w:val="1"/>
                <w:bCs w:val="1"/>
                <w:color w:val="auto"/>
              </w:rPr>
              <w:t>$</w:t>
            </w:r>
          </w:p>
        </w:tc>
        <w:tc>
          <w:tcPr>
            <w:tcW w:w="1720" w:type="dxa"/>
            <w:vAlign w:val="bottom"/>
            <w:tcBorders>
              <w:bottom w:val="single" w:sz="8" w:color="auto"/>
            </w:tcBorders>
            <w:shd w:val="clear" w:color="auto" w:fill="CCEEFF"/>
          </w:tcPr>
          <w:p>
            <w:pPr>
              <w:jc w:val="center"/>
              <w:ind w:right="1003"/>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15</w:t>
            </w:r>
          </w:p>
        </w:tc>
      </w:tr>
    </w:tbl>
    <w:p>
      <w:pPr>
        <w:spacing w:after="0" w:line="80" w:lineRule="exact"/>
        <w:rPr>
          <w:sz w:val="20"/>
          <w:szCs w:val="20"/>
          <w:color w:val="auto"/>
        </w:rPr>
      </w:pPr>
    </w:p>
    <w:p>
      <w:pPr>
        <w:jc w:val="both"/>
        <w:ind w:right="20"/>
        <w:spacing w:after="0" w:line="245" w:lineRule="auto"/>
        <w:rPr>
          <w:sz w:val="20"/>
          <w:szCs w:val="20"/>
          <w:color w:val="auto"/>
        </w:rPr>
      </w:pPr>
      <w:r>
        <w:rPr>
          <w:rFonts w:ascii="Arial" w:cs="Arial" w:eastAsia="Arial" w:hAnsi="Arial"/>
          <w:sz w:val="15"/>
          <w:szCs w:val="15"/>
          <w:color w:val="auto"/>
        </w:rPr>
        <w:t>The aggregate intrinsic value for stock options outstanding, and outstanding and exercisable (the difference between the Company’s closing stock price on the last trading day of the period and the exercise price of the options, multiplied by the number of in-the-money stock options) is presented below:</w:t>
      </w:r>
    </w:p>
    <w:p>
      <w:pPr>
        <w:spacing w:after="0" w:line="74" w:lineRule="exact"/>
        <w:rPr>
          <w:sz w:val="20"/>
          <w:szCs w:val="20"/>
          <w:color w:val="auto"/>
        </w:rPr>
      </w:pPr>
    </w:p>
    <w:p>
      <w:pPr>
        <w:ind w:left="6700"/>
        <w:spacing w:after="0"/>
        <w:rPr>
          <w:sz w:val="20"/>
          <w:szCs w:val="20"/>
          <w:color w:val="auto"/>
        </w:rPr>
      </w:pPr>
      <w:r>
        <w:rPr>
          <w:rFonts w:ascii="Arial" w:cs="Arial" w:eastAsia="Arial" w:hAnsi="Arial"/>
          <w:sz w:val="15"/>
          <w:szCs w:val="15"/>
          <w:b w:val="1"/>
          <w:bCs w:val="1"/>
          <w:color w:val="auto"/>
        </w:rPr>
        <w:t>Thirteen weeks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Borders>
              <w:top w:val="single" w:sz="8" w:color="auto"/>
              <w:bottom w:val="single" w:sz="8" w:color="auto"/>
            </w:tcBorders>
          </w:tcPr>
          <w:p>
            <w:pPr>
              <w:spacing w:after="0"/>
              <w:rPr>
                <w:sz w:val="14"/>
                <w:szCs w:val="14"/>
                <w:color w:val="auto"/>
              </w:rPr>
            </w:pPr>
          </w:p>
        </w:tc>
        <w:tc>
          <w:tcPr>
            <w:tcW w:w="314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rPr>
              <w:t>May 5, 2018</w:t>
            </w:r>
          </w:p>
        </w:tc>
        <w:tc>
          <w:tcPr>
            <w:tcW w:w="44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rPr>
              <w:t>April 29, 2017</w:t>
            </w:r>
          </w:p>
        </w:tc>
        <w:tc>
          <w:tcPr>
            <w:tcW w:w="220" w:type="dxa"/>
            <w:vAlign w:val="bottom"/>
            <w:tcBorders>
              <w:top w:val="single" w:sz="8" w:color="auto"/>
              <w:bottom w:val="single" w:sz="8" w:color="auto"/>
            </w:tcBorders>
          </w:tcPr>
          <w:p>
            <w:pPr>
              <w:spacing w:after="0"/>
              <w:rPr>
                <w:sz w:val="14"/>
                <w:szCs w:val="14"/>
                <w:color w:val="auto"/>
              </w:rPr>
            </w:pPr>
          </w:p>
        </w:tc>
      </w:tr>
      <w:tr>
        <w:trPr>
          <w:trHeight w:val="187"/>
        </w:trPr>
        <w:tc>
          <w:tcPr>
            <w:tcW w:w="4000" w:type="dxa"/>
            <w:vAlign w:val="bottom"/>
          </w:tcPr>
          <w:p>
            <w:pPr>
              <w:spacing w:after="0"/>
              <w:rPr>
                <w:sz w:val="16"/>
                <w:szCs w:val="16"/>
                <w:color w:val="auto"/>
              </w:rPr>
            </w:pPr>
          </w:p>
        </w:tc>
        <w:tc>
          <w:tcPr>
            <w:tcW w:w="4880" w:type="dxa"/>
            <w:vAlign w:val="bottom"/>
            <w:gridSpan w:val="3"/>
          </w:tcPr>
          <w:p>
            <w:pPr>
              <w:jc w:val="right"/>
              <w:ind w:right="843"/>
              <w:spacing w:after="0"/>
              <w:rPr>
                <w:sz w:val="20"/>
                <w:szCs w:val="20"/>
                <w:color w:val="auto"/>
              </w:rPr>
            </w:pPr>
            <w:r>
              <w:rPr>
                <w:rFonts w:ascii="Arial" w:cs="Arial" w:eastAsia="Arial" w:hAnsi="Arial"/>
                <w:sz w:val="15"/>
                <w:szCs w:val="15"/>
                <w:color w:val="auto"/>
              </w:rPr>
              <w:t>($ in millions)</w:t>
            </w:r>
          </w:p>
        </w:tc>
        <w:tc>
          <w:tcPr>
            <w:tcW w:w="220" w:type="dxa"/>
            <w:vAlign w:val="bottom"/>
          </w:tcPr>
          <w:p>
            <w:pPr>
              <w:spacing w:after="0"/>
              <w:rPr>
                <w:sz w:val="16"/>
                <w:szCs w:val="16"/>
                <w:color w:val="auto"/>
              </w:rPr>
            </w:pPr>
          </w:p>
        </w:tc>
      </w:tr>
      <w:tr>
        <w:trPr>
          <w:trHeight w:val="207"/>
        </w:trPr>
        <w:tc>
          <w:tcPr>
            <w:tcW w:w="4000" w:type="dxa"/>
            <w:vAlign w:val="bottom"/>
            <w:shd w:val="clear" w:color="auto" w:fill="CCEEFF"/>
          </w:tcPr>
          <w:p>
            <w:pPr>
              <w:spacing w:after="0"/>
              <w:rPr>
                <w:sz w:val="20"/>
                <w:szCs w:val="20"/>
                <w:color w:val="auto"/>
              </w:rPr>
            </w:pPr>
            <w:r>
              <w:rPr>
                <w:rFonts w:ascii="Arial" w:cs="Arial" w:eastAsia="Arial" w:hAnsi="Arial"/>
                <w:sz w:val="15"/>
                <w:szCs w:val="15"/>
                <w:color w:val="auto"/>
              </w:rPr>
              <w:t>Outstanding</w:t>
            </w:r>
          </w:p>
        </w:tc>
        <w:tc>
          <w:tcPr>
            <w:tcW w:w="3140" w:type="dxa"/>
            <w:vAlign w:val="bottom"/>
            <w:shd w:val="clear" w:color="auto" w:fill="CCEEFF"/>
          </w:tcPr>
          <w:p>
            <w:pPr>
              <w:jc w:val="right"/>
              <w:ind w:right="923"/>
              <w:spacing w:after="0"/>
              <w:rPr>
                <w:sz w:val="20"/>
                <w:szCs w:val="20"/>
                <w:color w:val="auto"/>
              </w:rPr>
            </w:pPr>
            <w:r>
              <w:rPr>
                <w:rFonts w:ascii="Arial" w:cs="Arial" w:eastAsia="Arial" w:hAnsi="Arial"/>
                <w:sz w:val="15"/>
                <w:szCs w:val="15"/>
                <w:b w:val="1"/>
                <w:bCs w:val="1"/>
                <w:color w:val="auto"/>
              </w:rPr>
              <w:t>$</w:t>
            </w:r>
          </w:p>
        </w:tc>
        <w:tc>
          <w:tcPr>
            <w:tcW w:w="44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11</w:t>
            </w:r>
          </w:p>
        </w:tc>
        <w:tc>
          <w:tcPr>
            <w:tcW w:w="1300" w:type="dxa"/>
            <w:vAlign w:val="bottom"/>
            <w:shd w:val="clear" w:color="auto" w:fill="CCEEFF"/>
          </w:tcPr>
          <w:p>
            <w:pPr>
              <w:jc w:val="right"/>
              <w:ind w:right="923"/>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84</w:t>
            </w:r>
          </w:p>
        </w:tc>
      </w:tr>
      <w:tr>
        <w:trPr>
          <w:trHeight w:val="207"/>
        </w:trPr>
        <w:tc>
          <w:tcPr>
            <w:tcW w:w="40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Outstanding and exercisable</w:t>
            </w:r>
          </w:p>
        </w:tc>
        <w:tc>
          <w:tcPr>
            <w:tcW w:w="3140" w:type="dxa"/>
            <w:vAlign w:val="bottom"/>
            <w:tcBorders>
              <w:bottom w:val="single" w:sz="8" w:color="auto"/>
            </w:tcBorders>
          </w:tcPr>
          <w:p>
            <w:pPr>
              <w:jc w:val="right"/>
              <w:ind w:right="923"/>
              <w:spacing w:after="0"/>
              <w:rPr>
                <w:sz w:val="20"/>
                <w:szCs w:val="20"/>
                <w:color w:val="auto"/>
              </w:rPr>
            </w:pPr>
            <w:r>
              <w:rPr>
                <w:rFonts w:ascii="Arial" w:cs="Arial" w:eastAsia="Arial" w:hAnsi="Arial"/>
                <w:sz w:val="15"/>
                <w:szCs w:val="15"/>
                <w:b w:val="1"/>
                <w:bCs w:val="1"/>
                <w:color w:val="auto"/>
              </w:rPr>
              <w:t>$</w:t>
            </w:r>
          </w:p>
        </w:tc>
        <w:tc>
          <w:tcPr>
            <w:tcW w:w="44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11</w:t>
            </w:r>
          </w:p>
        </w:tc>
        <w:tc>
          <w:tcPr>
            <w:tcW w:w="1300" w:type="dxa"/>
            <w:vAlign w:val="bottom"/>
            <w:tcBorders>
              <w:bottom w:val="single" w:sz="8" w:color="auto"/>
            </w:tcBorders>
          </w:tcPr>
          <w:p>
            <w:pPr>
              <w:jc w:val="right"/>
              <w:ind w:right="92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74</w:t>
            </w:r>
          </w:p>
        </w:tc>
      </w:tr>
    </w:tbl>
    <w:p>
      <w:pPr>
        <w:spacing w:after="0" w:line="128" w:lineRule="exact"/>
        <w:rPr>
          <w:sz w:val="20"/>
          <w:szCs w:val="20"/>
          <w:color w:val="auto"/>
        </w:rPr>
      </w:pPr>
    </w:p>
    <w:p>
      <w:pPr>
        <w:jc w:val="both"/>
        <w:ind w:right="20"/>
        <w:spacing w:after="0" w:line="254" w:lineRule="auto"/>
        <w:rPr>
          <w:sz w:val="20"/>
          <w:szCs w:val="20"/>
          <w:color w:val="auto"/>
        </w:rPr>
      </w:pPr>
      <w:r>
        <w:rPr>
          <w:rFonts w:ascii="Arial" w:cs="Arial" w:eastAsia="Arial" w:hAnsi="Arial"/>
          <w:sz w:val="15"/>
          <w:szCs w:val="15"/>
          <w:color w:val="auto"/>
        </w:rPr>
        <w:t>As of May 5, 2018 there was $8 million of total unrecognized compensation cost related to nonvested stock options, which is expected to be recognized over a remaining weighted-average period of 1.7 years.</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information about stock options outstanding and exercisable at May 5, 2018:</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9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Options Outstanding</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ind w:right="403"/>
              <w:spacing w:after="0"/>
              <w:rPr>
                <w:sz w:val="20"/>
                <w:szCs w:val="20"/>
                <w:color w:val="auto"/>
              </w:rPr>
            </w:pPr>
            <w:r>
              <w:rPr>
                <w:rFonts w:ascii="Arial" w:cs="Arial" w:eastAsia="Arial" w:hAnsi="Arial"/>
                <w:sz w:val="15"/>
                <w:szCs w:val="15"/>
                <w:b w:val="1"/>
                <w:bCs w:val="1"/>
                <w:color w:val="auto"/>
              </w:rPr>
              <w:t>Options Exercisable</w:t>
            </w:r>
          </w:p>
        </w:tc>
        <w:tc>
          <w:tcPr>
            <w:tcW w:w="20" w:type="dxa"/>
            <w:vAlign w:val="bottom"/>
          </w:tcPr>
          <w:p>
            <w:pPr>
              <w:spacing w:after="0"/>
              <w:rPr>
                <w:sz w:val="16"/>
                <w:szCs w:val="16"/>
                <w:color w:val="auto"/>
              </w:rPr>
            </w:pPr>
          </w:p>
        </w:tc>
      </w:tr>
      <w:tr>
        <w:trPr>
          <w:trHeight w:val="151"/>
        </w:trPr>
        <w:tc>
          <w:tcPr>
            <w:tcW w:w="19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660" w:type="dxa"/>
            <w:vAlign w:val="bottom"/>
          </w:tcPr>
          <w:p>
            <w:pPr>
              <w:jc w:val="center"/>
              <w:spacing w:after="0" w:line="151" w:lineRule="exact"/>
              <w:rPr>
                <w:sz w:val="20"/>
                <w:szCs w:val="20"/>
                <w:color w:val="auto"/>
              </w:rPr>
            </w:pPr>
            <w:r>
              <w:rPr>
                <w:rFonts w:ascii="Arial" w:cs="Arial" w:eastAsia="Arial" w:hAnsi="Arial"/>
                <w:sz w:val="15"/>
                <w:szCs w:val="15"/>
                <w:b w:val="1"/>
                <w:bCs w:val="1"/>
                <w:color w:val="auto"/>
              </w:rPr>
              <w:t>Weighted-</w:t>
            </w: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2"/>
        </w:trPr>
        <w:tc>
          <w:tcPr>
            <w:tcW w:w="19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5"/>
                <w:szCs w:val="15"/>
                <w:b w:val="1"/>
                <w:bCs w:val="1"/>
                <w:color w:val="auto"/>
              </w:rPr>
              <w:t>Average</w:t>
            </w:r>
          </w:p>
        </w:tc>
        <w:tc>
          <w:tcPr>
            <w:tcW w:w="240" w:type="dxa"/>
            <w:vAlign w:val="bottom"/>
          </w:tcPr>
          <w:p>
            <w:pPr>
              <w:spacing w:after="0"/>
              <w:rPr>
                <w:sz w:val="15"/>
                <w:szCs w:val="15"/>
                <w:color w:val="auto"/>
              </w:rPr>
            </w:pPr>
          </w:p>
        </w:tc>
        <w:tc>
          <w:tcPr>
            <w:tcW w:w="1060" w:type="dxa"/>
            <w:vAlign w:val="bottom"/>
          </w:tcPr>
          <w:p>
            <w:pPr>
              <w:jc w:val="center"/>
              <w:ind w:right="123"/>
              <w:spacing w:after="0"/>
              <w:rPr>
                <w:sz w:val="20"/>
                <w:szCs w:val="20"/>
                <w:color w:val="auto"/>
              </w:rPr>
            </w:pPr>
            <w:r>
              <w:rPr>
                <w:rFonts w:ascii="Arial" w:cs="Arial" w:eastAsia="Arial" w:hAnsi="Arial"/>
                <w:sz w:val="15"/>
                <w:szCs w:val="15"/>
                <w:b w:val="1"/>
                <w:bCs w:val="1"/>
                <w:color w:val="auto"/>
              </w:rPr>
              <w:t>Weighted-</w:t>
            </w: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b w:val="1"/>
                <w:bCs w:val="1"/>
                <w:color w:val="auto"/>
              </w:rPr>
              <w:t>Weighted-</w:t>
            </w:r>
          </w:p>
        </w:tc>
        <w:tc>
          <w:tcPr>
            <w:tcW w:w="20" w:type="dxa"/>
            <w:vAlign w:val="bottom"/>
          </w:tcPr>
          <w:p>
            <w:pPr>
              <w:spacing w:after="0"/>
              <w:rPr>
                <w:sz w:val="15"/>
                <w:szCs w:val="15"/>
                <w:color w:val="auto"/>
              </w:rPr>
            </w:pPr>
          </w:p>
        </w:tc>
      </w:tr>
      <w:tr>
        <w:trPr>
          <w:trHeight w:val="182"/>
        </w:trPr>
        <w:tc>
          <w:tcPr>
            <w:tcW w:w="19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5"/>
                <w:szCs w:val="15"/>
                <w:b w:val="1"/>
                <w:bCs w:val="1"/>
                <w:color w:val="auto"/>
              </w:rPr>
              <w:t>Remaining</w:t>
            </w:r>
          </w:p>
        </w:tc>
        <w:tc>
          <w:tcPr>
            <w:tcW w:w="240" w:type="dxa"/>
            <w:vAlign w:val="bottom"/>
          </w:tcPr>
          <w:p>
            <w:pPr>
              <w:spacing w:after="0"/>
              <w:rPr>
                <w:sz w:val="15"/>
                <w:szCs w:val="15"/>
                <w:color w:val="auto"/>
              </w:rPr>
            </w:pPr>
          </w:p>
        </w:tc>
        <w:tc>
          <w:tcPr>
            <w:tcW w:w="1060" w:type="dxa"/>
            <w:vAlign w:val="bottom"/>
          </w:tcPr>
          <w:p>
            <w:pPr>
              <w:jc w:val="center"/>
              <w:ind w:right="123"/>
              <w:spacing w:after="0"/>
              <w:rPr>
                <w:sz w:val="20"/>
                <w:szCs w:val="20"/>
                <w:color w:val="auto"/>
              </w:rPr>
            </w:pPr>
            <w:r>
              <w:rPr>
                <w:rFonts w:ascii="Arial" w:cs="Arial" w:eastAsia="Arial" w:hAnsi="Arial"/>
                <w:sz w:val="15"/>
                <w:szCs w:val="15"/>
                <w:b w:val="1"/>
                <w:bCs w:val="1"/>
                <w:color w:val="auto"/>
              </w:rPr>
              <w:t>Average</w:t>
            </w: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b w:val="1"/>
                <w:bCs w:val="1"/>
                <w:color w:val="auto"/>
              </w:rPr>
              <w:t>Average</w:t>
            </w:r>
          </w:p>
        </w:tc>
        <w:tc>
          <w:tcPr>
            <w:tcW w:w="20" w:type="dxa"/>
            <w:vAlign w:val="bottom"/>
          </w:tcPr>
          <w:p>
            <w:pPr>
              <w:spacing w:after="0"/>
              <w:rPr>
                <w:sz w:val="15"/>
                <w:szCs w:val="15"/>
                <w:color w:val="auto"/>
              </w:rPr>
            </w:pPr>
          </w:p>
        </w:tc>
      </w:tr>
      <w:tr>
        <w:trPr>
          <w:trHeight w:val="203"/>
        </w:trPr>
        <w:tc>
          <w:tcPr>
            <w:tcW w:w="1940" w:type="dxa"/>
            <w:vAlign w:val="bottom"/>
          </w:tcPr>
          <w:p>
            <w:pPr>
              <w:spacing w:after="0"/>
              <w:rPr>
                <w:sz w:val="20"/>
                <w:szCs w:val="20"/>
                <w:color w:val="auto"/>
              </w:rPr>
            </w:pPr>
            <w:r>
              <w:rPr>
                <w:rFonts w:ascii="Arial" w:cs="Arial" w:eastAsia="Arial" w:hAnsi="Arial"/>
                <w:sz w:val="15"/>
                <w:szCs w:val="15"/>
                <w:b w:val="1"/>
                <w:bCs w:val="1"/>
                <w:color w:val="auto"/>
              </w:rPr>
              <w:t>Range of Exercise</w:t>
            </w:r>
          </w:p>
        </w:tc>
        <w:tc>
          <w:tcPr>
            <w:tcW w:w="1640" w:type="dxa"/>
            <w:vAlign w:val="bottom"/>
          </w:tcPr>
          <w:p>
            <w:pPr>
              <w:jc w:val="right"/>
              <w:ind w:right="223"/>
              <w:spacing w:after="0"/>
              <w:rPr>
                <w:sz w:val="20"/>
                <w:szCs w:val="20"/>
                <w:color w:val="auto"/>
              </w:rPr>
            </w:pPr>
            <w:r>
              <w:rPr>
                <w:rFonts w:ascii="Arial" w:cs="Arial" w:eastAsia="Arial" w:hAnsi="Arial"/>
                <w:sz w:val="15"/>
                <w:szCs w:val="15"/>
                <w:b w:val="1"/>
                <w:bCs w:val="1"/>
                <w:color w:val="auto"/>
              </w:rPr>
              <w:t>Number</w:t>
            </w:r>
          </w:p>
        </w:tc>
        <w:tc>
          <w:tcPr>
            <w:tcW w:w="1660" w:type="dxa"/>
            <w:vAlign w:val="bottom"/>
          </w:tcPr>
          <w:p>
            <w:pPr>
              <w:jc w:val="center"/>
              <w:spacing w:after="0"/>
              <w:rPr>
                <w:sz w:val="20"/>
                <w:szCs w:val="20"/>
                <w:color w:val="auto"/>
              </w:rPr>
            </w:pPr>
            <w:r>
              <w:rPr>
                <w:rFonts w:ascii="Arial" w:cs="Arial" w:eastAsia="Arial" w:hAnsi="Arial"/>
                <w:sz w:val="15"/>
                <w:szCs w:val="15"/>
                <w:b w:val="1"/>
                <w:bCs w:val="1"/>
                <w:color w:val="auto"/>
              </w:rPr>
              <w:t>Contractual</w:t>
            </w:r>
          </w:p>
        </w:tc>
        <w:tc>
          <w:tcPr>
            <w:tcW w:w="240" w:type="dxa"/>
            <w:vAlign w:val="bottom"/>
          </w:tcPr>
          <w:p>
            <w:pPr>
              <w:spacing w:after="0"/>
              <w:rPr>
                <w:sz w:val="17"/>
                <w:szCs w:val="17"/>
                <w:color w:val="auto"/>
              </w:rPr>
            </w:pPr>
          </w:p>
        </w:tc>
        <w:tc>
          <w:tcPr>
            <w:tcW w:w="1060" w:type="dxa"/>
            <w:vAlign w:val="bottom"/>
          </w:tcPr>
          <w:p>
            <w:pPr>
              <w:jc w:val="center"/>
              <w:ind w:right="123"/>
              <w:spacing w:after="0"/>
              <w:rPr>
                <w:sz w:val="20"/>
                <w:szCs w:val="20"/>
                <w:color w:val="auto"/>
              </w:rPr>
            </w:pPr>
            <w:r>
              <w:rPr>
                <w:rFonts w:ascii="Arial" w:cs="Arial" w:eastAsia="Arial" w:hAnsi="Arial"/>
                <w:sz w:val="15"/>
                <w:szCs w:val="15"/>
                <w:b w:val="1"/>
                <w:bCs w:val="1"/>
                <w:color w:val="auto"/>
              </w:rPr>
              <w:t>Exercise</w:t>
            </w:r>
          </w:p>
        </w:tc>
        <w:tc>
          <w:tcPr>
            <w:tcW w:w="1360" w:type="dxa"/>
            <w:vAlign w:val="bottom"/>
          </w:tcPr>
          <w:p>
            <w:pPr>
              <w:jc w:val="right"/>
              <w:ind w:right="383"/>
              <w:spacing w:after="0"/>
              <w:rPr>
                <w:sz w:val="20"/>
                <w:szCs w:val="20"/>
                <w:color w:val="auto"/>
              </w:rPr>
            </w:pPr>
            <w:r>
              <w:rPr>
                <w:rFonts w:ascii="Arial" w:cs="Arial" w:eastAsia="Arial" w:hAnsi="Arial"/>
                <w:sz w:val="15"/>
                <w:szCs w:val="15"/>
                <w:b w:val="1"/>
                <w:bCs w:val="1"/>
                <w:color w:val="auto"/>
              </w:rPr>
              <w:t>Number</w:t>
            </w:r>
          </w:p>
        </w:tc>
        <w:tc>
          <w:tcPr>
            <w:tcW w:w="28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5"/>
                <w:szCs w:val="15"/>
                <w:b w:val="1"/>
                <w:bCs w:val="1"/>
                <w:color w:val="auto"/>
              </w:rPr>
              <w:t>Exercise</w:t>
            </w:r>
          </w:p>
        </w:tc>
        <w:tc>
          <w:tcPr>
            <w:tcW w:w="20" w:type="dxa"/>
            <w:vAlign w:val="bottom"/>
          </w:tcPr>
          <w:p>
            <w:pPr>
              <w:spacing w:after="0"/>
              <w:rPr>
                <w:sz w:val="17"/>
                <w:szCs w:val="17"/>
                <w:color w:val="auto"/>
              </w:rPr>
            </w:pPr>
          </w:p>
        </w:tc>
      </w:tr>
      <w:tr>
        <w:trPr>
          <w:trHeight w:val="197"/>
        </w:trPr>
        <w:tc>
          <w:tcPr>
            <w:tcW w:w="19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Prices</w:t>
            </w:r>
          </w:p>
        </w:tc>
        <w:tc>
          <w:tcPr>
            <w:tcW w:w="16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Outstanding</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Life</w:t>
            </w: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23"/>
              <w:spacing w:after="0"/>
              <w:rPr>
                <w:sz w:val="20"/>
                <w:szCs w:val="20"/>
                <w:color w:val="auto"/>
              </w:rPr>
            </w:pPr>
            <w:r>
              <w:rPr>
                <w:rFonts w:ascii="Arial" w:cs="Arial" w:eastAsia="Arial" w:hAnsi="Arial"/>
                <w:sz w:val="15"/>
                <w:szCs w:val="15"/>
                <w:b w:val="1"/>
                <w:bCs w:val="1"/>
                <w:color w:val="auto"/>
              </w:rPr>
              <w:t>Price</w:t>
            </w:r>
          </w:p>
        </w:tc>
        <w:tc>
          <w:tcPr>
            <w:tcW w:w="136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b w:val="1"/>
                <w:bCs w:val="1"/>
                <w:color w:val="auto"/>
              </w:rPr>
              <w:t>Exercisable</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Price</w:t>
            </w:r>
          </w:p>
        </w:tc>
        <w:tc>
          <w:tcPr>
            <w:tcW w:w="20" w:type="dxa"/>
            <w:vAlign w:val="bottom"/>
          </w:tcPr>
          <w:p>
            <w:pPr>
              <w:spacing w:after="0"/>
              <w:rPr>
                <w:sz w:val="17"/>
                <w:szCs w:val="17"/>
                <w:color w:val="auto"/>
              </w:rPr>
            </w:pPr>
          </w:p>
        </w:tc>
      </w:tr>
      <w:tr>
        <w:trPr>
          <w:trHeight w:val="187"/>
        </w:trPr>
        <w:tc>
          <w:tcPr>
            <w:tcW w:w="19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320" w:type="dxa"/>
            <w:vAlign w:val="bottom"/>
            <w:gridSpan w:val="4"/>
          </w:tcPr>
          <w:p>
            <w:pPr>
              <w:jc w:val="right"/>
              <w:ind w:right="83"/>
              <w:spacing w:after="0"/>
              <w:rPr>
                <w:sz w:val="20"/>
                <w:szCs w:val="20"/>
                <w:color w:val="auto"/>
              </w:rPr>
            </w:pPr>
            <w:r>
              <w:rPr>
                <w:rFonts w:ascii="Arial" w:cs="Arial" w:eastAsia="Arial" w:hAnsi="Arial"/>
                <w:sz w:val="15"/>
                <w:szCs w:val="15"/>
                <w:color w:val="auto"/>
              </w:rPr>
              <w:t>(in thousands, except prices per share and contractual life)</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7"/>
        </w:trPr>
        <w:tc>
          <w:tcPr>
            <w:tcW w:w="1940" w:type="dxa"/>
            <w:vAlign w:val="bottom"/>
            <w:shd w:val="clear" w:color="auto" w:fill="CCEEFF"/>
          </w:tcPr>
          <w:p>
            <w:pPr>
              <w:spacing w:after="0"/>
              <w:rPr>
                <w:sz w:val="20"/>
                <w:szCs w:val="20"/>
                <w:color w:val="auto"/>
              </w:rPr>
            </w:pPr>
            <w:r>
              <w:rPr>
                <w:rFonts w:ascii="Arial" w:cs="Arial" w:eastAsia="Arial" w:hAnsi="Arial"/>
                <w:sz w:val="15"/>
                <w:szCs w:val="15"/>
                <w:color w:val="auto"/>
              </w:rPr>
              <w:t>$9.85 to $18.84</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267</w:t>
            </w:r>
          </w:p>
        </w:tc>
        <w:tc>
          <w:tcPr>
            <w:tcW w:w="166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rPr>
              <w:t>2.3</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16.39</w:t>
            </w:r>
          </w:p>
        </w:tc>
        <w:tc>
          <w:tcPr>
            <w:tcW w:w="1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267</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16.39</w:t>
            </w:r>
          </w:p>
        </w:tc>
        <w:tc>
          <w:tcPr>
            <w:tcW w:w="20" w:type="dxa"/>
            <w:vAlign w:val="bottom"/>
          </w:tcPr>
          <w:p>
            <w:pPr>
              <w:spacing w:after="0"/>
              <w:rPr>
                <w:sz w:val="17"/>
                <w:szCs w:val="17"/>
                <w:color w:val="auto"/>
              </w:rPr>
            </w:pPr>
          </w:p>
        </w:tc>
      </w:tr>
      <w:tr>
        <w:trPr>
          <w:trHeight w:val="207"/>
        </w:trPr>
        <w:tc>
          <w:tcPr>
            <w:tcW w:w="1940" w:type="dxa"/>
            <w:vAlign w:val="bottom"/>
          </w:tcPr>
          <w:p>
            <w:pPr>
              <w:spacing w:after="0"/>
              <w:rPr>
                <w:sz w:val="20"/>
                <w:szCs w:val="20"/>
                <w:color w:val="auto"/>
              </w:rPr>
            </w:pPr>
            <w:r>
              <w:rPr>
                <w:rFonts w:ascii="Arial" w:cs="Arial" w:eastAsia="Arial" w:hAnsi="Arial"/>
                <w:sz w:val="15"/>
                <w:szCs w:val="15"/>
                <w:color w:val="auto"/>
              </w:rPr>
              <w:t>$24.75 to $34.75</w:t>
            </w:r>
          </w:p>
        </w:tc>
        <w:tc>
          <w:tcPr>
            <w:tcW w:w="1640" w:type="dxa"/>
            <w:vAlign w:val="bottom"/>
          </w:tcPr>
          <w:p>
            <w:pPr>
              <w:jc w:val="right"/>
              <w:spacing w:after="0"/>
              <w:rPr>
                <w:sz w:val="20"/>
                <w:szCs w:val="20"/>
                <w:color w:val="auto"/>
              </w:rPr>
            </w:pPr>
            <w:r>
              <w:rPr>
                <w:rFonts w:ascii="Arial" w:cs="Arial" w:eastAsia="Arial" w:hAnsi="Arial"/>
                <w:sz w:val="15"/>
                <w:szCs w:val="15"/>
                <w:color w:val="auto"/>
              </w:rPr>
              <w:t>457</w:t>
            </w:r>
          </w:p>
        </w:tc>
        <w:tc>
          <w:tcPr>
            <w:tcW w:w="1660" w:type="dxa"/>
            <w:vAlign w:val="bottom"/>
          </w:tcPr>
          <w:p>
            <w:pPr>
              <w:jc w:val="right"/>
              <w:ind w:right="283"/>
              <w:spacing w:after="0"/>
              <w:rPr>
                <w:sz w:val="20"/>
                <w:szCs w:val="20"/>
                <w:color w:val="auto"/>
              </w:rPr>
            </w:pPr>
            <w:r>
              <w:rPr>
                <w:rFonts w:ascii="Arial" w:cs="Arial" w:eastAsia="Arial" w:hAnsi="Arial"/>
                <w:sz w:val="15"/>
                <w:szCs w:val="15"/>
                <w:color w:val="auto"/>
              </w:rPr>
              <w:t>4.3</w:t>
            </w:r>
          </w:p>
        </w:tc>
        <w:tc>
          <w:tcPr>
            <w:tcW w:w="240" w:type="dxa"/>
            <w:vAlign w:val="bottom"/>
          </w:tcPr>
          <w:p>
            <w:pPr>
              <w:spacing w:after="0"/>
              <w:rPr>
                <w:sz w:val="17"/>
                <w:szCs w:val="17"/>
                <w:color w:val="auto"/>
              </w:rPr>
            </w:pPr>
          </w:p>
        </w:tc>
        <w:tc>
          <w:tcPr>
            <w:tcW w:w="1060" w:type="dxa"/>
            <w:vAlign w:val="bottom"/>
          </w:tcPr>
          <w:p>
            <w:pPr>
              <w:jc w:val="right"/>
              <w:ind w:right="103"/>
              <w:spacing w:after="0"/>
              <w:rPr>
                <w:sz w:val="20"/>
                <w:szCs w:val="20"/>
                <w:color w:val="auto"/>
              </w:rPr>
            </w:pPr>
            <w:r>
              <w:rPr>
                <w:rFonts w:ascii="Arial" w:cs="Arial" w:eastAsia="Arial" w:hAnsi="Arial"/>
                <w:sz w:val="15"/>
                <w:szCs w:val="15"/>
                <w:color w:val="auto"/>
              </w:rPr>
              <w:t>32.33</w:t>
            </w:r>
          </w:p>
        </w:tc>
        <w:tc>
          <w:tcPr>
            <w:tcW w:w="1360" w:type="dxa"/>
            <w:vAlign w:val="bottom"/>
          </w:tcPr>
          <w:p>
            <w:pPr>
              <w:jc w:val="right"/>
              <w:ind w:right="203"/>
              <w:spacing w:after="0"/>
              <w:rPr>
                <w:sz w:val="20"/>
                <w:szCs w:val="20"/>
                <w:color w:val="auto"/>
              </w:rPr>
            </w:pPr>
            <w:r>
              <w:rPr>
                <w:rFonts w:ascii="Arial" w:cs="Arial" w:eastAsia="Arial" w:hAnsi="Arial"/>
                <w:sz w:val="15"/>
                <w:szCs w:val="15"/>
                <w:color w:val="auto"/>
              </w:rPr>
              <w:t>419</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32.10</w:t>
            </w:r>
          </w:p>
        </w:tc>
        <w:tc>
          <w:tcPr>
            <w:tcW w:w="20" w:type="dxa"/>
            <w:vAlign w:val="bottom"/>
          </w:tcPr>
          <w:p>
            <w:pPr>
              <w:spacing w:after="0"/>
              <w:rPr>
                <w:sz w:val="17"/>
                <w:szCs w:val="17"/>
                <w:color w:val="auto"/>
              </w:rPr>
            </w:pPr>
          </w:p>
        </w:tc>
      </w:tr>
      <w:tr>
        <w:trPr>
          <w:trHeight w:val="207"/>
        </w:trPr>
        <w:tc>
          <w:tcPr>
            <w:tcW w:w="1940" w:type="dxa"/>
            <w:vAlign w:val="bottom"/>
            <w:shd w:val="clear" w:color="auto" w:fill="CCEEFF"/>
          </w:tcPr>
          <w:p>
            <w:pPr>
              <w:spacing w:after="0"/>
              <w:rPr>
                <w:sz w:val="20"/>
                <w:szCs w:val="20"/>
                <w:color w:val="auto"/>
              </w:rPr>
            </w:pPr>
            <w:r>
              <w:rPr>
                <w:rFonts w:ascii="Arial" w:cs="Arial" w:eastAsia="Arial" w:hAnsi="Arial"/>
                <w:sz w:val="15"/>
                <w:szCs w:val="15"/>
                <w:color w:val="auto"/>
              </w:rPr>
              <w:t>$44.78 to $45.75</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708</w:t>
            </w:r>
          </w:p>
        </w:tc>
        <w:tc>
          <w:tcPr>
            <w:tcW w:w="166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rPr>
              <w:t>7.9</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44.93</w:t>
            </w:r>
          </w:p>
        </w:tc>
        <w:tc>
          <w:tcPr>
            <w:tcW w:w="1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339</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45.08</w:t>
            </w:r>
          </w:p>
        </w:tc>
        <w:tc>
          <w:tcPr>
            <w:tcW w:w="20" w:type="dxa"/>
            <w:vAlign w:val="bottom"/>
          </w:tcPr>
          <w:p>
            <w:pPr>
              <w:spacing w:after="0"/>
              <w:rPr>
                <w:sz w:val="17"/>
                <w:szCs w:val="17"/>
                <w:color w:val="auto"/>
              </w:rPr>
            </w:pPr>
          </w:p>
        </w:tc>
      </w:tr>
      <w:tr>
        <w:trPr>
          <w:trHeight w:val="207"/>
        </w:trPr>
        <w:tc>
          <w:tcPr>
            <w:tcW w:w="1940" w:type="dxa"/>
            <w:vAlign w:val="bottom"/>
          </w:tcPr>
          <w:p>
            <w:pPr>
              <w:spacing w:after="0"/>
              <w:rPr>
                <w:sz w:val="20"/>
                <w:szCs w:val="20"/>
                <w:color w:val="auto"/>
              </w:rPr>
            </w:pPr>
            <w:r>
              <w:rPr>
                <w:rFonts w:ascii="Arial" w:cs="Arial" w:eastAsia="Arial" w:hAnsi="Arial"/>
                <w:sz w:val="15"/>
                <w:szCs w:val="15"/>
                <w:color w:val="auto"/>
              </w:rPr>
              <w:t>$46.64 to $62.11</w:t>
            </w:r>
          </w:p>
        </w:tc>
        <w:tc>
          <w:tcPr>
            <w:tcW w:w="1640" w:type="dxa"/>
            <w:vAlign w:val="bottom"/>
          </w:tcPr>
          <w:p>
            <w:pPr>
              <w:jc w:val="right"/>
              <w:spacing w:after="0"/>
              <w:rPr>
                <w:sz w:val="20"/>
                <w:szCs w:val="20"/>
                <w:color w:val="auto"/>
              </w:rPr>
            </w:pPr>
            <w:r>
              <w:rPr>
                <w:rFonts w:ascii="Arial" w:cs="Arial" w:eastAsia="Arial" w:hAnsi="Arial"/>
                <w:sz w:val="15"/>
                <w:szCs w:val="15"/>
                <w:color w:val="auto"/>
              </w:rPr>
              <w:t>699</w:t>
            </w:r>
          </w:p>
        </w:tc>
        <w:tc>
          <w:tcPr>
            <w:tcW w:w="1660" w:type="dxa"/>
            <w:vAlign w:val="bottom"/>
          </w:tcPr>
          <w:p>
            <w:pPr>
              <w:jc w:val="right"/>
              <w:ind w:right="283"/>
              <w:spacing w:after="0"/>
              <w:rPr>
                <w:sz w:val="20"/>
                <w:szCs w:val="20"/>
                <w:color w:val="auto"/>
              </w:rPr>
            </w:pPr>
            <w:r>
              <w:rPr>
                <w:rFonts w:ascii="Arial" w:cs="Arial" w:eastAsia="Arial" w:hAnsi="Arial"/>
                <w:sz w:val="15"/>
                <w:szCs w:val="15"/>
                <w:color w:val="auto"/>
              </w:rPr>
              <w:t>6.4</w:t>
            </w:r>
          </w:p>
        </w:tc>
        <w:tc>
          <w:tcPr>
            <w:tcW w:w="240" w:type="dxa"/>
            <w:vAlign w:val="bottom"/>
          </w:tcPr>
          <w:p>
            <w:pPr>
              <w:spacing w:after="0"/>
              <w:rPr>
                <w:sz w:val="17"/>
                <w:szCs w:val="17"/>
                <w:color w:val="auto"/>
              </w:rPr>
            </w:pPr>
          </w:p>
        </w:tc>
        <w:tc>
          <w:tcPr>
            <w:tcW w:w="1060" w:type="dxa"/>
            <w:vAlign w:val="bottom"/>
          </w:tcPr>
          <w:p>
            <w:pPr>
              <w:jc w:val="right"/>
              <w:ind w:right="103"/>
              <w:spacing w:after="0"/>
              <w:rPr>
                <w:sz w:val="20"/>
                <w:szCs w:val="20"/>
                <w:color w:val="auto"/>
              </w:rPr>
            </w:pPr>
            <w:r>
              <w:rPr>
                <w:rFonts w:ascii="Arial" w:cs="Arial" w:eastAsia="Arial" w:hAnsi="Arial"/>
                <w:sz w:val="15"/>
                <w:szCs w:val="15"/>
                <w:color w:val="auto"/>
              </w:rPr>
              <w:t>61.00</w:t>
            </w:r>
          </w:p>
        </w:tc>
        <w:tc>
          <w:tcPr>
            <w:tcW w:w="1360" w:type="dxa"/>
            <w:vAlign w:val="bottom"/>
          </w:tcPr>
          <w:p>
            <w:pPr>
              <w:jc w:val="right"/>
              <w:ind w:right="203"/>
              <w:spacing w:after="0"/>
              <w:rPr>
                <w:sz w:val="20"/>
                <w:szCs w:val="20"/>
                <w:color w:val="auto"/>
              </w:rPr>
            </w:pPr>
            <w:r>
              <w:rPr>
                <w:rFonts w:ascii="Arial" w:cs="Arial" w:eastAsia="Arial" w:hAnsi="Arial"/>
                <w:sz w:val="15"/>
                <w:szCs w:val="15"/>
                <w:color w:val="auto"/>
              </w:rPr>
              <w:t>674</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61.35</w:t>
            </w:r>
          </w:p>
        </w:tc>
        <w:tc>
          <w:tcPr>
            <w:tcW w:w="20" w:type="dxa"/>
            <w:vAlign w:val="bottom"/>
          </w:tcPr>
          <w:p>
            <w:pPr>
              <w:spacing w:after="0"/>
              <w:rPr>
                <w:sz w:val="17"/>
                <w:szCs w:val="17"/>
                <w:color w:val="auto"/>
              </w:rPr>
            </w:pPr>
          </w:p>
        </w:tc>
      </w:tr>
      <w:tr>
        <w:trPr>
          <w:trHeight w:val="207"/>
        </w:trPr>
        <w:tc>
          <w:tcPr>
            <w:tcW w:w="1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$63.79 to $73.21</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960</w:t>
            </w:r>
          </w:p>
        </w:tc>
        <w:tc>
          <w:tcPr>
            <w:tcW w:w="1660" w:type="dxa"/>
            <w:vAlign w:val="bottom"/>
            <w:tcBorders>
              <w:bottom w:val="single" w:sz="8" w:color="auto"/>
            </w:tcBorders>
            <w:shd w:val="clear" w:color="auto" w:fill="CCEEFF"/>
          </w:tcPr>
          <w:p>
            <w:pPr>
              <w:jc w:val="right"/>
              <w:ind w:right="283"/>
              <w:spacing w:after="0"/>
              <w:rPr>
                <w:sz w:val="20"/>
                <w:szCs w:val="20"/>
                <w:color w:val="auto"/>
              </w:rPr>
            </w:pPr>
            <w:r>
              <w:rPr>
                <w:rFonts w:ascii="Arial" w:cs="Arial" w:eastAsia="Arial" w:hAnsi="Arial"/>
                <w:sz w:val="15"/>
                <w:szCs w:val="15"/>
                <w:color w:val="auto"/>
              </w:rPr>
              <w:t>8.3</w:t>
            </w:r>
          </w:p>
        </w:tc>
        <w:tc>
          <w:tcPr>
            <w:tcW w:w="2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68.60</w:t>
            </w:r>
          </w:p>
        </w:tc>
        <w:tc>
          <w:tcPr>
            <w:tcW w:w="136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rPr>
              <w:t>475</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67.12</w:t>
            </w:r>
          </w:p>
        </w:tc>
        <w:tc>
          <w:tcPr>
            <w:tcW w:w="20" w:type="dxa"/>
            <w:vAlign w:val="bottom"/>
          </w:tcPr>
          <w:p>
            <w:pPr>
              <w:spacing w:after="0"/>
              <w:rPr>
                <w:sz w:val="17"/>
                <w:szCs w:val="17"/>
                <w:color w:val="auto"/>
              </w:rPr>
            </w:pPr>
          </w:p>
        </w:tc>
      </w:tr>
      <w:tr>
        <w:trPr>
          <w:trHeight w:val="179"/>
        </w:trPr>
        <w:tc>
          <w:tcPr>
            <w:tcW w:w="19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3,091</w:t>
            </w:r>
          </w:p>
        </w:tc>
        <w:tc>
          <w:tcPr>
            <w:tcW w:w="166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rPr>
              <w:t>6.7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51.58</w:t>
            </w:r>
          </w:p>
        </w:tc>
        <w:tc>
          <w:tcPr>
            <w:tcW w:w="13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rPr>
              <w:t>2,174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48.91</w:t>
            </w:r>
          </w:p>
        </w:tc>
        <w:tc>
          <w:tcPr>
            <w:tcW w:w="20" w:type="dxa"/>
            <w:vAlign w:val="bottom"/>
          </w:tcPr>
          <w:p>
            <w:pPr>
              <w:spacing w:after="0"/>
              <w:rPr>
                <w:sz w:val="15"/>
                <w:szCs w:val="15"/>
                <w:color w:val="auto"/>
              </w:rPr>
            </w:pPr>
          </w:p>
        </w:tc>
      </w:tr>
      <w:tr>
        <w:trPr>
          <w:trHeight w:val="545"/>
        </w:trPr>
        <w:tc>
          <w:tcPr>
            <w:tcW w:w="19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60" w:type="dxa"/>
            <w:vAlign w:val="bottom"/>
          </w:tcPr>
          <w:p>
            <w:pPr>
              <w:jc w:val="right"/>
              <w:ind w:right="523"/>
              <w:spacing w:after="0"/>
              <w:rPr>
                <w:sz w:val="20"/>
                <w:szCs w:val="20"/>
                <w:color w:val="auto"/>
              </w:rPr>
            </w:pPr>
            <w:r>
              <w:rPr>
                <w:rFonts w:ascii="Arial" w:cs="Arial" w:eastAsia="Arial" w:hAnsi="Arial"/>
                <w:sz w:val="15"/>
                <w:szCs w:val="15"/>
                <w:color w:val="auto"/>
              </w:rPr>
              <w:t>14</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8"/>
        </w:trPr>
        <w:tc>
          <w:tcPr>
            <w:tcW w:w="194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16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r>
        <w:trPr>
          <w:trHeight w:val="20"/>
        </w:trPr>
        <w:tc>
          <w:tcPr>
            <w:tcW w:w="1940" w:type="dxa"/>
            <w:vAlign w:val="bottom"/>
            <w:tcBorders>
              <w:bottom w:val="single" w:sz="8" w:color="EEEEEE"/>
            </w:tcBorders>
          </w:tcPr>
          <w:p>
            <w:pPr>
              <w:spacing w:after="0" w:line="20" w:lineRule="exact"/>
              <w:rPr>
                <w:sz w:val="1"/>
                <w:szCs w:val="1"/>
                <w:color w:val="auto"/>
              </w:rPr>
            </w:pPr>
          </w:p>
        </w:tc>
        <w:tc>
          <w:tcPr>
            <w:tcW w:w="1640" w:type="dxa"/>
            <w:vAlign w:val="bottom"/>
            <w:tcBorders>
              <w:bottom w:val="single" w:sz="8" w:color="EEEEEE"/>
            </w:tcBorders>
          </w:tcPr>
          <w:p>
            <w:pPr>
              <w:spacing w:after="0" w:line="20" w:lineRule="exact"/>
              <w:rPr>
                <w:sz w:val="1"/>
                <w:szCs w:val="1"/>
                <w:color w:val="auto"/>
              </w:rPr>
            </w:pPr>
          </w:p>
        </w:tc>
        <w:tc>
          <w:tcPr>
            <w:tcW w:w="166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136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5775325</wp:posOffset>
            </wp:positionH>
            <wp:positionV relativeFrom="paragraph">
              <wp:posOffset>-34925</wp:posOffset>
            </wp:positionV>
            <wp:extent cx="33020" cy="482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-34925</wp:posOffset>
            </wp:positionV>
            <wp:extent cx="33020" cy="482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9120"/>
          </w:cols>
          <w:pgMar w:left="1400" w:top="116" w:right="1379" w:bottom="1440" w:gutter="0" w:footer="0" w:header="0"/>
        </w:sectPr>
      </w:pPr>
    </w:p>
    <w:bookmarkStart w:id="16" w:name="page17"/>
    <w:bookmarkEnd w:id="16"/>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Restricted Stock and Restricted Stock Units</w:t>
      </w:r>
    </w:p>
    <w:p>
      <w:pPr>
        <w:spacing w:after="0" w:line="184"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Restricted shares of the Company’s common stock and restricted stock units (“RSU”) may be awarded to certain officers and key employees of the Company. Additionally, RSU awards are made to employees in connection with the Company’s long-term incentive program, and to nonemployee directors. Each RSU represents the right to receive one share of the Company’s common stock provided that the performance and vesting conditions are satisfied. There were 874,458 and 669,542 RSU awards outstanding as of May 5, 2018 and April 29, 2017, respectively.</w:t>
      </w:r>
    </w:p>
    <w:p>
      <w:pPr>
        <w:spacing w:after="0" w:line="131" w:lineRule="exact"/>
        <w:rPr>
          <w:sz w:val="20"/>
          <w:szCs w:val="20"/>
          <w:color w:val="auto"/>
        </w:rPr>
      </w:pPr>
    </w:p>
    <w:p>
      <w:pPr>
        <w:jc w:val="both"/>
        <w:spacing w:after="0" w:line="239" w:lineRule="auto"/>
        <w:rPr>
          <w:sz w:val="20"/>
          <w:szCs w:val="20"/>
          <w:color w:val="auto"/>
        </w:rPr>
      </w:pPr>
      <w:r>
        <w:rPr>
          <w:rFonts w:ascii="Arial" w:cs="Arial" w:eastAsia="Arial" w:hAnsi="Arial"/>
          <w:sz w:val="15"/>
          <w:szCs w:val="15"/>
          <w:color w:val="auto"/>
        </w:rPr>
        <w:t>Generally, awards fully vest after the passage of time, typically three years. However, RSU awards made in connection with the Company’s performance-based long-term incentive program are earned after the attainment of certain performance metrics and vest after the passage of time. Restricted stock is considered outstanding at the time of grant and the holders have voting rights. Dividends are paid to holders of restricted stock that vest with the passage of time. With regard to performance-based restricted stock, dividends will be accumulated and paid after the performance criteria are met. No dividends are paid or accumulated on RSU awards. Compensation expense is recognized using the market value at the date of grant and is amortized over the vesting period, provided the recipient continues to be employed by the Company.</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color w:val="auto"/>
        </w:rPr>
        <w:t>Restricted stock and RSU activity for the thirteen weeks ended May 5, 2018 is summarized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720" w:type="dxa"/>
            <w:vAlign w:val="bottom"/>
          </w:tcPr>
          <w:p>
            <w:pPr>
              <w:jc w:val="center"/>
              <w:ind w:left="783"/>
              <w:spacing w:after="0"/>
              <w:rPr>
                <w:sz w:val="20"/>
                <w:szCs w:val="20"/>
                <w:color w:val="auto"/>
              </w:rPr>
            </w:pPr>
            <w:r>
              <w:rPr>
                <w:rFonts w:ascii="Arial" w:cs="Arial" w:eastAsia="Arial" w:hAnsi="Arial"/>
                <w:sz w:val="15"/>
                <w:szCs w:val="15"/>
                <w:b w:val="1"/>
                <w:bCs w:val="1"/>
                <w:color w:val="auto"/>
              </w:rPr>
              <w:t>Weighted-</w:t>
            </w: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7"/>
        </w:trPr>
        <w:tc>
          <w:tcPr>
            <w:tcW w:w="29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720" w:type="dxa"/>
            <w:vAlign w:val="bottom"/>
          </w:tcPr>
          <w:p>
            <w:pPr>
              <w:jc w:val="center"/>
              <w:ind w:left="763"/>
              <w:spacing w:after="0"/>
              <w:rPr>
                <w:sz w:val="20"/>
                <w:szCs w:val="20"/>
                <w:color w:val="auto"/>
              </w:rPr>
            </w:pPr>
            <w:r>
              <w:rPr>
                <w:rFonts w:ascii="Arial" w:cs="Arial" w:eastAsia="Arial" w:hAnsi="Arial"/>
                <w:sz w:val="15"/>
                <w:szCs w:val="15"/>
                <w:b w:val="1"/>
                <w:bCs w:val="1"/>
                <w:color w:val="auto"/>
              </w:rPr>
              <w:t>Average</w:t>
            </w: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center"/>
              <w:ind w:right="283"/>
              <w:spacing w:after="0"/>
              <w:rPr>
                <w:sz w:val="20"/>
                <w:szCs w:val="20"/>
                <w:color w:val="auto"/>
              </w:rPr>
            </w:pPr>
            <w:r>
              <w:rPr>
                <w:rFonts w:ascii="Arial" w:cs="Arial" w:eastAsia="Arial" w:hAnsi="Arial"/>
                <w:sz w:val="15"/>
                <w:szCs w:val="15"/>
                <w:b w:val="1"/>
                <w:bCs w:val="1"/>
                <w:color w:val="auto"/>
              </w:rPr>
              <w:t>Weighted-</w:t>
            </w:r>
          </w:p>
        </w:tc>
      </w:tr>
      <w:tr>
        <w:trPr>
          <w:trHeight w:val="207"/>
        </w:trPr>
        <w:tc>
          <w:tcPr>
            <w:tcW w:w="2960" w:type="dxa"/>
            <w:vAlign w:val="bottom"/>
          </w:tcPr>
          <w:p>
            <w:pPr>
              <w:spacing w:after="0"/>
              <w:rPr>
                <w:sz w:val="17"/>
                <w:szCs w:val="17"/>
                <w:color w:val="auto"/>
              </w:rPr>
            </w:pPr>
          </w:p>
        </w:tc>
        <w:tc>
          <w:tcPr>
            <w:tcW w:w="2200" w:type="dxa"/>
            <w:vAlign w:val="bottom"/>
          </w:tcPr>
          <w:p>
            <w:pPr>
              <w:jc w:val="center"/>
              <w:ind w:left="1143"/>
              <w:spacing w:after="0"/>
              <w:rPr>
                <w:sz w:val="20"/>
                <w:szCs w:val="20"/>
                <w:color w:val="auto"/>
              </w:rPr>
            </w:pPr>
            <w:r>
              <w:rPr>
                <w:rFonts w:ascii="Arial" w:cs="Arial" w:eastAsia="Arial" w:hAnsi="Arial"/>
                <w:sz w:val="15"/>
                <w:szCs w:val="15"/>
                <w:b w:val="1"/>
                <w:bCs w:val="1"/>
                <w:color w:val="auto"/>
              </w:rPr>
              <w:t>Number</w:t>
            </w:r>
          </w:p>
        </w:tc>
        <w:tc>
          <w:tcPr>
            <w:tcW w:w="1720" w:type="dxa"/>
            <w:vAlign w:val="bottom"/>
          </w:tcPr>
          <w:p>
            <w:pPr>
              <w:jc w:val="center"/>
              <w:ind w:left="783"/>
              <w:spacing w:after="0"/>
              <w:rPr>
                <w:sz w:val="20"/>
                <w:szCs w:val="20"/>
                <w:color w:val="auto"/>
              </w:rPr>
            </w:pPr>
            <w:r>
              <w:rPr>
                <w:rFonts w:ascii="Arial" w:cs="Arial" w:eastAsia="Arial" w:hAnsi="Arial"/>
                <w:sz w:val="15"/>
                <w:szCs w:val="15"/>
                <w:b w:val="1"/>
                <w:bCs w:val="1"/>
                <w:color w:val="auto"/>
              </w:rPr>
              <w:t>Remaining</w:t>
            </w: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center"/>
              <w:ind w:right="263"/>
              <w:spacing w:after="0"/>
              <w:rPr>
                <w:sz w:val="20"/>
                <w:szCs w:val="20"/>
                <w:color w:val="auto"/>
              </w:rPr>
            </w:pPr>
            <w:r>
              <w:rPr>
                <w:rFonts w:ascii="Arial" w:cs="Arial" w:eastAsia="Arial" w:hAnsi="Arial"/>
                <w:sz w:val="15"/>
                <w:szCs w:val="15"/>
                <w:b w:val="1"/>
                <w:bCs w:val="1"/>
                <w:color w:val="auto"/>
              </w:rPr>
              <w:t>Average</w:t>
            </w:r>
          </w:p>
        </w:tc>
      </w:tr>
      <w:tr>
        <w:trPr>
          <w:trHeight w:val="207"/>
        </w:trPr>
        <w:tc>
          <w:tcPr>
            <w:tcW w:w="2960" w:type="dxa"/>
            <w:vAlign w:val="bottom"/>
          </w:tcPr>
          <w:p>
            <w:pPr>
              <w:spacing w:after="0"/>
              <w:rPr>
                <w:sz w:val="17"/>
                <w:szCs w:val="17"/>
                <w:color w:val="auto"/>
              </w:rPr>
            </w:pPr>
          </w:p>
        </w:tc>
        <w:tc>
          <w:tcPr>
            <w:tcW w:w="2200" w:type="dxa"/>
            <w:vAlign w:val="bottom"/>
          </w:tcPr>
          <w:p>
            <w:pPr>
              <w:jc w:val="center"/>
              <w:ind w:left="1143"/>
              <w:spacing w:after="0"/>
              <w:rPr>
                <w:sz w:val="20"/>
                <w:szCs w:val="20"/>
                <w:color w:val="auto"/>
              </w:rPr>
            </w:pPr>
            <w:r>
              <w:rPr>
                <w:rFonts w:ascii="Arial" w:cs="Arial" w:eastAsia="Arial" w:hAnsi="Arial"/>
                <w:sz w:val="15"/>
                <w:szCs w:val="15"/>
                <w:b w:val="1"/>
                <w:bCs w:val="1"/>
                <w:color w:val="auto"/>
                <w:w w:val="98"/>
              </w:rPr>
              <w:t>of</w:t>
            </w:r>
          </w:p>
        </w:tc>
        <w:tc>
          <w:tcPr>
            <w:tcW w:w="1720" w:type="dxa"/>
            <w:vAlign w:val="bottom"/>
          </w:tcPr>
          <w:p>
            <w:pPr>
              <w:jc w:val="center"/>
              <w:ind w:left="783"/>
              <w:spacing w:after="0"/>
              <w:rPr>
                <w:sz w:val="20"/>
                <w:szCs w:val="20"/>
                <w:color w:val="auto"/>
              </w:rPr>
            </w:pPr>
            <w:r>
              <w:rPr>
                <w:rFonts w:ascii="Arial" w:cs="Arial" w:eastAsia="Arial" w:hAnsi="Arial"/>
                <w:sz w:val="15"/>
                <w:szCs w:val="15"/>
                <w:b w:val="1"/>
                <w:bCs w:val="1"/>
                <w:color w:val="auto"/>
              </w:rPr>
              <w:t>Contractual</w:t>
            </w: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tcPr>
          <w:p>
            <w:pPr>
              <w:jc w:val="center"/>
              <w:ind w:right="283"/>
              <w:spacing w:after="0"/>
              <w:rPr>
                <w:sz w:val="20"/>
                <w:szCs w:val="20"/>
                <w:color w:val="auto"/>
              </w:rPr>
            </w:pPr>
            <w:r>
              <w:rPr>
                <w:rFonts w:ascii="Arial" w:cs="Arial" w:eastAsia="Arial" w:hAnsi="Arial"/>
                <w:sz w:val="15"/>
                <w:szCs w:val="15"/>
                <w:b w:val="1"/>
                <w:bCs w:val="1"/>
                <w:color w:val="auto"/>
              </w:rPr>
              <w:t>Grant Date</w:t>
            </w:r>
          </w:p>
        </w:tc>
      </w:tr>
      <w:tr>
        <w:trPr>
          <w:trHeight w:val="197"/>
        </w:trPr>
        <w:tc>
          <w:tcPr>
            <w:tcW w:w="296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jc w:val="center"/>
              <w:ind w:left="1123"/>
              <w:spacing w:after="0"/>
              <w:rPr>
                <w:sz w:val="20"/>
                <w:szCs w:val="20"/>
                <w:color w:val="auto"/>
              </w:rPr>
            </w:pPr>
            <w:r>
              <w:rPr>
                <w:rFonts w:ascii="Arial" w:cs="Arial" w:eastAsia="Arial" w:hAnsi="Arial"/>
                <w:sz w:val="15"/>
                <w:szCs w:val="15"/>
                <w:b w:val="1"/>
                <w:bCs w:val="1"/>
                <w:color w:val="auto"/>
              </w:rPr>
              <w:t>Shares</w:t>
            </w:r>
          </w:p>
        </w:tc>
        <w:tc>
          <w:tcPr>
            <w:tcW w:w="1720" w:type="dxa"/>
            <w:vAlign w:val="bottom"/>
            <w:tcBorders>
              <w:bottom w:val="single" w:sz="8" w:color="auto"/>
            </w:tcBorders>
          </w:tcPr>
          <w:p>
            <w:pPr>
              <w:jc w:val="center"/>
              <w:ind w:left="763"/>
              <w:spacing w:after="0"/>
              <w:rPr>
                <w:sz w:val="20"/>
                <w:szCs w:val="20"/>
                <w:color w:val="auto"/>
              </w:rPr>
            </w:pPr>
            <w:r>
              <w:rPr>
                <w:rFonts w:ascii="Arial" w:cs="Arial" w:eastAsia="Arial" w:hAnsi="Arial"/>
                <w:sz w:val="15"/>
                <w:szCs w:val="15"/>
                <w:b w:val="1"/>
                <w:bCs w:val="1"/>
                <w:color w:val="auto"/>
              </w:rPr>
              <w:t>Life</w:t>
            </w:r>
          </w:p>
        </w:tc>
        <w:tc>
          <w:tcPr>
            <w:tcW w:w="4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283"/>
              <w:spacing w:after="0"/>
              <w:rPr>
                <w:sz w:val="20"/>
                <w:szCs w:val="20"/>
                <w:color w:val="auto"/>
              </w:rPr>
            </w:pPr>
            <w:r>
              <w:rPr>
                <w:rFonts w:ascii="Arial" w:cs="Arial" w:eastAsia="Arial" w:hAnsi="Arial"/>
                <w:sz w:val="15"/>
                <w:szCs w:val="15"/>
                <w:b w:val="1"/>
                <w:bCs w:val="1"/>
                <w:color w:val="auto"/>
              </w:rPr>
              <w:t>Fair Value</w:t>
            </w:r>
          </w:p>
        </w:tc>
      </w:tr>
      <w:tr>
        <w:trPr>
          <w:trHeight w:val="187"/>
        </w:trPr>
        <w:tc>
          <w:tcPr>
            <w:tcW w:w="2960" w:type="dxa"/>
            <w:vAlign w:val="bottom"/>
          </w:tcPr>
          <w:p>
            <w:pPr>
              <w:spacing w:after="0"/>
              <w:rPr>
                <w:sz w:val="16"/>
                <w:szCs w:val="16"/>
                <w:color w:val="auto"/>
              </w:rPr>
            </w:pPr>
          </w:p>
        </w:tc>
        <w:tc>
          <w:tcPr>
            <w:tcW w:w="2200" w:type="dxa"/>
            <w:vAlign w:val="bottom"/>
          </w:tcPr>
          <w:p>
            <w:pPr>
              <w:jc w:val="center"/>
              <w:ind w:left="1143"/>
              <w:spacing w:after="0"/>
              <w:rPr>
                <w:sz w:val="20"/>
                <w:szCs w:val="20"/>
                <w:color w:val="auto"/>
              </w:rPr>
            </w:pPr>
            <w:r>
              <w:rPr>
                <w:rFonts w:ascii="Arial" w:cs="Arial" w:eastAsia="Arial" w:hAnsi="Arial"/>
                <w:sz w:val="15"/>
                <w:szCs w:val="15"/>
                <w:color w:val="auto"/>
              </w:rPr>
              <w:t>(in thousands)</w:t>
            </w:r>
          </w:p>
        </w:tc>
        <w:tc>
          <w:tcPr>
            <w:tcW w:w="1720" w:type="dxa"/>
            <w:vAlign w:val="bottom"/>
          </w:tcPr>
          <w:p>
            <w:pPr>
              <w:jc w:val="center"/>
              <w:ind w:left="763"/>
              <w:spacing w:after="0"/>
              <w:rPr>
                <w:sz w:val="20"/>
                <w:szCs w:val="20"/>
                <w:color w:val="auto"/>
              </w:rPr>
            </w:pPr>
            <w:r>
              <w:rPr>
                <w:rFonts w:ascii="Arial" w:cs="Arial" w:eastAsia="Arial" w:hAnsi="Arial"/>
                <w:sz w:val="15"/>
                <w:szCs w:val="15"/>
                <w:color w:val="auto"/>
              </w:rPr>
              <w:t>(in years)</w:t>
            </w: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jc w:val="right"/>
              <w:ind w:right="283"/>
              <w:spacing w:after="0"/>
              <w:rPr>
                <w:sz w:val="20"/>
                <w:szCs w:val="20"/>
                <w:color w:val="auto"/>
              </w:rPr>
            </w:pPr>
            <w:r>
              <w:rPr>
                <w:rFonts w:ascii="Arial" w:cs="Arial" w:eastAsia="Arial" w:hAnsi="Arial"/>
                <w:sz w:val="15"/>
                <w:szCs w:val="15"/>
                <w:color w:val="auto"/>
              </w:rPr>
              <w:t>(per share)</w:t>
            </w:r>
          </w:p>
        </w:tc>
      </w:tr>
      <w:tr>
        <w:trPr>
          <w:trHeight w:val="207"/>
        </w:trPr>
        <w:tc>
          <w:tcPr>
            <w:tcW w:w="2960" w:type="dxa"/>
            <w:vAlign w:val="bottom"/>
            <w:shd w:val="clear" w:color="auto" w:fill="CCEEFF"/>
          </w:tcPr>
          <w:p>
            <w:pPr>
              <w:spacing w:after="0"/>
              <w:rPr>
                <w:sz w:val="20"/>
                <w:szCs w:val="20"/>
                <w:color w:val="auto"/>
              </w:rPr>
            </w:pPr>
            <w:r>
              <w:rPr>
                <w:rFonts w:ascii="Arial" w:cs="Arial" w:eastAsia="Arial" w:hAnsi="Arial"/>
                <w:sz w:val="15"/>
                <w:szCs w:val="15"/>
                <w:color w:val="auto"/>
              </w:rPr>
              <w:t>Nonvested at beginning of year</w:t>
            </w:r>
          </w:p>
        </w:tc>
        <w:tc>
          <w:tcPr>
            <w:tcW w:w="220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1383"/>
              <w:spacing w:after="0"/>
              <w:rPr>
                <w:sz w:val="20"/>
                <w:szCs w:val="20"/>
                <w:color w:val="auto"/>
              </w:rPr>
            </w:pPr>
            <w:r>
              <w:rPr>
                <w:rFonts w:ascii="Arial" w:cs="Arial" w:eastAsia="Arial" w:hAnsi="Arial"/>
                <w:sz w:val="15"/>
                <w:szCs w:val="15"/>
                <w:color w:val="auto"/>
                <w:w w:val="95"/>
              </w:rPr>
              <w:t>374</w:t>
            </w: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59.15</w:t>
            </w:r>
          </w:p>
        </w:tc>
      </w:tr>
      <w:tr>
        <w:trPr>
          <w:trHeight w:val="195"/>
        </w:trPr>
        <w:tc>
          <w:tcPr>
            <w:tcW w:w="2960" w:type="dxa"/>
            <w:vAlign w:val="bottom"/>
          </w:tcPr>
          <w:p>
            <w:pPr>
              <w:spacing w:after="0"/>
              <w:rPr>
                <w:sz w:val="20"/>
                <w:szCs w:val="20"/>
                <w:color w:val="auto"/>
              </w:rPr>
            </w:pPr>
            <w:r>
              <w:rPr>
                <w:rFonts w:ascii="Arial" w:cs="Arial" w:eastAsia="Arial" w:hAnsi="Arial"/>
                <w:sz w:val="15"/>
                <w:szCs w:val="15"/>
                <w:color w:val="auto"/>
              </w:rPr>
              <w:t xml:space="preserve">Granted </w:t>
            </w:r>
            <w:r>
              <w:rPr>
                <w:rFonts w:ascii="Arial" w:cs="Arial" w:eastAsia="Arial" w:hAnsi="Arial"/>
                <w:sz w:val="8"/>
                <w:szCs w:val="8"/>
                <w:color w:val="auto"/>
              </w:rPr>
              <w:t>(1)</w:t>
            </w:r>
          </w:p>
        </w:tc>
        <w:tc>
          <w:tcPr>
            <w:tcW w:w="2200" w:type="dxa"/>
            <w:vAlign w:val="bottom"/>
          </w:tcPr>
          <w:p>
            <w:pPr>
              <w:spacing w:after="0"/>
              <w:rPr>
                <w:sz w:val="16"/>
                <w:szCs w:val="16"/>
                <w:color w:val="auto"/>
              </w:rPr>
            </w:pPr>
          </w:p>
        </w:tc>
        <w:tc>
          <w:tcPr>
            <w:tcW w:w="1720" w:type="dxa"/>
            <w:vAlign w:val="bottom"/>
          </w:tcPr>
          <w:p>
            <w:pPr>
              <w:jc w:val="right"/>
              <w:ind w:right="1383"/>
              <w:spacing w:after="0"/>
              <w:rPr>
                <w:sz w:val="20"/>
                <w:szCs w:val="20"/>
                <w:color w:val="auto"/>
              </w:rPr>
            </w:pPr>
            <w:r>
              <w:rPr>
                <w:rFonts w:ascii="Arial" w:cs="Arial" w:eastAsia="Arial" w:hAnsi="Arial"/>
                <w:sz w:val="15"/>
                <w:szCs w:val="15"/>
                <w:color w:val="auto"/>
                <w:w w:val="95"/>
              </w:rPr>
              <w:t>635</w:t>
            </w: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47.31</w:t>
            </w:r>
          </w:p>
        </w:tc>
      </w:tr>
      <w:tr>
        <w:trPr>
          <w:trHeight w:val="207"/>
        </w:trPr>
        <w:tc>
          <w:tcPr>
            <w:tcW w:w="2960" w:type="dxa"/>
            <w:vAlign w:val="bottom"/>
            <w:shd w:val="clear" w:color="auto" w:fill="CCEEFF"/>
          </w:tcPr>
          <w:p>
            <w:pPr>
              <w:spacing w:after="0"/>
              <w:rPr>
                <w:sz w:val="20"/>
                <w:szCs w:val="20"/>
                <w:color w:val="auto"/>
              </w:rPr>
            </w:pPr>
            <w:r>
              <w:rPr>
                <w:rFonts w:ascii="Arial" w:cs="Arial" w:eastAsia="Arial" w:hAnsi="Arial"/>
                <w:sz w:val="15"/>
                <w:szCs w:val="15"/>
                <w:color w:val="auto"/>
              </w:rPr>
              <w:t>Vested</w:t>
            </w:r>
          </w:p>
        </w:tc>
        <w:tc>
          <w:tcPr>
            <w:tcW w:w="220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1343"/>
              <w:spacing w:after="0"/>
              <w:rPr>
                <w:sz w:val="20"/>
                <w:szCs w:val="20"/>
                <w:color w:val="auto"/>
              </w:rPr>
            </w:pPr>
            <w:r>
              <w:rPr>
                <w:rFonts w:ascii="Arial" w:cs="Arial" w:eastAsia="Arial" w:hAnsi="Arial"/>
                <w:sz w:val="15"/>
                <w:szCs w:val="15"/>
                <w:color w:val="auto"/>
              </w:rPr>
              <w:t>(80)</w:t>
            </w: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62.78</w:t>
            </w:r>
          </w:p>
        </w:tc>
      </w:tr>
      <w:tr>
        <w:trPr>
          <w:trHeight w:val="219"/>
        </w:trPr>
        <w:tc>
          <w:tcPr>
            <w:tcW w:w="29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 xml:space="preserve">Cancelled </w:t>
            </w:r>
            <w:r>
              <w:rPr>
                <w:rFonts w:ascii="Arial" w:cs="Arial" w:eastAsia="Arial" w:hAnsi="Arial"/>
                <w:sz w:val="8"/>
                <w:szCs w:val="8"/>
                <w:color w:val="auto"/>
              </w:rPr>
              <w:t>(2)</w:t>
            </w:r>
          </w:p>
        </w:tc>
        <w:tc>
          <w:tcPr>
            <w:tcW w:w="2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1343"/>
              <w:spacing w:after="0"/>
              <w:rPr>
                <w:sz w:val="20"/>
                <w:szCs w:val="20"/>
                <w:color w:val="auto"/>
              </w:rPr>
            </w:pPr>
            <w:r>
              <w:rPr>
                <w:rFonts w:ascii="Arial" w:cs="Arial" w:eastAsia="Arial" w:hAnsi="Arial"/>
                <w:sz w:val="15"/>
                <w:szCs w:val="15"/>
                <w:color w:val="auto"/>
              </w:rPr>
              <w:t>(46)</w:t>
            </w:r>
          </w:p>
        </w:tc>
        <w:tc>
          <w:tcPr>
            <w:tcW w:w="4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60.55</w:t>
            </w:r>
          </w:p>
        </w:tc>
      </w:tr>
      <w:tr>
        <w:trPr>
          <w:trHeight w:val="179"/>
        </w:trPr>
        <w:tc>
          <w:tcPr>
            <w:tcW w:w="2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Nonvested at May 5, 2018</w:t>
            </w:r>
          </w:p>
        </w:tc>
        <w:tc>
          <w:tcPr>
            <w:tcW w:w="2200" w:type="dxa"/>
            <w:vAlign w:val="bottom"/>
            <w:tcBorders>
              <w:bottom w:val="single" w:sz="8" w:color="auto"/>
            </w:tcBorders>
            <w:shd w:val="clear" w:color="auto" w:fill="CCEEFF"/>
          </w:tcPr>
          <w:p>
            <w:pPr>
              <w:spacing w:after="0"/>
              <w:rPr>
                <w:sz w:val="15"/>
                <w:szCs w:val="15"/>
                <w:color w:val="auto"/>
              </w:rPr>
            </w:pPr>
          </w:p>
        </w:tc>
        <w:tc>
          <w:tcPr>
            <w:tcW w:w="1720" w:type="dxa"/>
            <w:vAlign w:val="bottom"/>
            <w:tcBorders>
              <w:bottom w:val="single" w:sz="8" w:color="auto"/>
            </w:tcBorders>
            <w:shd w:val="clear" w:color="auto" w:fill="CCEEFF"/>
          </w:tcPr>
          <w:p>
            <w:pPr>
              <w:jc w:val="right"/>
              <w:ind w:right="1383"/>
              <w:spacing w:after="0"/>
              <w:rPr>
                <w:sz w:val="20"/>
                <w:szCs w:val="20"/>
                <w:color w:val="auto"/>
              </w:rPr>
            </w:pPr>
            <w:r>
              <w:rPr>
                <w:rFonts w:ascii="Arial" w:cs="Arial" w:eastAsia="Arial" w:hAnsi="Arial"/>
                <w:sz w:val="15"/>
                <w:szCs w:val="15"/>
                <w:color w:val="auto"/>
                <w:w w:val="95"/>
              </w:rPr>
              <w:t>883</w:t>
            </w:r>
          </w:p>
        </w:tc>
        <w:tc>
          <w:tcPr>
            <w:tcW w:w="4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86"/>
              </w:rPr>
              <w:t>2.5</w:t>
            </w:r>
          </w:p>
        </w:tc>
        <w:tc>
          <w:tcPr>
            <w:tcW w:w="4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50.22</w:t>
            </w:r>
          </w:p>
        </w:tc>
      </w:tr>
      <w:tr>
        <w:trPr>
          <w:trHeight w:val="195"/>
        </w:trPr>
        <w:tc>
          <w:tcPr>
            <w:tcW w:w="29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Aggregate value ($ in millions)</w:t>
            </w:r>
          </w:p>
        </w:tc>
        <w:tc>
          <w:tcPr>
            <w:tcW w:w="2200" w:type="dxa"/>
            <w:vAlign w:val="bottom"/>
            <w:tcBorders>
              <w:bottom w:val="single" w:sz="8" w:color="auto"/>
            </w:tcBorders>
          </w:tcPr>
          <w:p>
            <w:pPr>
              <w:jc w:val="right"/>
              <w:ind w:right="1203"/>
              <w:spacing w:after="0"/>
              <w:rPr>
                <w:sz w:val="20"/>
                <w:szCs w:val="20"/>
                <w:color w:val="auto"/>
              </w:rPr>
            </w:pPr>
            <w:r>
              <w:rPr>
                <w:rFonts w:ascii="Arial" w:cs="Arial" w:eastAsia="Arial" w:hAnsi="Arial"/>
                <w:sz w:val="15"/>
                <w:szCs w:val="15"/>
                <w:color w:val="auto"/>
              </w:rPr>
              <w:t>$</w:t>
            </w:r>
          </w:p>
        </w:tc>
        <w:tc>
          <w:tcPr>
            <w:tcW w:w="1720" w:type="dxa"/>
            <w:vAlign w:val="bottom"/>
            <w:tcBorders>
              <w:bottom w:val="single" w:sz="8" w:color="auto"/>
            </w:tcBorders>
          </w:tcPr>
          <w:p>
            <w:pPr>
              <w:jc w:val="right"/>
              <w:ind w:right="1383"/>
              <w:spacing w:after="0"/>
              <w:rPr>
                <w:sz w:val="20"/>
                <w:szCs w:val="20"/>
                <w:color w:val="auto"/>
              </w:rPr>
            </w:pPr>
            <w:r>
              <w:rPr>
                <w:rFonts w:ascii="Arial" w:cs="Arial" w:eastAsia="Arial" w:hAnsi="Arial"/>
                <w:sz w:val="15"/>
                <w:szCs w:val="15"/>
                <w:color w:val="auto"/>
              </w:rPr>
              <w:t>44</w:t>
            </w:r>
          </w:p>
        </w:tc>
        <w:tc>
          <w:tcPr>
            <w:tcW w:w="4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bl>
    <w:p>
      <w:pPr>
        <w:spacing w:after="0" w:line="133" w:lineRule="exact"/>
        <w:rPr>
          <w:sz w:val="20"/>
          <w:szCs w:val="20"/>
          <w:color w:val="auto"/>
        </w:rPr>
      </w:pPr>
    </w:p>
    <w:p>
      <w:pPr>
        <w:jc w:val="both"/>
        <w:ind w:left="660" w:right="120" w:hanging="375"/>
        <w:spacing w:after="0" w:line="239" w:lineRule="auto"/>
        <w:tabs>
          <w:tab w:leader="none" w:pos="660" w:val="left"/>
        </w:tabs>
        <w:numPr>
          <w:ilvl w:val="0"/>
          <w:numId w:val="6"/>
        </w:numPr>
        <w:rPr>
          <w:rFonts w:ascii="Arial" w:cs="Arial" w:eastAsia="Arial" w:hAnsi="Arial"/>
          <w:sz w:val="11"/>
          <w:szCs w:val="11"/>
          <w:color w:val="auto"/>
        </w:rPr>
      </w:pPr>
      <w:r>
        <w:rPr>
          <w:rFonts w:ascii="Arial" w:cs="Arial" w:eastAsia="Arial" w:hAnsi="Arial"/>
          <w:sz w:val="12"/>
          <w:szCs w:val="12"/>
          <w:color w:val="auto"/>
        </w:rPr>
        <w:t>Approximately 0.4 million performance-based RSUs were granted during the first quarter of 2018 and are included as granted in the table above. The number of performance-based RSUs that are ultimately earned may vary from 0% to 200% of target depending on the achievement relative to the Company’s predefined financial performance targets.</w:t>
      </w:r>
    </w:p>
    <w:p>
      <w:pPr>
        <w:spacing w:after="0" w:line="159" w:lineRule="exact"/>
        <w:rPr>
          <w:rFonts w:ascii="Arial" w:cs="Arial" w:eastAsia="Arial" w:hAnsi="Arial"/>
          <w:sz w:val="11"/>
          <w:szCs w:val="11"/>
          <w:color w:val="auto"/>
        </w:rPr>
      </w:pPr>
    </w:p>
    <w:p>
      <w:pPr>
        <w:ind w:left="660" w:right="120" w:hanging="375"/>
        <w:spacing w:after="0" w:line="246" w:lineRule="auto"/>
        <w:tabs>
          <w:tab w:leader="none" w:pos="660" w:val="left"/>
        </w:tabs>
        <w:numPr>
          <w:ilvl w:val="0"/>
          <w:numId w:val="6"/>
        </w:numPr>
        <w:rPr>
          <w:rFonts w:ascii="Arial" w:cs="Arial" w:eastAsia="Arial" w:hAnsi="Arial"/>
          <w:sz w:val="11"/>
          <w:szCs w:val="11"/>
          <w:color w:val="auto"/>
        </w:rPr>
      </w:pPr>
      <w:r>
        <w:rPr>
          <w:rFonts w:ascii="Arial" w:cs="Arial" w:eastAsia="Arial" w:hAnsi="Arial"/>
          <w:sz w:val="12"/>
          <w:szCs w:val="12"/>
          <w:color w:val="auto"/>
        </w:rPr>
        <w:t>Adjustments were made to performance-based RSUs previously granted and are included as cancelled in the table above. These adjustments reflect changes in estimates based upon the Company’s current performance against predefined financial targets.</w:t>
      </w:r>
    </w:p>
    <w:p>
      <w:pPr>
        <w:spacing w:after="0" w:line="138"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total value of awards for which restrictions lapsed during the thirteen weeks ended May 5, 2018 and April 29, 2017 was $5 million and $13 million, respectively. As of May 5, 2018, there was $33 million of total unrecognized compensation cost related to nonvested restricted awards.</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14. Legal Proceedings</w:t>
      </w:r>
    </w:p>
    <w:p>
      <w:pPr>
        <w:spacing w:after="0" w:line="186" w:lineRule="exact"/>
        <w:rPr>
          <w:sz w:val="20"/>
          <w:szCs w:val="20"/>
          <w:color w:val="auto"/>
        </w:rPr>
      </w:pPr>
    </w:p>
    <w:p>
      <w:pPr>
        <w:jc w:val="both"/>
        <w:spacing w:after="0" w:line="239" w:lineRule="auto"/>
        <w:rPr>
          <w:sz w:val="20"/>
          <w:szCs w:val="20"/>
          <w:color w:val="auto"/>
        </w:rPr>
      </w:pPr>
      <w:r>
        <w:rPr>
          <w:rFonts w:ascii="Arial" w:cs="Arial" w:eastAsia="Arial" w:hAnsi="Arial"/>
          <w:sz w:val="15"/>
          <w:szCs w:val="15"/>
          <w:color w:val="auto"/>
        </w:rPr>
        <w:t>Legal proceedings pending against the Company or its consolidated subsidiaries consist of ordinary, routine litigation, including administrative proceedings, incidental to the business of the Company or businesses that have been sold or discontinued by the Company in past years. These legal proceedings include commercial, intellectual property, customer, environmental, and employment-related claims. Additionally, the Company is a defendant in a purported Fair Credit Reporting Act class action in California, a purported meal break class action in California, and a purported class action in New York alleging failure to pay for all hours worked by employees. The Company and certain officers of the Company are defendants in a purported securities law class action in New York. Additionally, the directors and certain officers of the Company are defendants in a related derivative action.</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6" w:right="1399" w:bottom="1440" w:gutter="0" w:footer="0" w:header="0"/>
        </w:sectPr>
      </w:pPr>
    </w:p>
    <w:bookmarkStart w:id="17" w:name="page18"/>
    <w:bookmarkEnd w:id="17"/>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For the last several years, the Company and the Company’s U.S. retirement plan have been defendants in a class action (</w:t>
      </w:r>
      <w:r>
        <w:rPr>
          <w:rFonts w:ascii="Arial" w:cs="Arial" w:eastAsia="Arial" w:hAnsi="Arial"/>
          <w:sz w:val="15"/>
          <w:szCs w:val="15"/>
          <w:i w:val="1"/>
          <w:iCs w:val="1"/>
          <w:color w:val="auto"/>
        </w:rPr>
        <w:t>Osberg v.</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Foot Locker Inc. </w:t>
      </w:r>
      <w:r>
        <w:rPr>
          <w:rFonts w:ascii="Arial" w:cs="Arial" w:eastAsia="Arial" w:hAnsi="Arial"/>
          <w:sz w:val="15"/>
          <w:szCs w:val="15"/>
          <w:color w:val="auto"/>
        </w:rPr>
        <w:t>et ano., filed in the U.S. District Court for the Southern District of New York) in which the plaintiff alleged that, in</w:t>
      </w:r>
      <w:r>
        <w:rPr>
          <w:rFonts w:ascii="Arial" w:cs="Arial" w:eastAsia="Arial" w:hAnsi="Arial"/>
          <w:sz w:val="15"/>
          <w:szCs w:val="15"/>
          <w:i w:val="1"/>
          <w:iCs w:val="1"/>
          <w:color w:val="auto"/>
        </w:rPr>
        <w:t xml:space="preserve"> </w:t>
      </w:r>
      <w:r>
        <w:rPr>
          <w:rFonts w:ascii="Arial" w:cs="Arial" w:eastAsia="Arial" w:hAnsi="Arial"/>
          <w:sz w:val="15"/>
          <w:szCs w:val="15"/>
          <w:color w:val="auto"/>
        </w:rPr>
        <w:t>connection with the 1996 conversion of the retirement plan to a defined benefit plan with a cash balance formula, the Company and the retirement plan failed to properly advise plan participants of the “wear-away” effect of the conversion.</w:t>
      </w:r>
    </w:p>
    <w:p>
      <w:pPr>
        <w:spacing w:after="0" w:line="149" w:lineRule="exact"/>
        <w:rPr>
          <w:sz w:val="20"/>
          <w:szCs w:val="20"/>
          <w:color w:val="auto"/>
        </w:rPr>
      </w:pPr>
    </w:p>
    <w:p>
      <w:pPr>
        <w:jc w:val="both"/>
        <w:spacing w:after="0"/>
        <w:rPr>
          <w:sz w:val="20"/>
          <w:szCs w:val="20"/>
          <w:color w:val="auto"/>
        </w:rPr>
      </w:pPr>
      <w:r>
        <w:rPr>
          <w:rFonts w:ascii="Arial" w:cs="Arial" w:eastAsia="Arial" w:hAnsi="Arial"/>
          <w:sz w:val="15"/>
          <w:szCs w:val="15"/>
          <w:color w:val="auto"/>
        </w:rPr>
        <w:t>In early 2018, the Company exhausted all of its legal remedies and is required to reform the pension plan consistent with the trial court’s decision and judgment. The amount accrued as of February 3, 2018 was $278 million. During the first quarter of 2018, the estimated value of the judgment was increased by $11 million, of which $7 million related to a change in the estimated value of the judgment, based on additional facts as to how the reformation should be calculated, and $4 million related to the interest that continues to accrue as required by the provisions of the required plan reformation. We have been, and will continue, working with plaintiffs’ counsel and the court on the specific steps needed to implement the judgment, which we expect to occur during our second quarter. Until the court enters its final order the Company cannot complete the reformation of the plan as the actual terms of the reformation must be approved by the court. The court will be ruling on the fairness of the class counsel fees and how those costs will be shared by the class members. We believe the amount we have accrued for this matter is appropriate in light of the facts as we currently understand them.</w:t>
      </w:r>
    </w:p>
    <w:p>
      <w:pPr>
        <w:spacing w:after="0" w:line="321"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Management does not believe that the outcome of any such legal proceedings pending against the Company or its consolidated subsidiaries, as described above, would have a material adverse effect on the Company’s consolidated financial position, liquidity, or results of operations, taken as a whole, based upon current knowledge and taking into consideration current accruals. Litigation is inherently unpredictable. Judgments could be rendered or settlements made that could adversely affect the Company’s operating results or cash flows in a particular period.</w:t>
      </w:r>
    </w:p>
    <w:p>
      <w:pPr>
        <w:spacing w:after="0" w:line="393" w:lineRule="exact"/>
        <w:rPr>
          <w:sz w:val="20"/>
          <w:szCs w:val="20"/>
          <w:color w:val="auto"/>
        </w:rPr>
      </w:pPr>
    </w:p>
    <w:p>
      <w:pPr>
        <w:ind w:right="2020"/>
        <w:spacing w:after="0" w:line="486" w:lineRule="auto"/>
        <w:rPr>
          <w:sz w:val="20"/>
          <w:szCs w:val="20"/>
          <w:color w:val="auto"/>
        </w:rPr>
      </w:pPr>
      <w:r>
        <w:rPr>
          <w:rFonts w:ascii="Arial" w:cs="Arial" w:eastAsia="Arial" w:hAnsi="Arial"/>
          <w:sz w:val="15"/>
          <w:szCs w:val="15"/>
          <w:b w:val="1"/>
          <w:bCs w:val="1"/>
          <w:i w:val="1"/>
          <w:iCs w:val="1"/>
          <w:color w:val="auto"/>
        </w:rPr>
        <w:t xml:space="preserve">Item 2. Management’s Discussion and Analysis of Financial Condition and Results of Operations </w:t>
      </w:r>
      <w:r>
        <w:rPr>
          <w:rFonts w:ascii="Arial" w:cs="Arial" w:eastAsia="Arial" w:hAnsi="Arial"/>
          <w:sz w:val="15"/>
          <w:szCs w:val="15"/>
          <w:b w:val="1"/>
          <w:bCs w:val="1"/>
          <w:color w:val="auto"/>
        </w:rPr>
        <w:t>Disclosure Regarding Forward-Looking Statements</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5"/>
          <w:szCs w:val="15"/>
          <w:color w:val="auto"/>
        </w:rPr>
        <w:t>This report contains forward-looking statements within the meaning of the federal securities laws. Other than statements of historical facts, all statements which address activities, events, or developments that the Company anticipates will or may occur in the future, including, but not limited to, such things as future capital expenditures, expansion, strategic plans, financial objectives, dividend payments, stock repurchases, growth of the Company’s business and operations, including future cash flows, revenues, and earnings, and other such matters, are forward-looking statements. These forward-looking statements are based on many assumptions and factors which are detailed in the Company’s filings with the U.S. Securities and Exchange Commission.</w:t>
      </w:r>
    </w:p>
    <w:p>
      <w:pPr>
        <w:spacing w:after="0" w:line="157"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These forward-looking statements are based largely on our expectations and judgments and are subject to a number of risks and uncertainties, many of which are unforeseeable and beyond our control. For additional discussion on risks and uncertainties that may affect forward-looking statements, see “Risk Factors” disclosed in the 2017 Annual Report on Form 10-K. Any changes in such assumptions or factors could produce significantly different results. The Company undertakes no obligation to update forward-looking statements, whether as a result of new information, future events, or otherwise.</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 Overview</w:t>
      </w:r>
    </w:p>
    <w:p>
      <w:pPr>
        <w:spacing w:after="0" w:line="186"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 xml:space="preserve">Foot Locker, Inc., through its subsidiaries, is one of the largest athletic footwear and apparel retailers in the world. The Foot Locker brand is one of the most widely recognized names in the markets in which we operate, epitomizing premium quality for the active lifestyle customer. Through various marketing channels and experiences, including social, digital, broadcast, and print media, as well as various sports sponsorships and events, we reinforce our image with a consistent message </w:t>
      </w:r>
      <w:r>
        <w:rPr>
          <w:rFonts w:ascii="Arial" w:cs="Arial" w:eastAsia="Arial" w:hAnsi="Arial"/>
          <w:sz w:val="15"/>
          <w:szCs w:val="15"/>
          <w:i w:val="1"/>
          <w:iCs w:val="1"/>
          <w:color w:val="auto"/>
        </w:rPr>
        <w:t>—</w:t>
      </w:r>
      <w:r>
        <w:rPr>
          <w:rFonts w:ascii="Arial" w:cs="Arial" w:eastAsia="Arial" w:hAnsi="Arial"/>
          <w:sz w:val="15"/>
          <w:szCs w:val="15"/>
          <w:color w:val="auto"/>
        </w:rPr>
        <w:t xml:space="preserve"> namely, that we are a destination for premium athletically-inspired shoes and apparel with a wide selection of merchandise in a full-service environment.</w:t>
      </w:r>
    </w:p>
    <w:p>
      <w:pPr>
        <w:spacing w:after="0" w:line="156"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We identify our operating segments according to how our business activities are managed and evaluated by our chief operating decision maker, our CEO. Prior to fiscal 2018, we had two reportable segments, Athletic Stores and Direct-to-Customers. Beginning in fiscal 2018, the Company has changed its organizational and internal reporting structure in order to execute our omni-channel strategy. This change resulted in the combination of our stores and direct-to-customer financial results.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6" w:right="1399" w:bottom="1440" w:gutter="0" w:footer="0" w:header="0"/>
        </w:sectPr>
      </w:pPr>
    </w:p>
    <w:bookmarkStart w:id="18" w:name="page19"/>
    <w:bookmarkEnd w:id="18"/>
    <w:p>
      <w:pPr>
        <w:jc w:val="both"/>
        <w:ind w:right="20"/>
        <w:spacing w:after="0" w:line="239" w:lineRule="auto"/>
        <w:rPr>
          <w:sz w:val="20"/>
          <w:szCs w:val="20"/>
          <w:color w:val="auto"/>
        </w:rPr>
      </w:pPr>
      <w:r>
        <w:rPr>
          <w:rFonts w:ascii="Arial" w:cs="Arial" w:eastAsia="Arial" w:hAnsi="Arial"/>
          <w:sz w:val="15"/>
          <w:szCs w:val="15"/>
          <w:color w:val="auto"/>
        </w:rPr>
        <w:t xml:space="preserve">The Company has determined that it has two operating segments, North America and International. Our North America operating segment includes the results of the following banners: Foot Locker, Kids Foot Locker, Lady Foot Locker, Champs Sports, Footaction, SIX:02, Foot Locker Canada, including each of their related e-commerce businesses, as well as our Eastbay business that includes internet, catalog, and team services and sales. Our International operating segment includes the results of Foot Locker Europe, Runners Point, Sidestep, Foot Locker Asia Pacific, including each of their related e-commerce businesses. We have further aggregated these operating segments into one reportable segment based upon their shared customer base and similar economic characteristics. Please see Item 1. “Financial Statements,” Note 3, </w:t>
      </w:r>
      <w:r>
        <w:rPr>
          <w:rFonts w:ascii="Arial" w:cs="Arial" w:eastAsia="Arial" w:hAnsi="Arial"/>
          <w:sz w:val="15"/>
          <w:szCs w:val="15"/>
          <w:i w:val="1"/>
          <w:iCs w:val="1"/>
          <w:color w:val="auto"/>
        </w:rPr>
        <w:t>Segment Information</w:t>
      </w:r>
      <w:r>
        <w:rPr>
          <w:rFonts w:ascii="Arial" w:cs="Arial" w:eastAsia="Arial" w:hAnsi="Arial"/>
          <w:sz w:val="15"/>
          <w:szCs w:val="15"/>
          <w:color w:val="auto"/>
        </w:rPr>
        <w:t xml:space="preserve"> for further information on this change.</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Store Count</w:t>
      </w:r>
    </w:p>
    <w:p>
      <w:pPr>
        <w:spacing w:after="0" w:line="123" w:lineRule="exact"/>
        <w:rPr>
          <w:sz w:val="20"/>
          <w:szCs w:val="20"/>
          <w:color w:val="auto"/>
        </w:rPr>
      </w:pPr>
    </w:p>
    <w:p>
      <w:pPr>
        <w:jc w:val="both"/>
        <w:ind w:right="20"/>
        <w:spacing w:after="0" w:line="242" w:lineRule="auto"/>
        <w:rPr>
          <w:sz w:val="20"/>
          <w:szCs w:val="20"/>
          <w:color w:val="auto"/>
        </w:rPr>
      </w:pPr>
      <w:r>
        <w:rPr>
          <w:rFonts w:ascii="Arial" w:cs="Arial" w:eastAsia="Arial" w:hAnsi="Arial"/>
          <w:sz w:val="15"/>
          <w:szCs w:val="15"/>
          <w:color w:val="auto"/>
        </w:rPr>
        <w:t>At May 5, 2018, we operated 3,284 stores as compared with 3,310 and 3,354 stores at February 3, 2018 and April 29, 2017, respectively. A total of 116 franchised stores were operating at May 5, 2018, as compared with 112 and 77 stores at February 3, 2018 and April 29, 2017, respectively. Revenue from the franchised stores was not significant for any of the periods presented. These stores are not included in the operating store count above.</w:t>
      </w:r>
    </w:p>
    <w:p>
      <w:pPr>
        <w:spacing w:after="0" w:line="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Reconciliation of Non-GAAP Measures</w:t>
      </w:r>
    </w:p>
    <w:p>
      <w:pPr>
        <w:spacing w:after="0" w:line="125" w:lineRule="exact"/>
        <w:rPr>
          <w:sz w:val="20"/>
          <w:szCs w:val="20"/>
          <w:color w:val="auto"/>
        </w:rPr>
      </w:pPr>
    </w:p>
    <w:p>
      <w:pPr>
        <w:jc w:val="both"/>
        <w:ind w:right="20"/>
        <w:spacing w:after="0" w:line="242" w:lineRule="auto"/>
        <w:rPr>
          <w:sz w:val="20"/>
          <w:szCs w:val="20"/>
          <w:color w:val="auto"/>
        </w:rPr>
      </w:pPr>
      <w:r>
        <w:rPr>
          <w:rFonts w:ascii="Arial" w:cs="Arial" w:eastAsia="Arial" w:hAnsi="Arial"/>
          <w:sz w:val="15"/>
          <w:szCs w:val="15"/>
          <w:color w:val="auto"/>
        </w:rPr>
        <w:t>The Company presents certain non-GAAP measures, such as sales changes excluding foreign currency fluctuations, adjusted net income before income taxes, adjusted net income, and adjusted diluted earnings per share. Throughout the following discussions, where amounts are expressed as excluding the effects of foreign currency fluctuations, such changes are determined by translating all amounts in both years using the prior-year average foreign exchange rates.</w:t>
      </w:r>
    </w:p>
    <w:p>
      <w:pPr>
        <w:spacing w:after="0" w:line="107" w:lineRule="exact"/>
        <w:rPr>
          <w:sz w:val="20"/>
          <w:szCs w:val="20"/>
          <w:color w:val="auto"/>
        </w:rPr>
      </w:pPr>
    </w:p>
    <w:p>
      <w:pPr>
        <w:jc w:val="both"/>
        <w:ind w:right="20"/>
        <w:spacing w:after="0" w:line="241" w:lineRule="auto"/>
        <w:rPr>
          <w:sz w:val="20"/>
          <w:szCs w:val="20"/>
          <w:color w:val="auto"/>
        </w:rPr>
      </w:pPr>
      <w:r>
        <w:rPr>
          <w:rFonts w:ascii="Arial" w:cs="Arial" w:eastAsia="Arial" w:hAnsi="Arial"/>
          <w:sz w:val="15"/>
          <w:szCs w:val="15"/>
          <w:color w:val="auto"/>
        </w:rPr>
        <w:t>We present these non-GAAP measures because we believe they assist investors in comparing our performance across reporting periods on a consistent basis by excluding items that are not indicative of our core business. Presenting amounts on a constant currency basis is useful to investors because it enables them to better understand the changes in our businesses that are not related to currency movements. In addition, these non-GAAP measures are useful in assessing the Company’s progress in achieving its long-term financial objectives.</w:t>
      </w:r>
    </w:p>
    <w:p>
      <w:pPr>
        <w:spacing w:after="0" w:line="107" w:lineRule="exact"/>
        <w:rPr>
          <w:sz w:val="20"/>
          <w:szCs w:val="20"/>
          <w:color w:val="auto"/>
        </w:rPr>
      </w:pPr>
    </w:p>
    <w:p>
      <w:pPr>
        <w:jc w:val="both"/>
        <w:ind w:right="20"/>
        <w:spacing w:after="0" w:line="242" w:lineRule="auto"/>
        <w:rPr>
          <w:sz w:val="20"/>
          <w:szCs w:val="20"/>
          <w:color w:val="auto"/>
        </w:rPr>
      </w:pPr>
      <w:r>
        <w:rPr>
          <w:rFonts w:ascii="Arial" w:cs="Arial" w:eastAsia="Arial" w:hAnsi="Arial"/>
          <w:sz w:val="15"/>
          <w:szCs w:val="15"/>
          <w:color w:val="auto"/>
        </w:rPr>
        <w:t>The non-GAAP financial information is provided in addition to, and not as an alternative to, the Company’s reported results prepared in accordance with GAAP. The Company estimates the tax effect of the non-GAAP adjustments by applying its marginal rate to each of the respective items. Presented below is a reconciliation of GAAP and non-GAAP results for the thirteen weeks ended May 5, 2018 and April 29, 2017, respectively.</w:t>
      </w:r>
    </w:p>
    <w:p>
      <w:pPr>
        <w:spacing w:after="0" w:line="53" w:lineRule="exact"/>
        <w:rPr>
          <w:sz w:val="20"/>
          <w:szCs w:val="20"/>
          <w:color w:val="auto"/>
        </w:rPr>
      </w:pPr>
    </w:p>
    <w:p>
      <w:pPr>
        <w:ind w:left="6580"/>
        <w:spacing w:after="0"/>
        <w:rPr>
          <w:sz w:val="20"/>
          <w:szCs w:val="20"/>
          <w:color w:val="auto"/>
        </w:rPr>
      </w:pPr>
      <w:r>
        <w:rPr>
          <w:rFonts w:ascii="Arial" w:cs="Arial" w:eastAsia="Arial" w:hAnsi="Arial"/>
          <w:sz w:val="15"/>
          <w:szCs w:val="15"/>
          <w:b w:val="1"/>
          <w:bCs w:val="1"/>
          <w:color w:val="auto"/>
        </w:rPr>
        <w:t>Thirteen weeks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6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rPr>
              <w:t>May 5, 2018</w:t>
            </w:r>
          </w:p>
        </w:tc>
        <w:tc>
          <w:tcPr>
            <w:tcW w:w="260" w:type="dxa"/>
            <w:vAlign w:val="bottom"/>
            <w:tcBorders>
              <w:top w:val="single" w:sz="8" w:color="auto"/>
              <w:bottom w:val="single" w:sz="8" w:color="auto"/>
            </w:tcBorders>
          </w:tcPr>
          <w:p>
            <w:pPr>
              <w:spacing w:after="0"/>
              <w:rPr>
                <w:sz w:val="15"/>
                <w:szCs w:val="15"/>
                <w:color w:val="auto"/>
              </w:rPr>
            </w:pPr>
          </w:p>
        </w:tc>
        <w:tc>
          <w:tcPr>
            <w:tcW w:w="1480" w:type="dxa"/>
            <w:vAlign w:val="bottom"/>
            <w:tcBorders>
              <w:top w:val="single" w:sz="8" w:color="auto"/>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April 29, 2017</w:t>
            </w:r>
          </w:p>
        </w:tc>
        <w:tc>
          <w:tcPr>
            <w:tcW w:w="20" w:type="dxa"/>
            <w:vAlign w:val="bottom"/>
          </w:tcPr>
          <w:p>
            <w:pPr>
              <w:spacing w:after="0"/>
              <w:rPr>
                <w:sz w:val="15"/>
                <w:szCs w:val="15"/>
                <w:color w:val="auto"/>
              </w:rPr>
            </w:pPr>
          </w:p>
        </w:tc>
      </w:tr>
      <w:tr>
        <w:trPr>
          <w:trHeight w:val="187"/>
        </w:trPr>
        <w:tc>
          <w:tcPr>
            <w:tcW w:w="5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60" w:type="dxa"/>
            <w:vAlign w:val="bottom"/>
            <w:gridSpan w:val="3"/>
          </w:tcPr>
          <w:p>
            <w:pPr>
              <w:jc w:val="right"/>
              <w:ind w:right="1083"/>
              <w:spacing w:after="0"/>
              <w:rPr>
                <w:sz w:val="20"/>
                <w:szCs w:val="20"/>
                <w:color w:val="auto"/>
              </w:rPr>
            </w:pPr>
            <w:r>
              <w:rPr>
                <w:rFonts w:ascii="Arial" w:cs="Arial" w:eastAsia="Arial" w:hAnsi="Arial"/>
                <w:sz w:val="15"/>
                <w:szCs w:val="15"/>
                <w:color w:val="auto"/>
              </w:rPr>
              <w:t>($ in millions)</w:t>
            </w:r>
          </w:p>
        </w:tc>
        <w:tc>
          <w:tcPr>
            <w:tcW w:w="20" w:type="dxa"/>
            <w:vAlign w:val="bottom"/>
          </w:tcPr>
          <w:p>
            <w:pPr>
              <w:spacing w:after="0"/>
              <w:rPr>
                <w:sz w:val="16"/>
                <w:szCs w:val="16"/>
                <w:color w:val="auto"/>
              </w:rPr>
            </w:pPr>
          </w:p>
        </w:tc>
      </w:tr>
      <w:tr>
        <w:trPr>
          <w:trHeight w:val="207"/>
        </w:trPr>
        <w:tc>
          <w:tcPr>
            <w:tcW w:w="52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Pre-tax income:</w:t>
            </w:r>
          </w:p>
        </w:tc>
        <w:tc>
          <w:tcPr>
            <w:tcW w:w="7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7"/>
        </w:trPr>
        <w:tc>
          <w:tcPr>
            <w:tcW w:w="5260" w:type="dxa"/>
            <w:vAlign w:val="bottom"/>
          </w:tcPr>
          <w:p>
            <w:pPr>
              <w:spacing w:after="0"/>
              <w:rPr>
                <w:sz w:val="20"/>
                <w:szCs w:val="20"/>
                <w:color w:val="auto"/>
              </w:rPr>
            </w:pPr>
            <w:r>
              <w:rPr>
                <w:rFonts w:ascii="Arial" w:cs="Arial" w:eastAsia="Arial" w:hAnsi="Arial"/>
                <w:sz w:val="15"/>
                <w:szCs w:val="15"/>
                <w:color w:val="auto"/>
              </w:rPr>
              <w:t>Income before income taxes</w:t>
            </w:r>
          </w:p>
        </w:tc>
        <w:tc>
          <w:tcPr>
            <w:tcW w:w="780" w:type="dxa"/>
            <w:vAlign w:val="bottom"/>
          </w:tcPr>
          <w:p>
            <w:pPr>
              <w:jc w:val="right"/>
              <w:ind w:right="3"/>
              <w:spacing w:after="0"/>
              <w:rPr>
                <w:sz w:val="20"/>
                <w:szCs w:val="20"/>
                <w:color w:val="auto"/>
              </w:rPr>
            </w:pPr>
            <w:r>
              <w:rPr>
                <w:rFonts w:ascii="Arial" w:cs="Arial" w:eastAsia="Arial" w:hAnsi="Arial"/>
                <w:sz w:val="15"/>
                <w:szCs w:val="15"/>
                <w:b w:val="1"/>
                <w:bCs w:val="1"/>
                <w:color w:val="auto"/>
              </w:rPr>
              <w:t>$</w:t>
            </w:r>
          </w:p>
        </w:tc>
        <w:tc>
          <w:tcPr>
            <w:tcW w:w="1320" w:type="dxa"/>
            <w:vAlign w:val="bottom"/>
          </w:tcPr>
          <w:p>
            <w:pPr>
              <w:jc w:val="right"/>
              <w:ind w:right="43"/>
              <w:spacing w:after="0"/>
              <w:rPr>
                <w:sz w:val="20"/>
                <w:szCs w:val="20"/>
                <w:color w:val="auto"/>
              </w:rPr>
            </w:pPr>
            <w:r>
              <w:rPr>
                <w:rFonts w:ascii="Arial" w:cs="Arial" w:eastAsia="Arial" w:hAnsi="Arial"/>
                <w:sz w:val="15"/>
                <w:szCs w:val="15"/>
                <w:b w:val="1"/>
                <w:bCs w:val="1"/>
                <w:color w:val="auto"/>
              </w:rPr>
              <w:t>229</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163"/>
              <w:spacing w:after="0"/>
              <w:rPr>
                <w:sz w:val="20"/>
                <w:szCs w:val="20"/>
                <w:color w:val="auto"/>
              </w:rPr>
            </w:pPr>
            <w:r>
              <w:rPr>
                <w:rFonts w:ascii="Arial" w:cs="Arial" w:eastAsia="Arial" w:hAnsi="Arial"/>
                <w:sz w:val="15"/>
                <w:szCs w:val="15"/>
                <w:color w:val="auto"/>
              </w:rPr>
              <w:t>269</w:t>
            </w:r>
          </w:p>
        </w:tc>
        <w:tc>
          <w:tcPr>
            <w:tcW w:w="20" w:type="dxa"/>
            <w:vAlign w:val="bottom"/>
          </w:tcPr>
          <w:p>
            <w:pPr>
              <w:spacing w:after="0"/>
              <w:rPr>
                <w:sz w:val="17"/>
                <w:szCs w:val="17"/>
                <w:color w:val="auto"/>
              </w:rPr>
            </w:pPr>
          </w:p>
        </w:tc>
      </w:tr>
      <w:tr>
        <w:trPr>
          <w:trHeight w:val="207"/>
        </w:trPr>
        <w:tc>
          <w:tcPr>
            <w:tcW w:w="5260" w:type="dxa"/>
            <w:vAlign w:val="bottom"/>
            <w:shd w:val="clear" w:color="auto" w:fill="CCEEFF"/>
          </w:tcPr>
          <w:p>
            <w:pPr>
              <w:spacing w:after="0"/>
              <w:rPr>
                <w:sz w:val="20"/>
                <w:szCs w:val="20"/>
                <w:color w:val="auto"/>
              </w:rPr>
            </w:pPr>
            <w:r>
              <w:rPr>
                <w:rFonts w:ascii="Arial" w:cs="Arial" w:eastAsia="Arial" w:hAnsi="Arial"/>
                <w:sz w:val="15"/>
                <w:szCs w:val="15"/>
                <w:color w:val="auto"/>
              </w:rPr>
              <w:t>Pre-tax amounts excluded from GAAP:</w:t>
            </w:r>
          </w:p>
        </w:tc>
        <w:tc>
          <w:tcPr>
            <w:tcW w:w="7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7"/>
        </w:trPr>
        <w:tc>
          <w:tcPr>
            <w:tcW w:w="5260" w:type="dxa"/>
            <w:vAlign w:val="bottom"/>
            <w:tcBorders>
              <w:bottom w:val="single" w:sz="8" w:color="auto"/>
            </w:tcBorders>
          </w:tcPr>
          <w:p>
            <w:pPr>
              <w:ind w:left="200"/>
              <w:spacing w:after="0"/>
              <w:rPr>
                <w:sz w:val="20"/>
                <w:szCs w:val="20"/>
                <w:color w:val="auto"/>
              </w:rPr>
            </w:pPr>
            <w:r>
              <w:rPr>
                <w:rFonts w:ascii="Arial" w:cs="Arial" w:eastAsia="Arial" w:hAnsi="Arial"/>
                <w:sz w:val="15"/>
                <w:szCs w:val="15"/>
                <w:color w:val="auto"/>
              </w:rPr>
              <w:t>Pension litigation charge</w:t>
            </w:r>
          </w:p>
        </w:tc>
        <w:tc>
          <w:tcPr>
            <w:tcW w:w="7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12</w:t>
            </w: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r>
      <w:tr>
        <w:trPr>
          <w:trHeight w:val="215"/>
        </w:trPr>
        <w:tc>
          <w:tcPr>
            <w:tcW w:w="5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Adjusted income before income taxes (non-GAAP)</w:t>
            </w: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w:t>
            </w:r>
          </w:p>
        </w:tc>
        <w:tc>
          <w:tcPr>
            <w:tcW w:w="13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241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8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rPr>
              <w:t>269</w:t>
            </w:r>
          </w:p>
        </w:tc>
        <w:tc>
          <w:tcPr>
            <w:tcW w:w="20" w:type="dxa"/>
            <w:vAlign w:val="bottom"/>
          </w:tcPr>
          <w:p>
            <w:pPr>
              <w:spacing w:after="0"/>
              <w:rPr>
                <w:sz w:val="18"/>
                <w:szCs w:val="18"/>
                <w:color w:val="auto"/>
              </w:rPr>
            </w:pPr>
          </w:p>
        </w:tc>
      </w:tr>
      <w:tr>
        <w:trPr>
          <w:trHeight w:val="195"/>
        </w:trPr>
        <w:tc>
          <w:tcPr>
            <w:tcW w:w="5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7"/>
        </w:trPr>
        <w:tc>
          <w:tcPr>
            <w:tcW w:w="52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After-tax income:</w:t>
            </w:r>
          </w:p>
        </w:tc>
        <w:tc>
          <w:tcPr>
            <w:tcW w:w="7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7"/>
        </w:trPr>
        <w:tc>
          <w:tcPr>
            <w:tcW w:w="5260" w:type="dxa"/>
            <w:vAlign w:val="bottom"/>
          </w:tcPr>
          <w:p>
            <w:pPr>
              <w:spacing w:after="0"/>
              <w:rPr>
                <w:sz w:val="20"/>
                <w:szCs w:val="20"/>
                <w:color w:val="auto"/>
              </w:rPr>
            </w:pPr>
            <w:r>
              <w:rPr>
                <w:rFonts w:ascii="Arial" w:cs="Arial" w:eastAsia="Arial" w:hAnsi="Arial"/>
                <w:sz w:val="15"/>
                <w:szCs w:val="15"/>
                <w:color w:val="auto"/>
              </w:rPr>
              <w:t>Net income</w:t>
            </w:r>
          </w:p>
        </w:tc>
        <w:tc>
          <w:tcPr>
            <w:tcW w:w="780" w:type="dxa"/>
            <w:vAlign w:val="bottom"/>
          </w:tcPr>
          <w:p>
            <w:pPr>
              <w:jc w:val="right"/>
              <w:ind w:right="3"/>
              <w:spacing w:after="0"/>
              <w:rPr>
                <w:sz w:val="20"/>
                <w:szCs w:val="20"/>
                <w:color w:val="auto"/>
              </w:rPr>
            </w:pPr>
            <w:r>
              <w:rPr>
                <w:rFonts w:ascii="Arial" w:cs="Arial" w:eastAsia="Arial" w:hAnsi="Arial"/>
                <w:sz w:val="15"/>
                <w:szCs w:val="15"/>
                <w:b w:val="1"/>
                <w:bCs w:val="1"/>
                <w:color w:val="auto"/>
              </w:rPr>
              <w:t>$</w:t>
            </w:r>
          </w:p>
        </w:tc>
        <w:tc>
          <w:tcPr>
            <w:tcW w:w="1320" w:type="dxa"/>
            <w:vAlign w:val="bottom"/>
          </w:tcPr>
          <w:p>
            <w:pPr>
              <w:jc w:val="right"/>
              <w:ind w:right="43"/>
              <w:spacing w:after="0"/>
              <w:rPr>
                <w:sz w:val="20"/>
                <w:szCs w:val="20"/>
                <w:color w:val="auto"/>
              </w:rPr>
            </w:pPr>
            <w:r>
              <w:rPr>
                <w:rFonts w:ascii="Arial" w:cs="Arial" w:eastAsia="Arial" w:hAnsi="Arial"/>
                <w:sz w:val="15"/>
                <w:szCs w:val="15"/>
                <w:b w:val="1"/>
                <w:bCs w:val="1"/>
                <w:color w:val="auto"/>
              </w:rPr>
              <w:t>165</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163"/>
              <w:spacing w:after="0"/>
              <w:rPr>
                <w:sz w:val="20"/>
                <w:szCs w:val="20"/>
                <w:color w:val="auto"/>
              </w:rPr>
            </w:pPr>
            <w:r>
              <w:rPr>
                <w:rFonts w:ascii="Arial" w:cs="Arial" w:eastAsia="Arial" w:hAnsi="Arial"/>
                <w:sz w:val="15"/>
                <w:szCs w:val="15"/>
                <w:color w:val="auto"/>
              </w:rPr>
              <w:t>180</w:t>
            </w:r>
          </w:p>
        </w:tc>
        <w:tc>
          <w:tcPr>
            <w:tcW w:w="20" w:type="dxa"/>
            <w:vAlign w:val="bottom"/>
          </w:tcPr>
          <w:p>
            <w:pPr>
              <w:spacing w:after="0"/>
              <w:rPr>
                <w:sz w:val="17"/>
                <w:szCs w:val="17"/>
                <w:color w:val="auto"/>
              </w:rPr>
            </w:pPr>
          </w:p>
        </w:tc>
      </w:tr>
      <w:tr>
        <w:trPr>
          <w:trHeight w:val="207"/>
        </w:trPr>
        <w:tc>
          <w:tcPr>
            <w:tcW w:w="5260" w:type="dxa"/>
            <w:vAlign w:val="bottom"/>
            <w:shd w:val="clear" w:color="auto" w:fill="CCEEFF"/>
          </w:tcPr>
          <w:p>
            <w:pPr>
              <w:spacing w:after="0"/>
              <w:rPr>
                <w:sz w:val="20"/>
                <w:szCs w:val="20"/>
                <w:color w:val="auto"/>
              </w:rPr>
            </w:pPr>
            <w:r>
              <w:rPr>
                <w:rFonts w:ascii="Arial" w:cs="Arial" w:eastAsia="Arial" w:hAnsi="Arial"/>
                <w:sz w:val="15"/>
                <w:szCs w:val="15"/>
                <w:color w:val="auto"/>
              </w:rPr>
              <w:t>After-tax adjustments excluded from GAAP:</w:t>
            </w:r>
          </w:p>
        </w:tc>
        <w:tc>
          <w:tcPr>
            <w:tcW w:w="7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7"/>
        </w:trPr>
        <w:tc>
          <w:tcPr>
            <w:tcW w:w="5260" w:type="dxa"/>
            <w:vAlign w:val="bottom"/>
            <w:tcBorders>
              <w:bottom w:val="single" w:sz="8" w:color="auto"/>
            </w:tcBorders>
          </w:tcPr>
          <w:p>
            <w:pPr>
              <w:ind w:left="200"/>
              <w:spacing w:after="0"/>
              <w:rPr>
                <w:sz w:val="20"/>
                <w:szCs w:val="20"/>
                <w:color w:val="auto"/>
              </w:rPr>
            </w:pPr>
            <w:r>
              <w:rPr>
                <w:rFonts w:ascii="Arial" w:cs="Arial" w:eastAsia="Arial" w:hAnsi="Arial"/>
                <w:sz w:val="15"/>
                <w:szCs w:val="15"/>
                <w:color w:val="auto"/>
              </w:rPr>
              <w:t>Pension litigation charge, net of income tax benefit of $3 million</w:t>
            </w:r>
          </w:p>
        </w:tc>
        <w:tc>
          <w:tcPr>
            <w:tcW w:w="7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9</w:t>
            </w: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r>
      <w:tr>
        <w:trPr>
          <w:trHeight w:val="215"/>
        </w:trPr>
        <w:tc>
          <w:tcPr>
            <w:tcW w:w="5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Adjusted net income (non-GAAP)</w:t>
            </w: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w:t>
            </w:r>
          </w:p>
        </w:tc>
        <w:tc>
          <w:tcPr>
            <w:tcW w:w="13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174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8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rPr>
              <w:t>180</w:t>
            </w:r>
          </w:p>
        </w:tc>
        <w:tc>
          <w:tcPr>
            <w:tcW w:w="20" w:type="dxa"/>
            <w:vAlign w:val="bottom"/>
          </w:tcPr>
          <w:p>
            <w:pPr>
              <w:spacing w:after="0"/>
              <w:rPr>
                <w:sz w:val="18"/>
                <w:szCs w:val="18"/>
                <w:color w:val="auto"/>
              </w:rPr>
            </w:pPr>
          </w:p>
        </w:tc>
      </w:tr>
      <w:tr>
        <w:trPr>
          <w:trHeight w:val="195"/>
        </w:trPr>
        <w:tc>
          <w:tcPr>
            <w:tcW w:w="5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7"/>
        </w:trPr>
        <w:tc>
          <w:tcPr>
            <w:tcW w:w="52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Earnings per share:</w:t>
            </w:r>
          </w:p>
        </w:tc>
        <w:tc>
          <w:tcPr>
            <w:tcW w:w="7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7"/>
        </w:trPr>
        <w:tc>
          <w:tcPr>
            <w:tcW w:w="5260" w:type="dxa"/>
            <w:vAlign w:val="bottom"/>
          </w:tcPr>
          <w:p>
            <w:pPr>
              <w:spacing w:after="0"/>
              <w:rPr>
                <w:sz w:val="20"/>
                <w:szCs w:val="20"/>
                <w:color w:val="auto"/>
              </w:rPr>
            </w:pPr>
            <w:r>
              <w:rPr>
                <w:rFonts w:ascii="Arial" w:cs="Arial" w:eastAsia="Arial" w:hAnsi="Arial"/>
                <w:sz w:val="15"/>
                <w:szCs w:val="15"/>
                <w:color w:val="auto"/>
              </w:rPr>
              <w:t>Diluted EPS</w:t>
            </w:r>
          </w:p>
        </w:tc>
        <w:tc>
          <w:tcPr>
            <w:tcW w:w="780" w:type="dxa"/>
            <w:vAlign w:val="bottom"/>
          </w:tcPr>
          <w:p>
            <w:pPr>
              <w:jc w:val="right"/>
              <w:ind w:right="3"/>
              <w:spacing w:after="0"/>
              <w:rPr>
                <w:sz w:val="20"/>
                <w:szCs w:val="20"/>
                <w:color w:val="auto"/>
              </w:rPr>
            </w:pPr>
            <w:r>
              <w:rPr>
                <w:rFonts w:ascii="Arial" w:cs="Arial" w:eastAsia="Arial" w:hAnsi="Arial"/>
                <w:sz w:val="15"/>
                <w:szCs w:val="15"/>
                <w:b w:val="1"/>
                <w:bCs w:val="1"/>
                <w:color w:val="auto"/>
              </w:rPr>
              <w:t>$</w:t>
            </w:r>
          </w:p>
        </w:tc>
        <w:tc>
          <w:tcPr>
            <w:tcW w:w="1320" w:type="dxa"/>
            <w:vAlign w:val="bottom"/>
          </w:tcPr>
          <w:p>
            <w:pPr>
              <w:jc w:val="right"/>
              <w:ind w:right="43"/>
              <w:spacing w:after="0"/>
              <w:rPr>
                <w:sz w:val="20"/>
                <w:szCs w:val="20"/>
                <w:color w:val="auto"/>
              </w:rPr>
            </w:pPr>
            <w:r>
              <w:rPr>
                <w:rFonts w:ascii="Arial" w:cs="Arial" w:eastAsia="Arial" w:hAnsi="Arial"/>
                <w:sz w:val="15"/>
                <w:szCs w:val="15"/>
                <w:b w:val="1"/>
                <w:bCs w:val="1"/>
                <w:color w:val="auto"/>
              </w:rPr>
              <w:t>1.38</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480" w:type="dxa"/>
            <w:vAlign w:val="bottom"/>
          </w:tcPr>
          <w:p>
            <w:pPr>
              <w:jc w:val="right"/>
              <w:ind w:right="163"/>
              <w:spacing w:after="0"/>
              <w:rPr>
                <w:sz w:val="20"/>
                <w:szCs w:val="20"/>
                <w:color w:val="auto"/>
              </w:rPr>
            </w:pPr>
            <w:r>
              <w:rPr>
                <w:rFonts w:ascii="Arial" w:cs="Arial" w:eastAsia="Arial" w:hAnsi="Arial"/>
                <w:sz w:val="15"/>
                <w:szCs w:val="15"/>
                <w:color w:val="auto"/>
              </w:rPr>
              <w:t>1.36</w:t>
            </w:r>
          </w:p>
        </w:tc>
        <w:tc>
          <w:tcPr>
            <w:tcW w:w="20" w:type="dxa"/>
            <w:vAlign w:val="bottom"/>
          </w:tcPr>
          <w:p>
            <w:pPr>
              <w:spacing w:after="0"/>
              <w:rPr>
                <w:sz w:val="17"/>
                <w:szCs w:val="17"/>
                <w:color w:val="auto"/>
              </w:rPr>
            </w:pPr>
          </w:p>
        </w:tc>
      </w:tr>
      <w:tr>
        <w:trPr>
          <w:trHeight w:val="207"/>
        </w:trPr>
        <w:tc>
          <w:tcPr>
            <w:tcW w:w="5260" w:type="dxa"/>
            <w:vAlign w:val="bottom"/>
            <w:shd w:val="clear" w:color="auto" w:fill="CCEEFF"/>
          </w:tcPr>
          <w:p>
            <w:pPr>
              <w:spacing w:after="0"/>
              <w:rPr>
                <w:sz w:val="20"/>
                <w:szCs w:val="20"/>
                <w:color w:val="auto"/>
              </w:rPr>
            </w:pPr>
            <w:r>
              <w:rPr>
                <w:rFonts w:ascii="Arial" w:cs="Arial" w:eastAsia="Arial" w:hAnsi="Arial"/>
                <w:sz w:val="15"/>
                <w:szCs w:val="15"/>
                <w:color w:val="auto"/>
              </w:rPr>
              <w:t>Diluted EPS amounts excluded from GAAP:</w:t>
            </w:r>
          </w:p>
        </w:tc>
        <w:tc>
          <w:tcPr>
            <w:tcW w:w="7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7"/>
        </w:trPr>
        <w:tc>
          <w:tcPr>
            <w:tcW w:w="5260" w:type="dxa"/>
            <w:vAlign w:val="bottom"/>
            <w:tcBorders>
              <w:bottom w:val="single" w:sz="8" w:color="auto"/>
            </w:tcBorders>
          </w:tcPr>
          <w:p>
            <w:pPr>
              <w:ind w:left="200"/>
              <w:spacing w:after="0"/>
              <w:rPr>
                <w:sz w:val="20"/>
                <w:szCs w:val="20"/>
                <w:color w:val="auto"/>
              </w:rPr>
            </w:pPr>
            <w:r>
              <w:rPr>
                <w:rFonts w:ascii="Arial" w:cs="Arial" w:eastAsia="Arial" w:hAnsi="Arial"/>
                <w:sz w:val="15"/>
                <w:szCs w:val="15"/>
                <w:color w:val="auto"/>
              </w:rPr>
              <w:t>Pension litigation charge</w:t>
            </w:r>
          </w:p>
        </w:tc>
        <w:tc>
          <w:tcPr>
            <w:tcW w:w="7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0.07</w:t>
            </w: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r>
      <w:tr>
        <w:trPr>
          <w:trHeight w:val="179"/>
        </w:trPr>
        <w:tc>
          <w:tcPr>
            <w:tcW w:w="5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Adjusted diluted EPS (non-GAAP)</w:t>
            </w: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w:t>
            </w:r>
          </w:p>
        </w:tc>
        <w:tc>
          <w:tcPr>
            <w:tcW w:w="13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1.45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8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rPr>
              <w:t>1.36</w:t>
            </w:r>
          </w:p>
        </w:tc>
        <w:tc>
          <w:tcPr>
            <w:tcW w:w="20" w:type="dxa"/>
            <w:vAlign w:val="bottom"/>
          </w:tcPr>
          <w:p>
            <w:pPr>
              <w:spacing w:after="0"/>
              <w:rPr>
                <w:sz w:val="15"/>
                <w:szCs w:val="15"/>
                <w:color w:val="auto"/>
              </w:rPr>
            </w:pPr>
          </w:p>
        </w:tc>
      </w:tr>
      <w:tr>
        <w:trPr>
          <w:trHeight w:val="374"/>
        </w:trPr>
        <w:tc>
          <w:tcPr>
            <w:tcW w:w="5260" w:type="dxa"/>
            <w:vAlign w:val="bottom"/>
          </w:tcPr>
          <w:p>
            <w:pPr>
              <w:ind w:left="4460"/>
              <w:spacing w:after="0"/>
              <w:rPr>
                <w:sz w:val="20"/>
                <w:szCs w:val="20"/>
                <w:color w:val="auto"/>
              </w:rPr>
            </w:pPr>
            <w:r>
              <w:rPr>
                <w:rFonts w:ascii="Arial" w:cs="Arial" w:eastAsia="Arial" w:hAnsi="Arial"/>
                <w:sz w:val="15"/>
                <w:szCs w:val="15"/>
                <w:color w:val="auto"/>
              </w:rPr>
              <w:t>17</w:t>
            </w: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8"/>
        </w:trPr>
        <w:tc>
          <w:tcPr>
            <w:tcW w:w="526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r>
        <w:trPr>
          <w:trHeight w:val="20"/>
        </w:trPr>
        <w:tc>
          <w:tcPr>
            <w:tcW w:w="526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132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4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5775325</wp:posOffset>
            </wp:positionH>
            <wp:positionV relativeFrom="paragraph">
              <wp:posOffset>-34925</wp:posOffset>
            </wp:positionV>
            <wp:extent cx="33020" cy="482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-34925</wp:posOffset>
            </wp:positionV>
            <wp:extent cx="33020" cy="482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9120"/>
          </w:cols>
          <w:pgMar w:left="1400" w:top="329" w:right="1379" w:bottom="1440" w:gutter="0" w:footer="0" w:header="0"/>
        </w:sectPr>
      </w:pPr>
    </w:p>
    <w:bookmarkStart w:id="19" w:name="page20"/>
    <w:bookmarkEnd w:id="19"/>
    <w:p>
      <w:pPr>
        <w:jc w:val="both"/>
        <w:spacing w:after="0" w:line="247" w:lineRule="auto"/>
        <w:rPr>
          <w:sz w:val="20"/>
          <w:szCs w:val="20"/>
          <w:color w:val="auto"/>
        </w:rPr>
      </w:pPr>
      <w:r>
        <w:rPr>
          <w:rFonts w:ascii="Arial" w:cs="Arial" w:eastAsia="Arial" w:hAnsi="Arial"/>
          <w:sz w:val="15"/>
          <w:szCs w:val="15"/>
          <w:color w:val="auto"/>
        </w:rPr>
        <w:t xml:space="preserve">During the first quarter ended May 5, 2018, the Company recorded a charge of $12 million, $9 million after-tax or $0.07 per share, related to pension litigation. Please see Item 1. “Financial Statements,” Note 14, </w:t>
      </w:r>
      <w:r>
        <w:rPr>
          <w:rFonts w:ascii="Arial" w:cs="Arial" w:eastAsia="Arial" w:hAnsi="Arial"/>
          <w:sz w:val="15"/>
          <w:szCs w:val="15"/>
          <w:i w:val="1"/>
          <w:iCs w:val="1"/>
          <w:color w:val="auto"/>
        </w:rPr>
        <w:t>Legal Proceedings</w:t>
      </w:r>
      <w:r>
        <w:rPr>
          <w:rFonts w:ascii="Arial" w:cs="Arial" w:eastAsia="Arial" w:hAnsi="Arial"/>
          <w:sz w:val="15"/>
          <w:szCs w:val="15"/>
          <w:color w:val="auto"/>
        </w:rPr>
        <w:t xml:space="preserve"> for further information on this charge.</w:t>
      </w:r>
    </w:p>
    <w:p>
      <w:pPr>
        <w:spacing w:after="0" w:line="30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Results of Operations</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We evaluate performance based on several factors, the primary financial measure of which is division results. Division profit reflects income before income taxes, pension litigation charge, corporate expense, non-operating income, and net interest income.</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our results:</w:t>
      </w:r>
    </w:p>
    <w:p>
      <w:pPr>
        <w:spacing w:after="0" w:line="53" w:lineRule="exact"/>
        <w:rPr>
          <w:sz w:val="20"/>
          <w:szCs w:val="20"/>
          <w:color w:val="auto"/>
        </w:rPr>
      </w:pPr>
    </w:p>
    <w:p>
      <w:pPr>
        <w:ind w:left="6640"/>
        <w:spacing w:after="0"/>
        <w:rPr>
          <w:sz w:val="20"/>
          <w:szCs w:val="20"/>
          <w:color w:val="auto"/>
        </w:rPr>
      </w:pPr>
      <w:r>
        <w:rPr>
          <w:rFonts w:ascii="Arial" w:cs="Arial" w:eastAsia="Arial" w:hAnsi="Arial"/>
          <w:sz w:val="15"/>
          <w:szCs w:val="15"/>
          <w:b w:val="1"/>
          <w:bCs w:val="1"/>
          <w:color w:val="auto"/>
        </w:rPr>
        <w:t>Thirteen weeks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960" w:type="dxa"/>
            <w:vAlign w:val="bottom"/>
            <w:tcBorders>
              <w:top w:val="single" w:sz="8" w:color="auto"/>
            </w:tcBorders>
          </w:tcPr>
          <w:p>
            <w:pPr>
              <w:spacing w:after="0"/>
              <w:rPr>
                <w:sz w:val="17"/>
                <w:szCs w:val="17"/>
                <w:color w:val="auto"/>
              </w:rPr>
            </w:pPr>
          </w:p>
        </w:tc>
        <w:tc>
          <w:tcPr>
            <w:tcW w:w="28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May 5,</w:t>
            </w:r>
          </w:p>
        </w:tc>
        <w:tc>
          <w:tcPr>
            <w:tcW w:w="7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April 29,</w:t>
            </w:r>
          </w:p>
        </w:tc>
      </w:tr>
      <w:tr>
        <w:trPr>
          <w:trHeight w:val="194"/>
        </w:trPr>
        <w:tc>
          <w:tcPr>
            <w:tcW w:w="39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2018</w:t>
            </w:r>
          </w:p>
        </w:tc>
        <w:tc>
          <w:tcPr>
            <w:tcW w:w="7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2017</w:t>
            </w:r>
          </w:p>
        </w:tc>
      </w:tr>
      <w:tr>
        <w:trPr>
          <w:trHeight w:val="187"/>
        </w:trPr>
        <w:tc>
          <w:tcPr>
            <w:tcW w:w="39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 in millions)</w:t>
            </w:r>
          </w:p>
        </w:tc>
        <w:tc>
          <w:tcPr>
            <w:tcW w:w="1140" w:type="dxa"/>
            <w:vAlign w:val="bottom"/>
          </w:tcPr>
          <w:p>
            <w:pPr>
              <w:spacing w:after="0"/>
              <w:rPr>
                <w:sz w:val="16"/>
                <w:szCs w:val="16"/>
                <w:color w:val="auto"/>
              </w:rPr>
            </w:pPr>
          </w:p>
        </w:tc>
      </w:tr>
      <w:tr>
        <w:trPr>
          <w:trHeight w:val="207"/>
        </w:trPr>
        <w:tc>
          <w:tcPr>
            <w:tcW w:w="39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Sales</w:t>
            </w:r>
          </w:p>
        </w:tc>
        <w:tc>
          <w:tcPr>
            <w:tcW w:w="2880" w:type="dxa"/>
            <w:vAlign w:val="bottom"/>
            <w:shd w:val="clear" w:color="auto" w:fill="CCEEFF"/>
          </w:tcPr>
          <w:p>
            <w:pPr>
              <w:jc w:val="right"/>
              <w:ind w:right="703"/>
              <w:spacing w:after="0"/>
              <w:rPr>
                <w:sz w:val="20"/>
                <w:szCs w:val="20"/>
                <w:color w:val="auto"/>
              </w:rPr>
            </w:pPr>
            <w:r>
              <w:rPr>
                <w:rFonts w:ascii="Arial" w:cs="Arial" w:eastAsia="Arial" w:hAnsi="Arial"/>
                <w:sz w:val="15"/>
                <w:szCs w:val="15"/>
                <w:b w:val="1"/>
                <w:bCs w:val="1"/>
                <w:color w:val="auto"/>
              </w:rPr>
              <w:t>$</w:t>
            </w:r>
          </w:p>
        </w:tc>
        <w:tc>
          <w:tcPr>
            <w:tcW w:w="70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2,025</w:t>
            </w:r>
          </w:p>
        </w:tc>
        <w:tc>
          <w:tcPr>
            <w:tcW w:w="4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2,001</w:t>
            </w:r>
          </w:p>
        </w:tc>
      </w:tr>
      <w:tr>
        <w:trPr>
          <w:trHeight w:val="207"/>
        </w:trPr>
        <w:tc>
          <w:tcPr>
            <w:tcW w:w="396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5"/>
        </w:trPr>
        <w:tc>
          <w:tcPr>
            <w:tcW w:w="39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Operating Results</w:t>
            </w:r>
          </w:p>
        </w:tc>
        <w:tc>
          <w:tcPr>
            <w:tcW w:w="28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07"/>
        </w:trPr>
        <w:tc>
          <w:tcPr>
            <w:tcW w:w="3960" w:type="dxa"/>
            <w:vAlign w:val="bottom"/>
          </w:tcPr>
          <w:p>
            <w:pPr>
              <w:spacing w:after="0"/>
              <w:rPr>
                <w:sz w:val="20"/>
                <w:szCs w:val="20"/>
                <w:color w:val="auto"/>
              </w:rPr>
            </w:pPr>
            <w:r>
              <w:rPr>
                <w:rFonts w:ascii="Arial" w:cs="Arial" w:eastAsia="Arial" w:hAnsi="Arial"/>
                <w:sz w:val="15"/>
                <w:szCs w:val="15"/>
                <w:color w:val="auto"/>
              </w:rPr>
              <w:t>Division profit</w:t>
            </w:r>
          </w:p>
        </w:tc>
        <w:tc>
          <w:tcPr>
            <w:tcW w:w="2880" w:type="dxa"/>
            <w:vAlign w:val="bottom"/>
          </w:tcPr>
          <w:p>
            <w:pPr>
              <w:spacing w:after="0"/>
              <w:rPr>
                <w:sz w:val="17"/>
                <w:szCs w:val="17"/>
                <w:color w:val="auto"/>
              </w:rPr>
            </w:pPr>
          </w:p>
        </w:tc>
        <w:tc>
          <w:tcPr>
            <w:tcW w:w="700" w:type="dxa"/>
            <w:vAlign w:val="bottom"/>
          </w:tcPr>
          <w:p>
            <w:pPr>
              <w:jc w:val="right"/>
              <w:ind w:right="183"/>
              <w:spacing w:after="0"/>
              <w:rPr>
                <w:sz w:val="20"/>
                <w:szCs w:val="20"/>
                <w:color w:val="auto"/>
              </w:rPr>
            </w:pPr>
            <w:r>
              <w:rPr>
                <w:rFonts w:ascii="Arial" w:cs="Arial" w:eastAsia="Arial" w:hAnsi="Arial"/>
                <w:sz w:val="15"/>
                <w:szCs w:val="15"/>
                <w:b w:val="1"/>
                <w:bCs w:val="1"/>
                <w:color w:val="auto"/>
              </w:rPr>
              <w:t>247</w:t>
            </w:r>
          </w:p>
        </w:tc>
        <w:tc>
          <w:tcPr>
            <w:tcW w:w="4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283</w:t>
            </w:r>
          </w:p>
        </w:tc>
      </w:tr>
      <w:tr>
        <w:trPr>
          <w:trHeight w:val="219"/>
        </w:trPr>
        <w:tc>
          <w:tcPr>
            <w:tcW w:w="3960" w:type="dxa"/>
            <w:vAlign w:val="bottom"/>
            <w:shd w:val="clear" w:color="auto" w:fill="CCEEFF"/>
          </w:tcPr>
          <w:p>
            <w:pPr>
              <w:spacing w:after="0"/>
              <w:rPr>
                <w:sz w:val="20"/>
                <w:szCs w:val="20"/>
                <w:color w:val="auto"/>
              </w:rPr>
            </w:pPr>
            <w:r>
              <w:rPr>
                <w:rFonts w:ascii="Arial" w:cs="Arial" w:eastAsia="Arial" w:hAnsi="Arial"/>
                <w:sz w:val="15"/>
                <w:szCs w:val="15"/>
                <w:color w:val="auto"/>
              </w:rPr>
              <w:t xml:space="preserve">Less: Pension litigation </w:t>
            </w:r>
            <w:r>
              <w:rPr>
                <w:rFonts w:ascii="Arial" w:cs="Arial" w:eastAsia="Arial" w:hAnsi="Arial"/>
                <w:sz w:val="8"/>
                <w:szCs w:val="8"/>
                <w:color w:val="auto"/>
              </w:rPr>
              <w:t>(1)</w:t>
            </w:r>
          </w:p>
        </w:tc>
        <w:tc>
          <w:tcPr>
            <w:tcW w:w="28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12</w:t>
            </w:r>
          </w:p>
        </w:tc>
        <w:tc>
          <w:tcPr>
            <w:tcW w:w="4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31"/>
        </w:trPr>
        <w:tc>
          <w:tcPr>
            <w:tcW w:w="39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 xml:space="preserve">Less: Corporate expense </w:t>
            </w:r>
            <w:r>
              <w:rPr>
                <w:rFonts w:ascii="Arial" w:cs="Arial" w:eastAsia="Arial" w:hAnsi="Arial"/>
                <w:sz w:val="8"/>
                <w:szCs w:val="8"/>
                <w:color w:val="auto"/>
              </w:rPr>
              <w:t>(2)</w:t>
            </w:r>
          </w:p>
        </w:tc>
        <w:tc>
          <w:tcPr>
            <w:tcW w:w="28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11</w:t>
            </w: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w:t>
            </w:r>
          </w:p>
        </w:tc>
      </w:tr>
      <w:tr>
        <w:trPr>
          <w:trHeight w:val="187"/>
        </w:trPr>
        <w:tc>
          <w:tcPr>
            <w:tcW w:w="3960" w:type="dxa"/>
            <w:vAlign w:val="bottom"/>
            <w:shd w:val="clear" w:color="auto" w:fill="CCEEFF"/>
          </w:tcPr>
          <w:p>
            <w:pPr>
              <w:spacing w:after="0"/>
              <w:rPr>
                <w:sz w:val="20"/>
                <w:szCs w:val="20"/>
                <w:color w:val="auto"/>
              </w:rPr>
            </w:pPr>
            <w:r>
              <w:rPr>
                <w:rFonts w:ascii="Arial" w:cs="Arial" w:eastAsia="Arial" w:hAnsi="Arial"/>
                <w:sz w:val="15"/>
                <w:szCs w:val="15"/>
                <w:color w:val="auto"/>
              </w:rPr>
              <w:t>Income from operations</w:t>
            </w:r>
          </w:p>
        </w:tc>
        <w:tc>
          <w:tcPr>
            <w:tcW w:w="28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224</w:t>
            </w:r>
          </w:p>
        </w:tc>
        <w:tc>
          <w:tcPr>
            <w:tcW w:w="4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268</w:t>
            </w:r>
          </w:p>
        </w:tc>
      </w:tr>
      <w:tr>
        <w:trPr>
          <w:trHeight w:val="207"/>
        </w:trPr>
        <w:tc>
          <w:tcPr>
            <w:tcW w:w="3960" w:type="dxa"/>
            <w:vAlign w:val="bottom"/>
          </w:tcPr>
          <w:p>
            <w:pPr>
              <w:spacing w:after="0"/>
              <w:rPr>
                <w:sz w:val="20"/>
                <w:szCs w:val="20"/>
                <w:color w:val="auto"/>
              </w:rPr>
            </w:pPr>
            <w:r>
              <w:rPr>
                <w:rFonts w:ascii="Arial" w:cs="Arial" w:eastAsia="Arial" w:hAnsi="Arial"/>
                <w:sz w:val="15"/>
                <w:szCs w:val="15"/>
                <w:color w:val="auto"/>
              </w:rPr>
              <w:t>Interest income, net</w:t>
            </w:r>
          </w:p>
        </w:tc>
        <w:tc>
          <w:tcPr>
            <w:tcW w:w="2880" w:type="dxa"/>
            <w:vAlign w:val="bottom"/>
          </w:tcPr>
          <w:p>
            <w:pPr>
              <w:spacing w:after="0"/>
              <w:rPr>
                <w:sz w:val="17"/>
                <w:szCs w:val="17"/>
                <w:color w:val="auto"/>
              </w:rPr>
            </w:pPr>
          </w:p>
        </w:tc>
        <w:tc>
          <w:tcPr>
            <w:tcW w:w="700" w:type="dxa"/>
            <w:vAlign w:val="bottom"/>
          </w:tcPr>
          <w:p>
            <w:pPr>
              <w:jc w:val="right"/>
              <w:ind w:right="143"/>
              <w:spacing w:after="0"/>
              <w:rPr>
                <w:sz w:val="20"/>
                <w:szCs w:val="20"/>
                <w:color w:val="auto"/>
              </w:rPr>
            </w:pPr>
            <w:r>
              <w:rPr>
                <w:rFonts w:ascii="Arial" w:cs="Arial" w:eastAsia="Arial" w:hAnsi="Arial"/>
                <w:sz w:val="15"/>
                <w:szCs w:val="15"/>
                <w:b w:val="1"/>
                <w:bCs w:val="1"/>
                <w:color w:val="auto"/>
              </w:rPr>
              <w:t>(2)</w:t>
            </w:r>
          </w:p>
        </w:tc>
        <w:tc>
          <w:tcPr>
            <w:tcW w:w="4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3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 xml:space="preserve">Other income </w:t>
            </w:r>
            <w:r>
              <w:rPr>
                <w:rFonts w:ascii="Arial" w:cs="Arial" w:eastAsia="Arial" w:hAnsi="Arial"/>
                <w:sz w:val="8"/>
                <w:szCs w:val="8"/>
                <w:color w:val="auto"/>
              </w:rPr>
              <w:t>(3)</w:t>
            </w:r>
          </w:p>
        </w:tc>
        <w:tc>
          <w:tcPr>
            <w:tcW w:w="28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3</w:t>
            </w:r>
          </w:p>
        </w:tc>
        <w:tc>
          <w:tcPr>
            <w:tcW w:w="4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r>
      <w:tr>
        <w:trPr>
          <w:trHeight w:val="179"/>
        </w:trPr>
        <w:tc>
          <w:tcPr>
            <w:tcW w:w="39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Income before income taxes</w:t>
            </w:r>
          </w:p>
        </w:tc>
        <w:tc>
          <w:tcPr>
            <w:tcW w:w="2880" w:type="dxa"/>
            <w:vAlign w:val="bottom"/>
            <w:tcBorders>
              <w:bottom w:val="single" w:sz="8" w:color="auto"/>
            </w:tcBorders>
          </w:tcPr>
          <w:p>
            <w:pPr>
              <w:jc w:val="right"/>
              <w:ind w:right="703"/>
              <w:spacing w:after="0"/>
              <w:rPr>
                <w:sz w:val="20"/>
                <w:szCs w:val="20"/>
                <w:color w:val="auto"/>
              </w:rPr>
            </w:pPr>
            <w:r>
              <w:rPr>
                <w:rFonts w:ascii="Arial" w:cs="Arial" w:eastAsia="Arial" w:hAnsi="Arial"/>
                <w:sz w:val="15"/>
                <w:szCs w:val="15"/>
                <w:b w:val="1"/>
                <w:bCs w:val="1"/>
                <w:color w:val="auto"/>
              </w:rPr>
              <w:t>$</w:t>
            </w:r>
          </w:p>
        </w:tc>
        <w:tc>
          <w:tcPr>
            <w:tcW w:w="70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229</w:t>
            </w:r>
          </w:p>
        </w:tc>
        <w:tc>
          <w:tcPr>
            <w:tcW w:w="4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269</w:t>
            </w:r>
          </w:p>
        </w:tc>
      </w:tr>
    </w:tbl>
    <w:p>
      <w:pPr>
        <w:spacing w:after="0" w:line="170" w:lineRule="exact"/>
        <w:rPr>
          <w:sz w:val="20"/>
          <w:szCs w:val="20"/>
          <w:color w:val="auto"/>
        </w:rPr>
      </w:pPr>
    </w:p>
    <w:p>
      <w:pPr>
        <w:ind w:left="660" w:right="120" w:hanging="375"/>
        <w:spacing w:after="0" w:line="246" w:lineRule="auto"/>
        <w:tabs>
          <w:tab w:leader="none" w:pos="660" w:val="left"/>
        </w:tabs>
        <w:numPr>
          <w:ilvl w:val="0"/>
          <w:numId w:val="7"/>
        </w:numPr>
        <w:rPr>
          <w:rFonts w:ascii="Arial" w:cs="Arial" w:eastAsia="Arial" w:hAnsi="Arial"/>
          <w:sz w:val="11"/>
          <w:szCs w:val="11"/>
          <w:color w:val="auto"/>
        </w:rPr>
      </w:pPr>
      <w:r>
        <w:rPr>
          <w:rFonts w:ascii="Arial" w:cs="Arial" w:eastAsia="Arial" w:hAnsi="Arial"/>
          <w:sz w:val="12"/>
          <w:szCs w:val="12"/>
          <w:color w:val="auto"/>
        </w:rPr>
        <w:t xml:space="preserve">Included in the thirteen weeks ended May 5, 2018 is a pre-tax charge of $12 million relating to a pension litigation matter described further in Note 14, </w:t>
      </w:r>
      <w:r>
        <w:rPr>
          <w:rFonts w:ascii="Arial" w:cs="Arial" w:eastAsia="Arial" w:hAnsi="Arial"/>
          <w:sz w:val="12"/>
          <w:szCs w:val="12"/>
          <w:i w:val="1"/>
          <w:iCs w:val="1"/>
          <w:color w:val="auto"/>
        </w:rPr>
        <w:t>Legal Proceedings</w:t>
      </w:r>
      <w:r>
        <w:rPr>
          <w:rFonts w:ascii="Arial" w:cs="Arial" w:eastAsia="Arial" w:hAnsi="Arial"/>
          <w:sz w:val="12"/>
          <w:szCs w:val="12"/>
          <w:color w:val="auto"/>
        </w:rPr>
        <w:t>.</w:t>
      </w:r>
    </w:p>
    <w:p>
      <w:pPr>
        <w:spacing w:after="0" w:line="118" w:lineRule="exact"/>
        <w:rPr>
          <w:rFonts w:ascii="Arial" w:cs="Arial" w:eastAsia="Arial" w:hAnsi="Arial"/>
          <w:sz w:val="11"/>
          <w:szCs w:val="11"/>
          <w:color w:val="auto"/>
        </w:rPr>
      </w:pPr>
    </w:p>
    <w:p>
      <w:pPr>
        <w:jc w:val="both"/>
        <w:ind w:left="640" w:right="120" w:hanging="355"/>
        <w:spacing w:after="0" w:line="204" w:lineRule="auto"/>
        <w:tabs>
          <w:tab w:leader="none" w:pos="640" w:val="left"/>
        </w:tabs>
        <w:numPr>
          <w:ilvl w:val="0"/>
          <w:numId w:val="7"/>
        </w:numPr>
        <w:rPr>
          <w:rFonts w:ascii="Arial" w:cs="Arial" w:eastAsia="Arial" w:hAnsi="Arial"/>
          <w:sz w:val="21"/>
          <w:szCs w:val="21"/>
          <w:color w:val="auto"/>
          <w:vertAlign w:val="superscript"/>
        </w:rPr>
      </w:pPr>
      <w:r>
        <w:rPr>
          <w:rFonts w:ascii="Arial" w:cs="Arial" w:eastAsia="Arial" w:hAnsi="Arial"/>
          <w:sz w:val="12"/>
          <w:szCs w:val="12"/>
          <w:color w:val="auto"/>
        </w:rPr>
        <w:t>Corporate expense consists of unallocated selling general and administrative expenses as well as depreciation and amortization related to the Company’s corporate headquarters, centrally managed departments, unallocated insurance and benefit programs, certain foreign exchange transaction gains and losses, and other items. Depreciation and amortization included in corporate expense was $4 million and $3 million for the thirteen weeks ended May 5, 2018 and April 29, 2017, respectively.</w:t>
      </w:r>
    </w:p>
    <w:p>
      <w:pPr>
        <w:spacing w:after="0" w:line="209" w:lineRule="exact"/>
        <w:rPr>
          <w:rFonts w:ascii="Arial" w:cs="Arial" w:eastAsia="Arial" w:hAnsi="Arial"/>
          <w:sz w:val="21"/>
          <w:szCs w:val="21"/>
          <w:color w:val="auto"/>
          <w:vertAlign w:val="superscript"/>
        </w:rPr>
      </w:pPr>
    </w:p>
    <w:p>
      <w:pPr>
        <w:jc w:val="both"/>
        <w:ind w:left="640" w:right="120"/>
        <w:spacing w:after="0" w:line="238" w:lineRule="auto"/>
        <w:rPr>
          <w:rFonts w:ascii="Arial" w:cs="Arial" w:eastAsia="Arial" w:hAnsi="Arial"/>
          <w:sz w:val="21"/>
          <w:szCs w:val="21"/>
          <w:color w:val="auto"/>
          <w:vertAlign w:val="superscript"/>
        </w:rPr>
      </w:pPr>
      <w:r>
        <w:rPr>
          <w:rFonts w:ascii="Arial" w:cs="Arial" w:eastAsia="Arial" w:hAnsi="Arial"/>
          <w:sz w:val="12"/>
          <w:szCs w:val="12"/>
          <w:color w:val="auto"/>
        </w:rPr>
        <w:t>The allocation of corporate expense to the operating divisions is adjusted annually based upon an internal study; accordingly, the allocation increased by $10 million for the thirteen weeks ended May 5, 2018 thus reducing corporate expense. Excluding the corporate allocation change as well as depreciation and amortization, corporate expense increased by $5 million for the thirteen weeks ended May 5, 2018. The increase for the thirteen weeks ended May 5, 2018 was primarily due to increased corporate support costs primarily related to information technology.</w:t>
      </w:r>
    </w:p>
    <w:p>
      <w:pPr>
        <w:spacing w:after="0" w:line="206" w:lineRule="exact"/>
        <w:rPr>
          <w:rFonts w:ascii="Arial" w:cs="Arial" w:eastAsia="Arial" w:hAnsi="Arial"/>
          <w:sz w:val="21"/>
          <w:szCs w:val="21"/>
          <w:color w:val="auto"/>
          <w:vertAlign w:val="superscript"/>
        </w:rPr>
      </w:pPr>
    </w:p>
    <w:p>
      <w:pPr>
        <w:jc w:val="both"/>
        <w:ind w:left="660" w:right="120" w:hanging="375"/>
        <w:spacing w:after="0" w:line="239" w:lineRule="auto"/>
        <w:tabs>
          <w:tab w:leader="none" w:pos="660" w:val="left"/>
        </w:tabs>
        <w:numPr>
          <w:ilvl w:val="0"/>
          <w:numId w:val="7"/>
        </w:numPr>
        <w:rPr>
          <w:rFonts w:ascii="Arial" w:cs="Arial" w:eastAsia="Arial" w:hAnsi="Arial"/>
          <w:sz w:val="11"/>
          <w:szCs w:val="11"/>
          <w:color w:val="auto"/>
        </w:rPr>
      </w:pPr>
      <w:r>
        <w:rPr>
          <w:rFonts w:ascii="Arial" w:cs="Arial" w:eastAsia="Arial" w:hAnsi="Arial"/>
          <w:sz w:val="12"/>
          <w:szCs w:val="12"/>
          <w:color w:val="auto"/>
        </w:rPr>
        <w:t>Other income includes non-operating items, such as lease termination gains, royalty income, changes in fair value, premiums paid, realized gains and losses associated with foreign currency option contracts, changes in the market value of our available-for-sale security, and net benefit expense related to our pension and postretirement programs excluding the service cost component.</w:t>
      </w:r>
    </w:p>
    <w:p>
      <w:pPr>
        <w:spacing w:after="0" w:line="208" w:lineRule="exact"/>
        <w:rPr>
          <w:sz w:val="20"/>
          <w:szCs w:val="20"/>
          <w:color w:val="auto"/>
        </w:rPr>
      </w:pPr>
    </w:p>
    <w:p>
      <w:pPr>
        <w:ind w:left="660" w:right="120"/>
        <w:spacing w:after="0" w:line="246" w:lineRule="auto"/>
        <w:rPr>
          <w:sz w:val="20"/>
          <w:szCs w:val="20"/>
          <w:color w:val="auto"/>
        </w:rPr>
      </w:pPr>
      <w:r>
        <w:rPr>
          <w:rFonts w:ascii="Arial" w:cs="Arial" w:eastAsia="Arial" w:hAnsi="Arial"/>
          <w:sz w:val="12"/>
          <w:szCs w:val="12"/>
          <w:color w:val="auto"/>
        </w:rPr>
        <w:t>The increase in other income for the thirteen weeks ended May 5, 2018 as compared with the corresponding prior-year period primarily reflects increased royalty income and lease termination gains.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Sales</w:t>
      </w:r>
    </w:p>
    <w:p>
      <w:pPr>
        <w:spacing w:after="0" w:line="184"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All references to comparable-store sales for a given period relate to sales of stores that were open at the period-end and had been open for more than one year. The computation of consolidated comparable-store sales also includes our direct-to-customer channel. Stores opened or closed during the period are not included in the comparable-store base; however, stores closed temporarily for relocation or remodeling are included. Computations exclude the effect of foreign currency fluctuations.</w:t>
      </w:r>
    </w:p>
    <w:p>
      <w:pPr>
        <w:spacing w:after="0" w:line="156"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Sales increased by $24 million, or 1.2 percent, to $2,025 million for the thirteen weeks ended May 5, 2018, from $2,001 million for the thirteen weeks ended April 29, 2017. Excluding the effect of foreign currency fluctuations, total sales decreased by 1.5 percent for the thirteen weeks ended May 5, 2018. Total comparable-store sales decreased by 2.8 percent thirteen weeks ended May 5, 2018. The information shown below represents certain sales metrics by sales channel:</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329" w:right="139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94"/>
        </w:trPr>
        <w:tc>
          <w:tcPr>
            <w:tcW w:w="4020" w:type="dxa"/>
            <w:vAlign w:val="bottom"/>
            <w:tcBorders>
              <w:bottom w:val="single" w:sz="8" w:color="auto"/>
            </w:tcBorders>
          </w:tcPr>
          <w:p>
            <w:pPr>
              <w:spacing w:after="0"/>
              <w:rPr>
                <w:sz w:val="16"/>
                <w:szCs w:val="16"/>
                <w:color w:val="auto"/>
              </w:rPr>
            </w:pPr>
          </w:p>
        </w:tc>
        <w:tc>
          <w:tcPr>
            <w:tcW w:w="4340" w:type="dxa"/>
            <w:vAlign w:val="bottom"/>
            <w:tcBorders>
              <w:bottom w:val="single" w:sz="8" w:color="auto"/>
            </w:tcBorders>
            <w:gridSpan w:val="3"/>
          </w:tcPr>
          <w:p>
            <w:pPr>
              <w:jc w:val="right"/>
              <w:ind w:right="483"/>
              <w:spacing w:after="0"/>
              <w:rPr>
                <w:sz w:val="20"/>
                <w:szCs w:val="20"/>
                <w:color w:val="auto"/>
              </w:rPr>
            </w:pPr>
            <w:r>
              <w:rPr>
                <w:rFonts w:ascii="Arial" w:cs="Arial" w:eastAsia="Arial" w:hAnsi="Arial"/>
                <w:sz w:val="15"/>
                <w:szCs w:val="15"/>
                <w:b w:val="1"/>
                <w:bCs w:val="1"/>
                <w:color w:val="auto"/>
              </w:rPr>
              <w:t>Thirteen weeks ended</w:t>
            </w:r>
          </w:p>
        </w:tc>
        <w:tc>
          <w:tcPr>
            <w:tcW w:w="740" w:type="dxa"/>
            <w:vAlign w:val="bottom"/>
            <w:tcBorders>
              <w:bottom w:val="single" w:sz="8" w:color="auto"/>
            </w:tcBorders>
          </w:tcPr>
          <w:p>
            <w:pPr>
              <w:spacing w:after="0"/>
              <w:rPr>
                <w:sz w:val="16"/>
                <w:szCs w:val="16"/>
                <w:color w:val="auto"/>
              </w:rPr>
            </w:pPr>
          </w:p>
        </w:tc>
      </w:tr>
      <w:tr>
        <w:trPr>
          <w:trHeight w:val="175"/>
        </w:trPr>
        <w:tc>
          <w:tcPr>
            <w:tcW w:w="4020" w:type="dxa"/>
            <w:vAlign w:val="bottom"/>
          </w:tcPr>
          <w:p>
            <w:pPr>
              <w:spacing w:after="0"/>
              <w:rPr>
                <w:sz w:val="15"/>
                <w:szCs w:val="15"/>
                <w:color w:val="auto"/>
              </w:rPr>
            </w:pPr>
          </w:p>
        </w:tc>
        <w:tc>
          <w:tcPr>
            <w:tcW w:w="2320" w:type="dxa"/>
            <w:vAlign w:val="bottom"/>
          </w:tcPr>
          <w:p>
            <w:pPr>
              <w:jc w:val="right"/>
              <w:ind w:right="23"/>
              <w:spacing w:after="0"/>
              <w:rPr>
                <w:sz w:val="20"/>
                <w:szCs w:val="20"/>
                <w:color w:val="auto"/>
              </w:rPr>
            </w:pPr>
            <w:r>
              <w:rPr>
                <w:rFonts w:ascii="Arial" w:cs="Arial" w:eastAsia="Arial" w:hAnsi="Arial"/>
                <w:sz w:val="15"/>
                <w:szCs w:val="15"/>
                <w:b w:val="1"/>
                <w:bCs w:val="1"/>
                <w:color w:val="auto"/>
              </w:rPr>
              <w:t>May 5,</w:t>
            </w:r>
          </w:p>
        </w:tc>
        <w:tc>
          <w:tcPr>
            <w:tcW w:w="8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April 29,</w:t>
            </w:r>
          </w:p>
        </w:tc>
        <w:tc>
          <w:tcPr>
            <w:tcW w:w="740" w:type="dxa"/>
            <w:vAlign w:val="bottom"/>
          </w:tcPr>
          <w:p>
            <w:pPr>
              <w:spacing w:after="0"/>
              <w:rPr>
                <w:sz w:val="15"/>
                <w:szCs w:val="15"/>
                <w:color w:val="auto"/>
              </w:rPr>
            </w:pPr>
          </w:p>
        </w:tc>
      </w:tr>
      <w:tr>
        <w:trPr>
          <w:trHeight w:val="194"/>
        </w:trPr>
        <w:tc>
          <w:tcPr>
            <w:tcW w:w="40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2018</w:t>
            </w:r>
          </w:p>
        </w:tc>
        <w:tc>
          <w:tcPr>
            <w:tcW w:w="8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2017</w:t>
            </w:r>
          </w:p>
        </w:tc>
        <w:tc>
          <w:tcPr>
            <w:tcW w:w="740" w:type="dxa"/>
            <w:vAlign w:val="bottom"/>
            <w:tcBorders>
              <w:bottom w:val="single" w:sz="8" w:color="auto"/>
            </w:tcBorders>
          </w:tcPr>
          <w:p>
            <w:pPr>
              <w:spacing w:after="0"/>
              <w:rPr>
                <w:sz w:val="16"/>
                <w:szCs w:val="16"/>
                <w:color w:val="auto"/>
              </w:rPr>
            </w:pPr>
          </w:p>
        </w:tc>
      </w:tr>
      <w:tr>
        <w:trPr>
          <w:trHeight w:val="175"/>
        </w:trPr>
        <w:tc>
          <w:tcPr>
            <w:tcW w:w="402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2"/>
          </w:tcPr>
          <w:p>
            <w:pPr>
              <w:jc w:val="right"/>
              <w:ind w:right="723"/>
              <w:spacing w:after="0"/>
              <w:rPr>
                <w:sz w:val="20"/>
                <w:szCs w:val="20"/>
                <w:color w:val="auto"/>
              </w:rPr>
            </w:pPr>
            <w:r>
              <w:rPr>
                <w:rFonts w:ascii="Arial" w:cs="Arial" w:eastAsia="Arial" w:hAnsi="Arial"/>
                <w:sz w:val="15"/>
                <w:szCs w:val="15"/>
                <w:color w:val="auto"/>
              </w:rPr>
              <w:t>($ in millions)</w:t>
            </w:r>
          </w:p>
        </w:tc>
        <w:tc>
          <w:tcPr>
            <w:tcW w:w="740" w:type="dxa"/>
            <w:vAlign w:val="bottom"/>
            <w:tcBorders>
              <w:bottom w:val="single" w:sz="8" w:color="auto"/>
            </w:tcBorders>
          </w:tcPr>
          <w:p>
            <w:pPr>
              <w:spacing w:after="0"/>
              <w:rPr>
                <w:sz w:val="15"/>
                <w:szCs w:val="15"/>
                <w:color w:val="auto"/>
              </w:rPr>
            </w:pPr>
          </w:p>
        </w:tc>
      </w:tr>
      <w:tr>
        <w:trPr>
          <w:trHeight w:val="187"/>
        </w:trPr>
        <w:tc>
          <w:tcPr>
            <w:tcW w:w="40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Stores</w:t>
            </w:r>
          </w:p>
        </w:tc>
        <w:tc>
          <w:tcPr>
            <w:tcW w:w="2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207"/>
        </w:trPr>
        <w:tc>
          <w:tcPr>
            <w:tcW w:w="4020" w:type="dxa"/>
            <w:vAlign w:val="bottom"/>
          </w:tcPr>
          <w:p>
            <w:pPr>
              <w:spacing w:after="0"/>
              <w:rPr>
                <w:sz w:val="20"/>
                <w:szCs w:val="20"/>
                <w:color w:val="auto"/>
              </w:rPr>
            </w:pPr>
            <w:r>
              <w:rPr>
                <w:rFonts w:ascii="Arial" w:cs="Arial" w:eastAsia="Arial" w:hAnsi="Arial"/>
                <w:sz w:val="15"/>
                <w:szCs w:val="15"/>
                <w:color w:val="auto"/>
              </w:rPr>
              <w:t>Sales</w:t>
            </w:r>
          </w:p>
        </w:tc>
        <w:tc>
          <w:tcPr>
            <w:tcW w:w="2320" w:type="dxa"/>
            <w:vAlign w:val="bottom"/>
          </w:tcPr>
          <w:p>
            <w:pPr>
              <w:jc w:val="right"/>
              <w:ind w:right="883"/>
              <w:spacing w:after="0"/>
              <w:rPr>
                <w:sz w:val="20"/>
                <w:szCs w:val="20"/>
                <w:color w:val="auto"/>
              </w:rPr>
            </w:pPr>
            <w:r>
              <w:rPr>
                <w:rFonts w:ascii="Arial" w:cs="Arial" w:eastAsia="Arial" w:hAnsi="Arial"/>
                <w:sz w:val="15"/>
                <w:szCs w:val="15"/>
                <w:b w:val="1"/>
                <w:bCs w:val="1"/>
                <w:color w:val="auto"/>
              </w:rPr>
              <w:t>$</w:t>
            </w:r>
          </w:p>
        </w:tc>
        <w:tc>
          <w:tcPr>
            <w:tcW w:w="820" w:type="dxa"/>
            <w:vAlign w:val="bottom"/>
          </w:tcPr>
          <w:p>
            <w:pPr>
              <w:jc w:val="right"/>
              <w:ind w:right="243"/>
              <w:spacing w:after="0"/>
              <w:rPr>
                <w:sz w:val="20"/>
                <w:szCs w:val="20"/>
                <w:color w:val="auto"/>
              </w:rPr>
            </w:pPr>
            <w:r>
              <w:rPr>
                <w:rFonts w:ascii="Arial" w:cs="Arial" w:eastAsia="Arial" w:hAnsi="Arial"/>
                <w:sz w:val="15"/>
                <w:szCs w:val="15"/>
                <w:b w:val="1"/>
                <w:bCs w:val="1"/>
                <w:color w:val="auto"/>
              </w:rPr>
              <w:t>1,743</w:t>
            </w:r>
          </w:p>
        </w:tc>
        <w:tc>
          <w:tcPr>
            <w:tcW w:w="1200" w:type="dxa"/>
            <w:vAlign w:val="bottom"/>
          </w:tcPr>
          <w:p>
            <w:pPr>
              <w:jc w:val="right"/>
              <w:ind w:right="903"/>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203"/>
              <w:spacing w:after="0"/>
              <w:rPr>
                <w:sz w:val="20"/>
                <w:szCs w:val="20"/>
                <w:color w:val="auto"/>
              </w:rPr>
            </w:pPr>
            <w:r>
              <w:rPr>
                <w:rFonts w:ascii="Arial" w:cs="Arial" w:eastAsia="Arial" w:hAnsi="Arial"/>
                <w:sz w:val="15"/>
                <w:szCs w:val="15"/>
                <w:color w:val="auto"/>
              </w:rPr>
              <w:t>1,722</w:t>
            </w:r>
          </w:p>
        </w:tc>
      </w:tr>
      <w:tr>
        <w:trPr>
          <w:trHeight w:val="207"/>
        </w:trPr>
        <w:tc>
          <w:tcPr>
            <w:tcW w:w="4020" w:type="dxa"/>
            <w:vAlign w:val="bottom"/>
            <w:shd w:val="clear" w:color="auto" w:fill="CCEEFF"/>
          </w:tcPr>
          <w:p>
            <w:pPr>
              <w:spacing w:after="0"/>
              <w:rPr>
                <w:sz w:val="20"/>
                <w:szCs w:val="20"/>
                <w:color w:val="auto"/>
              </w:rPr>
            </w:pPr>
            <w:r>
              <w:rPr>
                <w:rFonts w:ascii="Arial" w:cs="Arial" w:eastAsia="Arial" w:hAnsi="Arial"/>
                <w:sz w:val="15"/>
                <w:szCs w:val="15"/>
                <w:color w:val="auto"/>
              </w:rPr>
              <w:t>$ Change</w:t>
            </w:r>
          </w:p>
        </w:tc>
        <w:tc>
          <w:tcPr>
            <w:tcW w:w="2320" w:type="dxa"/>
            <w:vAlign w:val="bottom"/>
            <w:shd w:val="clear" w:color="auto" w:fill="CCEEFF"/>
          </w:tcPr>
          <w:p>
            <w:pPr>
              <w:jc w:val="right"/>
              <w:ind w:right="883"/>
              <w:spacing w:after="0"/>
              <w:rPr>
                <w:sz w:val="20"/>
                <w:szCs w:val="20"/>
                <w:color w:val="auto"/>
              </w:rPr>
            </w:pPr>
            <w:r>
              <w:rPr>
                <w:rFonts w:ascii="Arial" w:cs="Arial" w:eastAsia="Arial" w:hAnsi="Arial"/>
                <w:sz w:val="15"/>
                <w:szCs w:val="15"/>
                <w:b w:val="1"/>
                <w:bCs w:val="1"/>
                <w:color w:val="auto"/>
              </w:rPr>
              <w:t>$</w:t>
            </w:r>
          </w:p>
        </w:tc>
        <w:tc>
          <w:tcPr>
            <w:tcW w:w="820" w:type="dxa"/>
            <w:vAlign w:val="bottom"/>
            <w:shd w:val="clear" w:color="auto" w:fill="CCEEFF"/>
          </w:tcPr>
          <w:p>
            <w:pPr>
              <w:jc w:val="right"/>
              <w:ind w:right="243"/>
              <w:spacing w:after="0"/>
              <w:rPr>
                <w:sz w:val="20"/>
                <w:szCs w:val="20"/>
                <w:color w:val="auto"/>
              </w:rPr>
            </w:pPr>
            <w:r>
              <w:rPr>
                <w:rFonts w:ascii="Arial" w:cs="Arial" w:eastAsia="Arial" w:hAnsi="Arial"/>
                <w:sz w:val="15"/>
                <w:szCs w:val="15"/>
                <w:b w:val="1"/>
                <w:bCs w:val="1"/>
                <w:color w:val="auto"/>
              </w:rPr>
              <w:t>21</w:t>
            </w:r>
          </w:p>
        </w:tc>
        <w:tc>
          <w:tcPr>
            <w:tcW w:w="1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7"/>
        </w:trPr>
        <w:tc>
          <w:tcPr>
            <w:tcW w:w="4020" w:type="dxa"/>
            <w:vAlign w:val="bottom"/>
          </w:tcPr>
          <w:p>
            <w:pPr>
              <w:spacing w:after="0"/>
              <w:rPr>
                <w:sz w:val="20"/>
                <w:szCs w:val="20"/>
                <w:color w:val="auto"/>
              </w:rPr>
            </w:pPr>
            <w:r>
              <w:rPr>
                <w:rFonts w:ascii="Arial" w:cs="Arial" w:eastAsia="Arial" w:hAnsi="Arial"/>
                <w:sz w:val="15"/>
                <w:szCs w:val="15"/>
                <w:color w:val="auto"/>
              </w:rPr>
              <w:t>% Change</w:t>
            </w:r>
          </w:p>
        </w:tc>
        <w:tc>
          <w:tcPr>
            <w:tcW w:w="2320" w:type="dxa"/>
            <w:vAlign w:val="bottom"/>
          </w:tcPr>
          <w:p>
            <w:pPr>
              <w:spacing w:after="0"/>
              <w:rPr>
                <w:sz w:val="17"/>
                <w:szCs w:val="17"/>
                <w:color w:val="auto"/>
              </w:rPr>
            </w:pPr>
          </w:p>
        </w:tc>
        <w:tc>
          <w:tcPr>
            <w:tcW w:w="820" w:type="dxa"/>
            <w:vAlign w:val="bottom"/>
          </w:tcPr>
          <w:p>
            <w:pPr>
              <w:jc w:val="right"/>
              <w:ind w:right="63"/>
              <w:spacing w:after="0"/>
              <w:rPr>
                <w:sz w:val="20"/>
                <w:szCs w:val="20"/>
                <w:color w:val="auto"/>
              </w:rPr>
            </w:pPr>
            <w:r>
              <w:rPr>
                <w:rFonts w:ascii="Arial" w:cs="Arial" w:eastAsia="Arial" w:hAnsi="Arial"/>
                <w:sz w:val="15"/>
                <w:szCs w:val="15"/>
                <w:b w:val="1"/>
                <w:bCs w:val="1"/>
                <w:color w:val="auto"/>
              </w:rPr>
              <w:t>1.2 %</w:t>
            </w:r>
          </w:p>
        </w:tc>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7"/>
        </w:trPr>
        <w:tc>
          <w:tcPr>
            <w:tcW w:w="4020" w:type="dxa"/>
            <w:vAlign w:val="bottom"/>
            <w:shd w:val="clear" w:color="auto" w:fill="CCEEFF"/>
          </w:tcPr>
          <w:p>
            <w:pPr>
              <w:spacing w:after="0"/>
              <w:rPr>
                <w:sz w:val="20"/>
                <w:szCs w:val="20"/>
                <w:color w:val="auto"/>
              </w:rPr>
            </w:pPr>
            <w:r>
              <w:rPr>
                <w:rFonts w:ascii="Arial" w:cs="Arial" w:eastAsia="Arial" w:hAnsi="Arial"/>
                <w:sz w:val="15"/>
                <w:szCs w:val="15"/>
                <w:color w:val="auto"/>
              </w:rPr>
              <w:t>% of total sales</w:t>
            </w:r>
          </w:p>
        </w:tc>
        <w:tc>
          <w:tcPr>
            <w:tcW w:w="23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86.1 %</w:t>
            </w:r>
          </w:p>
        </w:tc>
        <w:tc>
          <w:tcPr>
            <w:tcW w:w="12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86.1 %</w:t>
            </w:r>
          </w:p>
        </w:tc>
      </w:tr>
      <w:tr>
        <w:trPr>
          <w:trHeight w:val="207"/>
        </w:trPr>
        <w:tc>
          <w:tcPr>
            <w:tcW w:w="4020" w:type="dxa"/>
            <w:vAlign w:val="bottom"/>
          </w:tcPr>
          <w:p>
            <w:pPr>
              <w:spacing w:after="0"/>
              <w:rPr>
                <w:sz w:val="20"/>
                <w:szCs w:val="20"/>
                <w:color w:val="auto"/>
              </w:rPr>
            </w:pPr>
            <w:r>
              <w:rPr>
                <w:rFonts w:ascii="Arial" w:cs="Arial" w:eastAsia="Arial" w:hAnsi="Arial"/>
                <w:sz w:val="15"/>
                <w:szCs w:val="15"/>
                <w:color w:val="auto"/>
              </w:rPr>
              <w:t>Comparable sales (decrease)</w:t>
            </w:r>
          </w:p>
        </w:tc>
        <w:tc>
          <w:tcPr>
            <w:tcW w:w="2320" w:type="dxa"/>
            <w:vAlign w:val="bottom"/>
          </w:tcPr>
          <w:p>
            <w:pPr>
              <w:spacing w:after="0"/>
              <w:rPr>
                <w:sz w:val="17"/>
                <w:szCs w:val="17"/>
                <w:color w:val="auto"/>
              </w:rPr>
            </w:pPr>
          </w:p>
        </w:tc>
        <w:tc>
          <w:tcPr>
            <w:tcW w:w="820" w:type="dxa"/>
            <w:vAlign w:val="bottom"/>
          </w:tcPr>
          <w:p>
            <w:pPr>
              <w:jc w:val="right"/>
              <w:ind w:right="63"/>
              <w:spacing w:after="0"/>
              <w:rPr>
                <w:sz w:val="20"/>
                <w:szCs w:val="20"/>
                <w:color w:val="auto"/>
              </w:rPr>
            </w:pPr>
            <w:r>
              <w:rPr>
                <w:rFonts w:ascii="Arial" w:cs="Arial" w:eastAsia="Arial" w:hAnsi="Arial"/>
                <w:sz w:val="15"/>
                <w:szCs w:val="15"/>
                <w:b w:val="1"/>
                <w:bCs w:val="1"/>
                <w:color w:val="auto"/>
              </w:rPr>
              <w:t>(3.1)%</w:t>
            </w:r>
          </w:p>
        </w:tc>
        <w:tc>
          <w:tcPr>
            <w:tcW w:w="1200" w:type="dxa"/>
            <w:vAlign w:val="bottom"/>
          </w:tcPr>
          <w:p>
            <w:pPr>
              <w:spacing w:after="0"/>
              <w:rPr>
                <w:sz w:val="17"/>
                <w:szCs w:val="17"/>
                <w:color w:val="auto"/>
              </w:rPr>
            </w:pP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(1.2)%</w:t>
            </w:r>
          </w:p>
        </w:tc>
      </w:tr>
      <w:tr>
        <w:trPr>
          <w:trHeight w:val="207"/>
        </w:trPr>
        <w:tc>
          <w:tcPr>
            <w:tcW w:w="402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7"/>
        </w:trPr>
        <w:tc>
          <w:tcPr>
            <w:tcW w:w="4020" w:type="dxa"/>
            <w:vAlign w:val="bottom"/>
          </w:tcPr>
          <w:p>
            <w:pPr>
              <w:spacing w:after="0"/>
              <w:rPr>
                <w:sz w:val="20"/>
                <w:szCs w:val="20"/>
                <w:color w:val="auto"/>
              </w:rPr>
            </w:pPr>
            <w:r>
              <w:rPr>
                <w:rFonts w:ascii="Arial" w:cs="Arial" w:eastAsia="Arial" w:hAnsi="Arial"/>
                <w:sz w:val="15"/>
                <w:szCs w:val="15"/>
                <w:b w:val="1"/>
                <w:bCs w:val="1"/>
                <w:color w:val="auto"/>
              </w:rPr>
              <w:t>Direct-to-customers</w:t>
            </w:r>
          </w:p>
        </w:tc>
        <w:tc>
          <w:tcPr>
            <w:tcW w:w="2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7"/>
        </w:trPr>
        <w:tc>
          <w:tcPr>
            <w:tcW w:w="4020" w:type="dxa"/>
            <w:vAlign w:val="bottom"/>
            <w:shd w:val="clear" w:color="auto" w:fill="CCEEFF"/>
          </w:tcPr>
          <w:p>
            <w:pPr>
              <w:spacing w:after="0"/>
              <w:rPr>
                <w:sz w:val="20"/>
                <w:szCs w:val="20"/>
                <w:color w:val="auto"/>
              </w:rPr>
            </w:pPr>
            <w:r>
              <w:rPr>
                <w:rFonts w:ascii="Arial" w:cs="Arial" w:eastAsia="Arial" w:hAnsi="Arial"/>
                <w:sz w:val="15"/>
                <w:szCs w:val="15"/>
                <w:color w:val="auto"/>
              </w:rPr>
              <w:t>Sales</w:t>
            </w:r>
          </w:p>
        </w:tc>
        <w:tc>
          <w:tcPr>
            <w:tcW w:w="2320" w:type="dxa"/>
            <w:vAlign w:val="bottom"/>
            <w:shd w:val="clear" w:color="auto" w:fill="CCEEFF"/>
          </w:tcPr>
          <w:p>
            <w:pPr>
              <w:jc w:val="right"/>
              <w:ind w:right="883"/>
              <w:spacing w:after="0"/>
              <w:rPr>
                <w:sz w:val="20"/>
                <w:szCs w:val="20"/>
                <w:color w:val="auto"/>
              </w:rPr>
            </w:pPr>
            <w:r>
              <w:rPr>
                <w:rFonts w:ascii="Arial" w:cs="Arial" w:eastAsia="Arial" w:hAnsi="Arial"/>
                <w:sz w:val="15"/>
                <w:szCs w:val="15"/>
                <w:b w:val="1"/>
                <w:bCs w:val="1"/>
                <w:color w:val="auto"/>
              </w:rPr>
              <w:t>$</w:t>
            </w:r>
          </w:p>
        </w:tc>
        <w:tc>
          <w:tcPr>
            <w:tcW w:w="820" w:type="dxa"/>
            <w:vAlign w:val="bottom"/>
            <w:shd w:val="clear" w:color="auto" w:fill="CCEEFF"/>
          </w:tcPr>
          <w:p>
            <w:pPr>
              <w:jc w:val="right"/>
              <w:ind w:right="243"/>
              <w:spacing w:after="0"/>
              <w:rPr>
                <w:sz w:val="20"/>
                <w:szCs w:val="20"/>
                <w:color w:val="auto"/>
              </w:rPr>
            </w:pPr>
            <w:r>
              <w:rPr>
                <w:rFonts w:ascii="Arial" w:cs="Arial" w:eastAsia="Arial" w:hAnsi="Arial"/>
                <w:sz w:val="15"/>
                <w:szCs w:val="15"/>
                <w:b w:val="1"/>
                <w:bCs w:val="1"/>
                <w:color w:val="auto"/>
              </w:rPr>
              <w:t>282</w:t>
            </w:r>
          </w:p>
        </w:tc>
        <w:tc>
          <w:tcPr>
            <w:tcW w:w="1200" w:type="dxa"/>
            <w:vAlign w:val="bottom"/>
            <w:shd w:val="clear" w:color="auto" w:fill="CCEEFF"/>
          </w:tcPr>
          <w:p>
            <w:pPr>
              <w:jc w:val="right"/>
              <w:ind w:right="903"/>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279</w:t>
            </w:r>
          </w:p>
        </w:tc>
      </w:tr>
      <w:tr>
        <w:trPr>
          <w:trHeight w:val="207"/>
        </w:trPr>
        <w:tc>
          <w:tcPr>
            <w:tcW w:w="4020" w:type="dxa"/>
            <w:vAlign w:val="bottom"/>
          </w:tcPr>
          <w:p>
            <w:pPr>
              <w:spacing w:after="0"/>
              <w:rPr>
                <w:sz w:val="20"/>
                <w:szCs w:val="20"/>
                <w:color w:val="auto"/>
              </w:rPr>
            </w:pPr>
            <w:r>
              <w:rPr>
                <w:rFonts w:ascii="Arial" w:cs="Arial" w:eastAsia="Arial" w:hAnsi="Arial"/>
                <w:sz w:val="15"/>
                <w:szCs w:val="15"/>
                <w:color w:val="auto"/>
              </w:rPr>
              <w:t>$ Change</w:t>
            </w:r>
          </w:p>
        </w:tc>
        <w:tc>
          <w:tcPr>
            <w:tcW w:w="2320" w:type="dxa"/>
            <w:vAlign w:val="bottom"/>
          </w:tcPr>
          <w:p>
            <w:pPr>
              <w:jc w:val="right"/>
              <w:ind w:right="883"/>
              <w:spacing w:after="0"/>
              <w:rPr>
                <w:sz w:val="20"/>
                <w:szCs w:val="20"/>
                <w:color w:val="auto"/>
              </w:rPr>
            </w:pPr>
            <w:r>
              <w:rPr>
                <w:rFonts w:ascii="Arial" w:cs="Arial" w:eastAsia="Arial" w:hAnsi="Arial"/>
                <w:sz w:val="15"/>
                <w:szCs w:val="15"/>
                <w:b w:val="1"/>
                <w:bCs w:val="1"/>
                <w:color w:val="auto"/>
              </w:rPr>
              <w:t>$</w:t>
            </w:r>
          </w:p>
        </w:tc>
        <w:tc>
          <w:tcPr>
            <w:tcW w:w="820" w:type="dxa"/>
            <w:vAlign w:val="bottom"/>
          </w:tcPr>
          <w:p>
            <w:pPr>
              <w:jc w:val="right"/>
              <w:ind w:right="243"/>
              <w:spacing w:after="0"/>
              <w:rPr>
                <w:sz w:val="20"/>
                <w:szCs w:val="20"/>
                <w:color w:val="auto"/>
              </w:rPr>
            </w:pPr>
            <w:r>
              <w:rPr>
                <w:rFonts w:ascii="Arial" w:cs="Arial" w:eastAsia="Arial" w:hAnsi="Arial"/>
                <w:sz w:val="15"/>
                <w:szCs w:val="15"/>
                <w:b w:val="1"/>
                <w:bCs w:val="1"/>
                <w:color w:val="auto"/>
              </w:rPr>
              <w:t>3</w:t>
            </w:r>
          </w:p>
        </w:tc>
        <w:tc>
          <w:tcPr>
            <w:tcW w:w="1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7"/>
        </w:trPr>
        <w:tc>
          <w:tcPr>
            <w:tcW w:w="4020" w:type="dxa"/>
            <w:vAlign w:val="bottom"/>
            <w:shd w:val="clear" w:color="auto" w:fill="CCEEFF"/>
          </w:tcPr>
          <w:p>
            <w:pPr>
              <w:spacing w:after="0"/>
              <w:rPr>
                <w:sz w:val="20"/>
                <w:szCs w:val="20"/>
                <w:color w:val="auto"/>
              </w:rPr>
            </w:pPr>
            <w:r>
              <w:rPr>
                <w:rFonts w:ascii="Arial" w:cs="Arial" w:eastAsia="Arial" w:hAnsi="Arial"/>
                <w:sz w:val="15"/>
                <w:szCs w:val="15"/>
                <w:color w:val="auto"/>
              </w:rPr>
              <w:t>% Change</w:t>
            </w:r>
          </w:p>
        </w:tc>
        <w:tc>
          <w:tcPr>
            <w:tcW w:w="23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1.1 %</w:t>
            </w:r>
          </w:p>
        </w:tc>
        <w:tc>
          <w:tcPr>
            <w:tcW w:w="1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7"/>
        </w:trPr>
        <w:tc>
          <w:tcPr>
            <w:tcW w:w="4020" w:type="dxa"/>
            <w:vAlign w:val="bottom"/>
          </w:tcPr>
          <w:p>
            <w:pPr>
              <w:spacing w:after="0"/>
              <w:rPr>
                <w:sz w:val="20"/>
                <w:szCs w:val="20"/>
                <w:color w:val="auto"/>
              </w:rPr>
            </w:pPr>
            <w:r>
              <w:rPr>
                <w:rFonts w:ascii="Arial" w:cs="Arial" w:eastAsia="Arial" w:hAnsi="Arial"/>
                <w:sz w:val="15"/>
                <w:szCs w:val="15"/>
                <w:color w:val="auto"/>
              </w:rPr>
              <w:t>% of total sales</w:t>
            </w:r>
          </w:p>
        </w:tc>
        <w:tc>
          <w:tcPr>
            <w:tcW w:w="2320" w:type="dxa"/>
            <w:vAlign w:val="bottom"/>
          </w:tcPr>
          <w:p>
            <w:pPr>
              <w:spacing w:after="0"/>
              <w:rPr>
                <w:sz w:val="17"/>
                <w:szCs w:val="17"/>
                <w:color w:val="auto"/>
              </w:rPr>
            </w:pPr>
          </w:p>
        </w:tc>
        <w:tc>
          <w:tcPr>
            <w:tcW w:w="820" w:type="dxa"/>
            <w:vAlign w:val="bottom"/>
          </w:tcPr>
          <w:p>
            <w:pPr>
              <w:jc w:val="right"/>
              <w:ind w:right="63"/>
              <w:spacing w:after="0"/>
              <w:rPr>
                <w:sz w:val="20"/>
                <w:szCs w:val="20"/>
                <w:color w:val="auto"/>
              </w:rPr>
            </w:pPr>
            <w:r>
              <w:rPr>
                <w:rFonts w:ascii="Arial" w:cs="Arial" w:eastAsia="Arial" w:hAnsi="Arial"/>
                <w:sz w:val="15"/>
                <w:szCs w:val="15"/>
                <w:b w:val="1"/>
                <w:bCs w:val="1"/>
                <w:color w:val="auto"/>
              </w:rPr>
              <w:t>13.9 %</w:t>
            </w:r>
          </w:p>
        </w:tc>
        <w:tc>
          <w:tcPr>
            <w:tcW w:w="1200" w:type="dxa"/>
            <w:vAlign w:val="bottom"/>
          </w:tcPr>
          <w:p>
            <w:pPr>
              <w:spacing w:after="0"/>
              <w:rPr>
                <w:sz w:val="17"/>
                <w:szCs w:val="17"/>
                <w:color w:val="auto"/>
              </w:rPr>
            </w:pPr>
          </w:p>
        </w:tc>
        <w:tc>
          <w:tcPr>
            <w:tcW w:w="740" w:type="dxa"/>
            <w:vAlign w:val="bottom"/>
          </w:tcPr>
          <w:p>
            <w:pPr>
              <w:jc w:val="right"/>
              <w:ind w:right="23"/>
              <w:spacing w:after="0"/>
              <w:rPr>
                <w:sz w:val="20"/>
                <w:szCs w:val="20"/>
                <w:color w:val="auto"/>
              </w:rPr>
            </w:pPr>
            <w:r>
              <w:rPr>
                <w:rFonts w:ascii="Arial" w:cs="Arial" w:eastAsia="Arial" w:hAnsi="Arial"/>
                <w:sz w:val="15"/>
                <w:szCs w:val="15"/>
                <w:color w:val="auto"/>
              </w:rPr>
              <w:t>13.9 %</w:t>
            </w:r>
          </w:p>
        </w:tc>
      </w:tr>
      <w:tr>
        <w:trPr>
          <w:trHeight w:val="207"/>
        </w:trPr>
        <w:tc>
          <w:tcPr>
            <w:tcW w:w="4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Comparable sales (decrease) / increase</w:t>
            </w:r>
          </w:p>
        </w:tc>
        <w:tc>
          <w:tcPr>
            <w:tcW w:w="23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(0.5)%</w:t>
            </w:r>
          </w:p>
        </w:tc>
        <w:tc>
          <w:tcPr>
            <w:tcW w:w="1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12.1 %</w:t>
            </w:r>
          </w:p>
        </w:tc>
      </w:tr>
    </w:tbl>
    <w:p>
      <w:pPr>
        <w:spacing w:after="0" w:line="165"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Effective with the first quarter of 2018, the Company discloses one reportable segment and accordingly the following discussion describes the changes in sales by banner on an omni-channel basis, meaning that each banner’s results are inclusive of their store and e-commerce activity.</w:t>
      </w:r>
    </w:p>
    <w:p>
      <w:pPr>
        <w:spacing w:after="0" w:line="153" w:lineRule="exact"/>
        <w:rPr>
          <w:sz w:val="20"/>
          <w:szCs w:val="20"/>
          <w:color w:val="auto"/>
        </w:rPr>
      </w:pPr>
    </w:p>
    <w:p>
      <w:pPr>
        <w:jc w:val="both"/>
        <w:spacing w:after="0" w:line="239" w:lineRule="auto"/>
        <w:rPr>
          <w:sz w:val="20"/>
          <w:szCs w:val="20"/>
          <w:color w:val="auto"/>
        </w:rPr>
      </w:pPr>
      <w:r>
        <w:rPr>
          <w:rFonts w:ascii="Arial" w:cs="Arial" w:eastAsia="Arial" w:hAnsi="Arial"/>
          <w:sz w:val="15"/>
          <w:szCs w:val="15"/>
          <w:color w:val="auto"/>
        </w:rPr>
        <w:t>Excluding the effect of foreign currency, sales declined for the thirteen weeks ended May 5, 2018 and was primarily related to declines in our Foot Locker Europe, Champs Sports, Runners Point, Sidestep, and Footaction banners. The sales decline for these banners primarily reflected a decrease in footwear sales, which was partially offset by gains in apparel for most of these banners. Our European businesses were negatively affected by the decline in popularity of certain casual footwear styles. Foot Locker and Kids Foot Locker both experienced an increase in sales, which was primarily driven by the apparel category in addition to gains in the children’s footwear category. Our e-commerce business in Europe experienced a decline, while our U.S. e-commerce business was relatively flat with the prior year on a comparable basis.</w:t>
      </w:r>
    </w:p>
    <w:p>
      <w:pPr>
        <w:spacing w:after="0" w:line="160"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The footwear category experienced a decline during the quarter and was primarily caused by a decline in men’s basketball, which was offset, in part, by an increase in certain running styles. The comparable-store sales decline in women’s footwear primarily reflected decreases in women’s running and court styles reflecting the prior-year success of certain offerings with no such comparable offerings in the current year.</w:t>
      </w:r>
    </w:p>
    <w:p>
      <w:pPr>
        <w:spacing w:after="0" w:line="156"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overall comparable-store increase in apparel was produced by the majority of our banners, as this category performed very well during the quarter. The gains primarily reflected comparable-store sales increases in men’s and children’s branded apparel, partially offset by a decline in men’s private label apparel.</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Gross Margin</w:t>
      </w:r>
    </w:p>
    <w:p>
      <w:pPr>
        <w:spacing w:after="0" w:line="32" w:lineRule="exact"/>
        <w:rPr>
          <w:sz w:val="20"/>
          <w:szCs w:val="20"/>
          <w:color w:val="auto"/>
        </w:rPr>
      </w:pPr>
    </w:p>
    <w:p>
      <w:pPr>
        <w:ind w:left="6580"/>
        <w:spacing w:after="0"/>
        <w:rPr>
          <w:sz w:val="20"/>
          <w:szCs w:val="20"/>
          <w:color w:val="auto"/>
        </w:rPr>
      </w:pPr>
      <w:r>
        <w:rPr>
          <w:rFonts w:ascii="Arial" w:cs="Arial" w:eastAsia="Arial" w:hAnsi="Arial"/>
          <w:sz w:val="15"/>
          <w:szCs w:val="15"/>
          <w:b w:val="1"/>
          <w:bCs w:val="1"/>
          <w:color w:val="auto"/>
        </w:rPr>
        <w:t>Thirteen weeks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Borders>
              <w:top w:val="single" w:sz="8" w:color="auto"/>
              <w:bottom w:val="single" w:sz="8" w:color="auto"/>
            </w:tcBorders>
          </w:tcPr>
          <w:p>
            <w:pPr>
              <w:spacing w:after="0"/>
              <w:rPr>
                <w:sz w:val="14"/>
                <w:szCs w:val="14"/>
                <w:color w:val="auto"/>
              </w:rPr>
            </w:pPr>
          </w:p>
        </w:tc>
        <w:tc>
          <w:tcPr>
            <w:tcW w:w="2320" w:type="dxa"/>
            <w:vAlign w:val="bottom"/>
            <w:tcBorders>
              <w:top w:val="single" w:sz="8" w:color="auto"/>
              <w:bottom w:val="single" w:sz="8" w:color="auto"/>
            </w:tcBorders>
          </w:tcPr>
          <w:p>
            <w:pPr>
              <w:jc w:val="right"/>
              <w:ind w:right="483"/>
              <w:spacing w:after="0" w:line="163" w:lineRule="exact"/>
              <w:rPr>
                <w:sz w:val="20"/>
                <w:szCs w:val="20"/>
                <w:color w:val="auto"/>
              </w:rPr>
            </w:pPr>
            <w:r>
              <w:rPr>
                <w:rFonts w:ascii="Arial" w:cs="Arial" w:eastAsia="Arial" w:hAnsi="Arial"/>
                <w:sz w:val="15"/>
                <w:szCs w:val="15"/>
                <w:b w:val="1"/>
                <w:bCs w:val="1"/>
                <w:color w:val="auto"/>
              </w:rPr>
              <w:t>May 5, 2018</w:t>
            </w:r>
          </w:p>
        </w:tc>
        <w:tc>
          <w:tcPr>
            <w:tcW w:w="1680" w:type="dxa"/>
            <w:vAlign w:val="bottom"/>
            <w:tcBorders>
              <w:top w:val="single" w:sz="8" w:color="auto"/>
              <w:bottom w:val="single" w:sz="8" w:color="auto"/>
            </w:tcBorders>
          </w:tcPr>
          <w:p>
            <w:pPr>
              <w:jc w:val="right"/>
              <w:ind w:right="203"/>
              <w:spacing w:after="0" w:line="163" w:lineRule="exact"/>
              <w:rPr>
                <w:sz w:val="20"/>
                <w:szCs w:val="20"/>
                <w:color w:val="auto"/>
              </w:rPr>
            </w:pPr>
            <w:r>
              <w:rPr>
                <w:rFonts w:ascii="Arial" w:cs="Arial" w:eastAsia="Arial" w:hAnsi="Arial"/>
                <w:sz w:val="15"/>
                <w:szCs w:val="15"/>
                <w:b w:val="1"/>
                <w:bCs w:val="1"/>
                <w:color w:val="auto"/>
              </w:rPr>
              <w:t>April 29, 2017</w:t>
            </w:r>
          </w:p>
        </w:tc>
      </w:tr>
      <w:tr>
        <w:trPr>
          <w:trHeight w:val="187"/>
        </w:trPr>
        <w:tc>
          <w:tcPr>
            <w:tcW w:w="5100" w:type="dxa"/>
            <w:vAlign w:val="bottom"/>
            <w:shd w:val="clear" w:color="auto" w:fill="CCEEFF"/>
          </w:tcPr>
          <w:p>
            <w:pPr>
              <w:spacing w:after="0"/>
              <w:rPr>
                <w:sz w:val="20"/>
                <w:szCs w:val="20"/>
                <w:color w:val="auto"/>
              </w:rPr>
            </w:pPr>
            <w:r>
              <w:rPr>
                <w:rFonts w:ascii="Arial" w:cs="Arial" w:eastAsia="Arial" w:hAnsi="Arial"/>
                <w:sz w:val="15"/>
                <w:szCs w:val="15"/>
                <w:color w:val="auto"/>
              </w:rPr>
              <w:t>Gross margin rate</w:t>
            </w:r>
          </w:p>
        </w:tc>
        <w:tc>
          <w:tcPr>
            <w:tcW w:w="2320" w:type="dxa"/>
            <w:vAlign w:val="bottom"/>
            <w:shd w:val="clear" w:color="auto" w:fill="CCEEFF"/>
          </w:tcPr>
          <w:p>
            <w:pPr>
              <w:jc w:val="right"/>
              <w:ind w:right="323"/>
              <w:spacing w:after="0"/>
              <w:rPr>
                <w:sz w:val="20"/>
                <w:szCs w:val="20"/>
                <w:color w:val="auto"/>
              </w:rPr>
            </w:pPr>
            <w:r>
              <w:rPr>
                <w:rFonts w:ascii="Arial" w:cs="Arial" w:eastAsia="Arial" w:hAnsi="Arial"/>
                <w:sz w:val="15"/>
                <w:szCs w:val="15"/>
                <w:b w:val="1"/>
                <w:bCs w:val="1"/>
                <w:color w:val="auto"/>
              </w:rPr>
              <w:t>32.9 %</w:t>
            </w:r>
          </w:p>
        </w:tc>
        <w:tc>
          <w:tcPr>
            <w:tcW w:w="16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34.0 %</w:t>
            </w:r>
          </w:p>
        </w:tc>
      </w:tr>
      <w:tr>
        <w:trPr>
          <w:trHeight w:val="207"/>
        </w:trPr>
        <w:tc>
          <w:tcPr>
            <w:tcW w:w="5100" w:type="dxa"/>
            <w:vAlign w:val="bottom"/>
          </w:tcPr>
          <w:p>
            <w:pPr>
              <w:spacing w:after="0"/>
              <w:rPr>
                <w:sz w:val="20"/>
                <w:szCs w:val="20"/>
                <w:color w:val="auto"/>
              </w:rPr>
            </w:pPr>
            <w:r>
              <w:rPr>
                <w:rFonts w:ascii="Arial" w:cs="Arial" w:eastAsia="Arial" w:hAnsi="Arial"/>
                <w:sz w:val="15"/>
                <w:szCs w:val="15"/>
                <w:color w:val="auto"/>
              </w:rPr>
              <w:t>Basis point change in the gross margin rate</w:t>
            </w:r>
          </w:p>
        </w:tc>
        <w:tc>
          <w:tcPr>
            <w:tcW w:w="2320" w:type="dxa"/>
            <w:vAlign w:val="bottom"/>
          </w:tcPr>
          <w:p>
            <w:pPr>
              <w:jc w:val="right"/>
              <w:ind w:right="463"/>
              <w:spacing w:after="0"/>
              <w:rPr>
                <w:sz w:val="20"/>
                <w:szCs w:val="20"/>
                <w:color w:val="auto"/>
              </w:rPr>
            </w:pPr>
            <w:r>
              <w:rPr>
                <w:rFonts w:ascii="Arial" w:cs="Arial" w:eastAsia="Arial" w:hAnsi="Arial"/>
                <w:sz w:val="15"/>
                <w:szCs w:val="15"/>
                <w:b w:val="1"/>
                <w:bCs w:val="1"/>
                <w:color w:val="auto"/>
              </w:rPr>
              <w:t>(110)</w:t>
            </w:r>
          </w:p>
        </w:tc>
        <w:tc>
          <w:tcPr>
            <w:tcW w:w="1680" w:type="dxa"/>
            <w:vAlign w:val="bottom"/>
          </w:tcPr>
          <w:p>
            <w:pPr>
              <w:spacing w:after="0"/>
              <w:rPr>
                <w:sz w:val="17"/>
                <w:szCs w:val="17"/>
                <w:color w:val="auto"/>
              </w:rPr>
            </w:pPr>
          </w:p>
        </w:tc>
      </w:tr>
      <w:tr>
        <w:trPr>
          <w:trHeight w:val="207"/>
        </w:trPr>
        <w:tc>
          <w:tcPr>
            <w:tcW w:w="51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Components of the change-</w:t>
            </w:r>
          </w:p>
        </w:tc>
        <w:tc>
          <w:tcPr>
            <w:tcW w:w="23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r>
      <w:tr>
        <w:trPr>
          <w:trHeight w:val="207"/>
        </w:trPr>
        <w:tc>
          <w:tcPr>
            <w:tcW w:w="5100" w:type="dxa"/>
            <w:vAlign w:val="bottom"/>
          </w:tcPr>
          <w:p>
            <w:pPr>
              <w:ind w:left="200"/>
              <w:spacing w:after="0"/>
              <w:rPr>
                <w:sz w:val="20"/>
                <w:szCs w:val="20"/>
                <w:color w:val="auto"/>
              </w:rPr>
            </w:pPr>
            <w:r>
              <w:rPr>
                <w:rFonts w:ascii="Arial" w:cs="Arial" w:eastAsia="Arial" w:hAnsi="Arial"/>
                <w:sz w:val="15"/>
                <w:szCs w:val="15"/>
                <w:color w:val="auto"/>
              </w:rPr>
              <w:t>Decrease in the merchandise margin rate</w:t>
            </w:r>
          </w:p>
        </w:tc>
        <w:tc>
          <w:tcPr>
            <w:tcW w:w="2320" w:type="dxa"/>
            <w:vAlign w:val="bottom"/>
          </w:tcPr>
          <w:p>
            <w:pPr>
              <w:jc w:val="right"/>
              <w:ind w:right="463"/>
              <w:spacing w:after="0"/>
              <w:rPr>
                <w:sz w:val="20"/>
                <w:szCs w:val="20"/>
                <w:color w:val="auto"/>
              </w:rPr>
            </w:pPr>
            <w:r>
              <w:rPr>
                <w:rFonts w:ascii="Arial" w:cs="Arial" w:eastAsia="Arial" w:hAnsi="Arial"/>
                <w:sz w:val="15"/>
                <w:szCs w:val="15"/>
                <w:b w:val="1"/>
                <w:bCs w:val="1"/>
                <w:color w:val="auto"/>
              </w:rPr>
              <w:t>(60)</w:t>
            </w:r>
          </w:p>
        </w:tc>
        <w:tc>
          <w:tcPr>
            <w:tcW w:w="1680" w:type="dxa"/>
            <w:vAlign w:val="bottom"/>
          </w:tcPr>
          <w:p>
            <w:pPr>
              <w:spacing w:after="0"/>
              <w:rPr>
                <w:sz w:val="17"/>
                <w:szCs w:val="17"/>
                <w:color w:val="auto"/>
              </w:rPr>
            </w:pPr>
          </w:p>
        </w:tc>
      </w:tr>
      <w:tr>
        <w:trPr>
          <w:trHeight w:val="207"/>
        </w:trPr>
        <w:tc>
          <w:tcPr>
            <w:tcW w:w="510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5"/>
                <w:szCs w:val="15"/>
                <w:color w:val="auto"/>
              </w:rPr>
              <w:t>Higher occupancy and buyers' compensation expense rate</w:t>
            </w:r>
          </w:p>
        </w:tc>
        <w:tc>
          <w:tcPr>
            <w:tcW w:w="2320" w:type="dxa"/>
            <w:vAlign w:val="bottom"/>
            <w:tcBorders>
              <w:bottom w:val="single" w:sz="8" w:color="auto"/>
            </w:tcBorders>
            <w:shd w:val="clear" w:color="auto" w:fill="CCEEFF"/>
          </w:tcPr>
          <w:p>
            <w:pPr>
              <w:jc w:val="right"/>
              <w:ind w:right="463"/>
              <w:spacing w:after="0"/>
              <w:rPr>
                <w:sz w:val="20"/>
                <w:szCs w:val="20"/>
                <w:color w:val="auto"/>
              </w:rPr>
            </w:pPr>
            <w:r>
              <w:rPr>
                <w:rFonts w:ascii="Arial" w:cs="Arial" w:eastAsia="Arial" w:hAnsi="Arial"/>
                <w:sz w:val="15"/>
                <w:szCs w:val="15"/>
                <w:b w:val="1"/>
                <w:bCs w:val="1"/>
                <w:color w:val="auto"/>
              </w:rPr>
              <w:t>(50)</w:t>
            </w:r>
          </w:p>
        </w:tc>
        <w:tc>
          <w:tcPr>
            <w:tcW w:w="1680" w:type="dxa"/>
            <w:vAlign w:val="bottom"/>
            <w:tcBorders>
              <w:bottom w:val="single" w:sz="8" w:color="auto"/>
            </w:tcBorders>
            <w:shd w:val="clear" w:color="auto" w:fill="CCEEFF"/>
          </w:tcPr>
          <w:p>
            <w:pPr>
              <w:spacing w:after="0"/>
              <w:rPr>
                <w:sz w:val="17"/>
                <w:szCs w:val="17"/>
                <w:color w:val="auto"/>
              </w:rPr>
            </w:pPr>
          </w:p>
        </w:tc>
      </w:tr>
    </w:tbl>
    <w:p>
      <w:pPr>
        <w:spacing w:after="0" w:line="165"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Gross margin is calculated as sales minus cost of sales. Cost of sales includes: the cost of merchandise, freight, distribution costs including related depreciation expense, shipping and handling, occupancy and buyers’ compensation. Occupancy costs include rent, common area maintenance charges, real estate taxes, general maintenance, and utilities.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396" w:right="1399" w:bottom="1440" w:gutter="0" w:footer="0" w:header="0"/>
        </w:sectPr>
      </w:pPr>
    </w:p>
    <w:bookmarkStart w:id="21" w:name="page22"/>
    <w:bookmarkEnd w:id="21"/>
    <w:p>
      <w:pPr>
        <w:jc w:val="both"/>
        <w:spacing w:after="0"/>
        <w:rPr>
          <w:sz w:val="20"/>
          <w:szCs w:val="20"/>
          <w:color w:val="auto"/>
        </w:rPr>
      </w:pPr>
      <w:r>
        <w:rPr>
          <w:rFonts w:ascii="Arial" w:cs="Arial" w:eastAsia="Arial" w:hAnsi="Arial"/>
          <w:sz w:val="15"/>
          <w:szCs w:val="15"/>
          <w:color w:val="auto"/>
        </w:rPr>
        <w:t>The gross margin rate decreased by 110 basis points for the thirteen weeks ended May 5, 2018. The merchandise margin rate decline for the quarter primarily reflected higher markdown rates, as the Company was more promotional in order to proactively manage inventory levels at optimal levels. Additionally, although to a lesser degree, a decline in our shipping and handling revenue also negatively affected the merchandise margin rate. The higher occupancy and buyers’ compensation expense rate for the quarter reflected an increase in rent-related costs primarily attributed to several high-profile location leases entered into recently, partially offset by rent reductions in certain other stores.</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Selling, General and Administrative Expenses (SG&amp;A)</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540" w:type="dxa"/>
            <w:vAlign w:val="bottom"/>
            <w:tcBorders>
              <w:bottom w:val="single" w:sz="8" w:color="auto"/>
            </w:tcBorders>
          </w:tcPr>
          <w:p>
            <w:pPr>
              <w:spacing w:after="0"/>
              <w:rPr>
                <w:sz w:val="16"/>
                <w:szCs w:val="16"/>
                <w:color w:val="auto"/>
              </w:rPr>
            </w:pPr>
          </w:p>
        </w:tc>
        <w:tc>
          <w:tcPr>
            <w:tcW w:w="4920" w:type="dxa"/>
            <w:vAlign w:val="bottom"/>
            <w:tcBorders>
              <w:bottom w:val="single" w:sz="8" w:color="auto"/>
            </w:tcBorders>
            <w:gridSpan w:val="3"/>
          </w:tcPr>
          <w:p>
            <w:pPr>
              <w:jc w:val="right"/>
              <w:ind w:right="683"/>
              <w:spacing w:after="0"/>
              <w:rPr>
                <w:sz w:val="20"/>
                <w:szCs w:val="20"/>
                <w:color w:val="auto"/>
              </w:rPr>
            </w:pPr>
            <w:r>
              <w:rPr>
                <w:rFonts w:ascii="Arial" w:cs="Arial" w:eastAsia="Arial" w:hAnsi="Arial"/>
                <w:sz w:val="15"/>
                <w:szCs w:val="15"/>
                <w:b w:val="1"/>
                <w:bCs w:val="1"/>
                <w:color w:val="auto"/>
              </w:rPr>
              <w:t>Thirteen weeks ended</w:t>
            </w:r>
          </w:p>
        </w:tc>
        <w:tc>
          <w:tcPr>
            <w:tcW w:w="640" w:type="dxa"/>
            <w:vAlign w:val="bottom"/>
            <w:tcBorders>
              <w:bottom w:val="single" w:sz="8" w:color="auto"/>
            </w:tcBorders>
          </w:tcPr>
          <w:p>
            <w:pPr>
              <w:spacing w:after="0"/>
              <w:rPr>
                <w:sz w:val="16"/>
                <w:szCs w:val="16"/>
                <w:color w:val="auto"/>
              </w:rPr>
            </w:pPr>
          </w:p>
        </w:tc>
      </w:tr>
      <w:tr>
        <w:trPr>
          <w:trHeight w:val="162"/>
        </w:trPr>
        <w:tc>
          <w:tcPr>
            <w:tcW w:w="354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tcPr>
          <w:p>
            <w:pPr>
              <w:jc w:val="right"/>
              <w:ind w:right="3"/>
              <w:spacing w:after="0" w:line="163" w:lineRule="exact"/>
              <w:rPr>
                <w:sz w:val="20"/>
                <w:szCs w:val="20"/>
                <w:color w:val="auto"/>
              </w:rPr>
            </w:pPr>
            <w:r>
              <w:rPr>
                <w:rFonts w:ascii="Arial" w:cs="Arial" w:eastAsia="Arial" w:hAnsi="Arial"/>
                <w:sz w:val="15"/>
                <w:szCs w:val="15"/>
                <w:b w:val="1"/>
                <w:bCs w:val="1"/>
                <w:color w:val="auto"/>
              </w:rPr>
              <w:t>May 5, 2018</w:t>
            </w:r>
          </w:p>
        </w:tc>
        <w:tc>
          <w:tcPr>
            <w:tcW w:w="6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rPr>
              <w:t>April 29, 2017</w:t>
            </w:r>
          </w:p>
        </w:tc>
        <w:tc>
          <w:tcPr>
            <w:tcW w:w="640" w:type="dxa"/>
            <w:vAlign w:val="bottom"/>
            <w:tcBorders>
              <w:bottom w:val="single" w:sz="8" w:color="auto"/>
            </w:tcBorders>
          </w:tcPr>
          <w:p>
            <w:pPr>
              <w:spacing w:after="0"/>
              <w:rPr>
                <w:sz w:val="14"/>
                <w:szCs w:val="14"/>
                <w:color w:val="auto"/>
              </w:rPr>
            </w:pPr>
          </w:p>
        </w:tc>
      </w:tr>
      <w:tr>
        <w:trPr>
          <w:trHeight w:val="187"/>
        </w:trPr>
        <w:tc>
          <w:tcPr>
            <w:tcW w:w="354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100" w:type="dxa"/>
            <w:vAlign w:val="bottom"/>
            <w:gridSpan w:val="2"/>
          </w:tcPr>
          <w:p>
            <w:pPr>
              <w:jc w:val="right"/>
              <w:ind w:right="903"/>
              <w:spacing w:after="0"/>
              <w:rPr>
                <w:sz w:val="20"/>
                <w:szCs w:val="20"/>
                <w:color w:val="auto"/>
              </w:rPr>
            </w:pPr>
            <w:r>
              <w:rPr>
                <w:rFonts w:ascii="Arial" w:cs="Arial" w:eastAsia="Arial" w:hAnsi="Arial"/>
                <w:sz w:val="15"/>
                <w:szCs w:val="15"/>
                <w:color w:val="auto"/>
              </w:rPr>
              <w:t>($ in millions)</w:t>
            </w:r>
          </w:p>
        </w:tc>
        <w:tc>
          <w:tcPr>
            <w:tcW w:w="640" w:type="dxa"/>
            <w:vAlign w:val="bottom"/>
          </w:tcPr>
          <w:p>
            <w:pPr>
              <w:spacing w:after="0"/>
              <w:rPr>
                <w:sz w:val="16"/>
                <w:szCs w:val="16"/>
                <w:color w:val="auto"/>
              </w:rPr>
            </w:pPr>
          </w:p>
        </w:tc>
      </w:tr>
      <w:tr>
        <w:trPr>
          <w:trHeight w:val="207"/>
        </w:trPr>
        <w:tc>
          <w:tcPr>
            <w:tcW w:w="3540" w:type="dxa"/>
            <w:vAlign w:val="bottom"/>
            <w:shd w:val="clear" w:color="auto" w:fill="CCEEFF"/>
          </w:tcPr>
          <w:p>
            <w:pPr>
              <w:spacing w:after="0"/>
              <w:rPr>
                <w:sz w:val="20"/>
                <w:szCs w:val="20"/>
                <w:color w:val="auto"/>
              </w:rPr>
            </w:pPr>
            <w:r>
              <w:rPr>
                <w:rFonts w:ascii="Arial" w:cs="Arial" w:eastAsia="Arial" w:hAnsi="Arial"/>
                <w:sz w:val="15"/>
                <w:szCs w:val="15"/>
                <w:color w:val="auto"/>
              </w:rPr>
              <w:t>SG&amp;A</w:t>
            </w:r>
          </w:p>
        </w:tc>
        <w:tc>
          <w:tcPr>
            <w:tcW w:w="2820" w:type="dxa"/>
            <w:vAlign w:val="bottom"/>
            <w:shd w:val="clear" w:color="auto" w:fill="CCEEFF"/>
          </w:tcPr>
          <w:p>
            <w:pPr>
              <w:jc w:val="right"/>
              <w:ind w:right="1263"/>
              <w:spacing w:after="0"/>
              <w:rPr>
                <w:sz w:val="20"/>
                <w:szCs w:val="20"/>
                <w:color w:val="auto"/>
              </w:rPr>
            </w:pPr>
            <w:r>
              <w:rPr>
                <w:rFonts w:ascii="Arial" w:cs="Arial" w:eastAsia="Arial" w:hAnsi="Arial"/>
                <w:sz w:val="15"/>
                <w:szCs w:val="15"/>
                <w:b w:val="1"/>
                <w:bCs w:val="1"/>
                <w:color w:val="auto"/>
              </w:rPr>
              <w:t>$</w:t>
            </w:r>
          </w:p>
        </w:tc>
        <w:tc>
          <w:tcPr>
            <w:tcW w:w="600" w:type="dxa"/>
            <w:vAlign w:val="bottom"/>
            <w:shd w:val="clear" w:color="auto" w:fill="CCEEFF"/>
          </w:tcPr>
          <w:p>
            <w:pPr>
              <w:jc w:val="right"/>
              <w:ind w:right="163"/>
              <w:spacing w:after="0"/>
              <w:rPr>
                <w:sz w:val="20"/>
                <w:szCs w:val="20"/>
                <w:color w:val="auto"/>
              </w:rPr>
            </w:pPr>
            <w:r>
              <w:rPr>
                <w:rFonts w:ascii="Arial" w:cs="Arial" w:eastAsia="Arial" w:hAnsi="Arial"/>
                <w:sz w:val="15"/>
                <w:szCs w:val="15"/>
                <w:b w:val="1"/>
                <w:bCs w:val="1"/>
                <w:color w:val="auto"/>
              </w:rPr>
              <w:t>385</w:t>
            </w:r>
          </w:p>
        </w:tc>
        <w:tc>
          <w:tcPr>
            <w:tcW w:w="1500" w:type="dxa"/>
            <w:vAlign w:val="bottom"/>
            <w:shd w:val="clear" w:color="auto" w:fill="CCEEFF"/>
          </w:tcPr>
          <w:p>
            <w:pPr>
              <w:jc w:val="right"/>
              <w:ind w:right="1263"/>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rPr>
              <w:t>371</w:t>
            </w:r>
          </w:p>
        </w:tc>
      </w:tr>
      <w:tr>
        <w:trPr>
          <w:trHeight w:val="207"/>
        </w:trPr>
        <w:tc>
          <w:tcPr>
            <w:tcW w:w="3540" w:type="dxa"/>
            <w:vAlign w:val="bottom"/>
          </w:tcPr>
          <w:p>
            <w:pPr>
              <w:spacing w:after="0"/>
              <w:rPr>
                <w:sz w:val="20"/>
                <w:szCs w:val="20"/>
                <w:color w:val="auto"/>
              </w:rPr>
            </w:pPr>
            <w:r>
              <w:rPr>
                <w:rFonts w:ascii="Arial" w:cs="Arial" w:eastAsia="Arial" w:hAnsi="Arial"/>
                <w:sz w:val="15"/>
                <w:szCs w:val="15"/>
                <w:color w:val="auto"/>
              </w:rPr>
              <w:t>$ Change</w:t>
            </w:r>
          </w:p>
        </w:tc>
        <w:tc>
          <w:tcPr>
            <w:tcW w:w="2820" w:type="dxa"/>
            <w:vAlign w:val="bottom"/>
          </w:tcPr>
          <w:p>
            <w:pPr>
              <w:jc w:val="right"/>
              <w:ind w:right="1263"/>
              <w:spacing w:after="0"/>
              <w:rPr>
                <w:sz w:val="20"/>
                <w:szCs w:val="20"/>
                <w:color w:val="auto"/>
              </w:rPr>
            </w:pPr>
            <w:r>
              <w:rPr>
                <w:rFonts w:ascii="Arial" w:cs="Arial" w:eastAsia="Arial" w:hAnsi="Arial"/>
                <w:sz w:val="15"/>
                <w:szCs w:val="15"/>
                <w:b w:val="1"/>
                <w:bCs w:val="1"/>
                <w:color w:val="auto"/>
              </w:rPr>
              <w:t>$</w:t>
            </w:r>
          </w:p>
        </w:tc>
        <w:tc>
          <w:tcPr>
            <w:tcW w:w="600" w:type="dxa"/>
            <w:vAlign w:val="bottom"/>
          </w:tcPr>
          <w:p>
            <w:pPr>
              <w:jc w:val="right"/>
              <w:ind w:right="163"/>
              <w:spacing w:after="0"/>
              <w:rPr>
                <w:sz w:val="20"/>
                <w:szCs w:val="20"/>
                <w:color w:val="auto"/>
              </w:rPr>
            </w:pPr>
            <w:r>
              <w:rPr>
                <w:rFonts w:ascii="Arial" w:cs="Arial" w:eastAsia="Arial" w:hAnsi="Arial"/>
                <w:sz w:val="15"/>
                <w:szCs w:val="15"/>
                <w:b w:val="1"/>
                <w:bCs w:val="1"/>
                <w:color w:val="auto"/>
              </w:rPr>
              <w:t>14</w:t>
            </w:r>
          </w:p>
        </w:tc>
        <w:tc>
          <w:tcPr>
            <w:tcW w:w="15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7"/>
        </w:trPr>
        <w:tc>
          <w:tcPr>
            <w:tcW w:w="3540" w:type="dxa"/>
            <w:vAlign w:val="bottom"/>
            <w:shd w:val="clear" w:color="auto" w:fill="CCEEFF"/>
          </w:tcPr>
          <w:p>
            <w:pPr>
              <w:spacing w:after="0"/>
              <w:rPr>
                <w:sz w:val="20"/>
                <w:szCs w:val="20"/>
                <w:color w:val="auto"/>
              </w:rPr>
            </w:pPr>
            <w:r>
              <w:rPr>
                <w:rFonts w:ascii="Arial" w:cs="Arial" w:eastAsia="Arial" w:hAnsi="Arial"/>
                <w:sz w:val="15"/>
                <w:szCs w:val="15"/>
                <w:color w:val="auto"/>
              </w:rPr>
              <w:t>% Change</w:t>
            </w:r>
          </w:p>
        </w:tc>
        <w:tc>
          <w:tcPr>
            <w:tcW w:w="28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3.8 %</w:t>
            </w:r>
          </w:p>
        </w:tc>
        <w:tc>
          <w:tcPr>
            <w:tcW w:w="1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7"/>
        </w:trPr>
        <w:tc>
          <w:tcPr>
            <w:tcW w:w="35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SG&amp;A as a percentage of sales</w:t>
            </w:r>
          </w:p>
        </w:tc>
        <w:tc>
          <w:tcPr>
            <w:tcW w:w="28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19.0 %</w:t>
            </w:r>
          </w:p>
        </w:tc>
        <w:tc>
          <w:tcPr>
            <w:tcW w:w="15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18.5 %</w:t>
            </w:r>
          </w:p>
        </w:tc>
      </w:tr>
    </w:tbl>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SG&amp;A increased by $14 million, or by 50 basis points, to $385 million for the thirteen weeks ended May 5, 2018, as compared with the prior year. Excluding the effect of foreign currency fluctuations, the SG&amp;A expense rate increased by 20 basis points for the thirteen weeks ended May 5, 2018, as compared with the corresponding prior-year period.</w:t>
      </w:r>
    </w:p>
    <w:p>
      <w:pPr>
        <w:spacing w:after="0" w:line="146"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The increase in the SG&amp;A expense rate reflected higher wages, as compared with the corresponding prior-year period, as wages increased at a higher rate than sales. Additionally, we incurred higher costs in connection with our ongoing investment in various technology and infrastructure projects, coupled with an accrual for a legal matter. This was partially offset by insurance recoveries received for damaged inventory and fixed assets relating to losses incurred last year during Hurricane Maria.</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Depreciation and Amortization</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500" w:type="dxa"/>
            <w:vAlign w:val="bottom"/>
            <w:tcBorders>
              <w:bottom w:val="single" w:sz="8" w:color="auto"/>
            </w:tcBorders>
          </w:tcPr>
          <w:p>
            <w:pPr>
              <w:spacing w:after="0"/>
              <w:rPr>
                <w:sz w:val="16"/>
                <w:szCs w:val="16"/>
                <w:color w:val="auto"/>
              </w:rPr>
            </w:pPr>
          </w:p>
        </w:tc>
        <w:tc>
          <w:tcPr>
            <w:tcW w:w="5020" w:type="dxa"/>
            <w:vAlign w:val="bottom"/>
            <w:tcBorders>
              <w:bottom w:val="single" w:sz="8" w:color="auto"/>
            </w:tcBorders>
            <w:gridSpan w:val="3"/>
          </w:tcPr>
          <w:p>
            <w:pPr>
              <w:jc w:val="right"/>
              <w:ind w:right="743"/>
              <w:spacing w:after="0"/>
              <w:rPr>
                <w:sz w:val="20"/>
                <w:szCs w:val="20"/>
                <w:color w:val="auto"/>
              </w:rPr>
            </w:pPr>
            <w:r>
              <w:rPr>
                <w:rFonts w:ascii="Arial" w:cs="Arial" w:eastAsia="Arial" w:hAnsi="Arial"/>
                <w:sz w:val="15"/>
                <w:szCs w:val="15"/>
                <w:b w:val="1"/>
                <w:bCs w:val="1"/>
                <w:color w:val="auto"/>
              </w:rPr>
              <w:t>Thirteen weeks ended</w:t>
            </w:r>
          </w:p>
        </w:tc>
        <w:tc>
          <w:tcPr>
            <w:tcW w:w="580" w:type="dxa"/>
            <w:vAlign w:val="bottom"/>
            <w:tcBorders>
              <w:bottom w:val="single" w:sz="8" w:color="auto"/>
            </w:tcBorders>
          </w:tcPr>
          <w:p>
            <w:pPr>
              <w:spacing w:after="0"/>
              <w:rPr>
                <w:sz w:val="16"/>
                <w:szCs w:val="16"/>
                <w:color w:val="auto"/>
              </w:rPr>
            </w:pPr>
          </w:p>
        </w:tc>
      </w:tr>
      <w:tr>
        <w:trPr>
          <w:trHeight w:val="162"/>
        </w:trPr>
        <w:tc>
          <w:tcPr>
            <w:tcW w:w="350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tcPr>
          <w:p>
            <w:pPr>
              <w:jc w:val="right"/>
              <w:ind w:right="43"/>
              <w:spacing w:after="0" w:line="163" w:lineRule="exact"/>
              <w:rPr>
                <w:sz w:val="20"/>
                <w:szCs w:val="20"/>
                <w:color w:val="auto"/>
              </w:rPr>
            </w:pPr>
            <w:r>
              <w:rPr>
                <w:rFonts w:ascii="Arial" w:cs="Arial" w:eastAsia="Arial" w:hAnsi="Arial"/>
                <w:sz w:val="15"/>
                <w:szCs w:val="15"/>
                <w:b w:val="1"/>
                <w:bCs w:val="1"/>
                <w:color w:val="auto"/>
              </w:rPr>
              <w:t>May 5, 2018</w:t>
            </w:r>
          </w:p>
        </w:tc>
        <w:tc>
          <w:tcPr>
            <w:tcW w:w="5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3"/>
              <w:spacing w:after="0" w:line="163" w:lineRule="exact"/>
              <w:rPr>
                <w:sz w:val="20"/>
                <w:szCs w:val="20"/>
                <w:color w:val="auto"/>
              </w:rPr>
            </w:pPr>
            <w:r>
              <w:rPr>
                <w:rFonts w:ascii="Arial" w:cs="Arial" w:eastAsia="Arial" w:hAnsi="Arial"/>
                <w:sz w:val="15"/>
                <w:szCs w:val="15"/>
                <w:b w:val="1"/>
                <w:bCs w:val="1"/>
                <w:color w:val="auto"/>
              </w:rPr>
              <w:t>April 29, 2017</w:t>
            </w:r>
          </w:p>
        </w:tc>
        <w:tc>
          <w:tcPr>
            <w:tcW w:w="580" w:type="dxa"/>
            <w:vAlign w:val="bottom"/>
            <w:tcBorders>
              <w:bottom w:val="single" w:sz="8" w:color="auto"/>
            </w:tcBorders>
          </w:tcPr>
          <w:p>
            <w:pPr>
              <w:spacing w:after="0"/>
              <w:rPr>
                <w:sz w:val="14"/>
                <w:szCs w:val="14"/>
                <w:color w:val="auto"/>
              </w:rPr>
            </w:pPr>
          </w:p>
        </w:tc>
      </w:tr>
      <w:tr>
        <w:trPr>
          <w:trHeight w:val="187"/>
        </w:trPr>
        <w:tc>
          <w:tcPr>
            <w:tcW w:w="35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120" w:type="dxa"/>
            <w:vAlign w:val="bottom"/>
            <w:gridSpan w:val="2"/>
          </w:tcPr>
          <w:p>
            <w:pPr>
              <w:jc w:val="right"/>
              <w:ind w:right="963"/>
              <w:spacing w:after="0"/>
              <w:rPr>
                <w:sz w:val="20"/>
                <w:szCs w:val="20"/>
                <w:color w:val="auto"/>
              </w:rPr>
            </w:pPr>
            <w:r>
              <w:rPr>
                <w:rFonts w:ascii="Arial" w:cs="Arial" w:eastAsia="Arial" w:hAnsi="Arial"/>
                <w:sz w:val="15"/>
                <w:szCs w:val="15"/>
                <w:color w:val="auto"/>
              </w:rPr>
              <w:t>($ in millions)</w:t>
            </w:r>
          </w:p>
        </w:tc>
        <w:tc>
          <w:tcPr>
            <w:tcW w:w="580" w:type="dxa"/>
            <w:vAlign w:val="bottom"/>
          </w:tcPr>
          <w:p>
            <w:pPr>
              <w:spacing w:after="0"/>
              <w:rPr>
                <w:sz w:val="16"/>
                <w:szCs w:val="16"/>
                <w:color w:val="auto"/>
              </w:rPr>
            </w:pPr>
          </w:p>
        </w:tc>
      </w:tr>
      <w:tr>
        <w:trPr>
          <w:trHeight w:val="207"/>
        </w:trPr>
        <w:tc>
          <w:tcPr>
            <w:tcW w:w="3500" w:type="dxa"/>
            <w:vAlign w:val="bottom"/>
            <w:shd w:val="clear" w:color="auto" w:fill="CCEEFF"/>
          </w:tcPr>
          <w:p>
            <w:pPr>
              <w:spacing w:after="0"/>
              <w:rPr>
                <w:sz w:val="20"/>
                <w:szCs w:val="20"/>
                <w:color w:val="auto"/>
              </w:rPr>
            </w:pPr>
            <w:r>
              <w:rPr>
                <w:rFonts w:ascii="Arial" w:cs="Arial" w:eastAsia="Arial" w:hAnsi="Arial"/>
                <w:sz w:val="15"/>
                <w:szCs w:val="15"/>
                <w:color w:val="auto"/>
              </w:rPr>
              <w:t>Depreciation and amortization</w:t>
            </w:r>
          </w:p>
        </w:tc>
        <w:tc>
          <w:tcPr>
            <w:tcW w:w="2900" w:type="dxa"/>
            <w:vAlign w:val="bottom"/>
            <w:shd w:val="clear" w:color="auto" w:fill="CCEEFF"/>
          </w:tcPr>
          <w:p>
            <w:pPr>
              <w:jc w:val="right"/>
              <w:ind w:right="1303"/>
              <w:spacing w:after="0"/>
              <w:rPr>
                <w:sz w:val="20"/>
                <w:szCs w:val="20"/>
                <w:color w:val="auto"/>
              </w:rPr>
            </w:pPr>
            <w:r>
              <w:rPr>
                <w:rFonts w:ascii="Arial" w:cs="Arial" w:eastAsia="Arial" w:hAnsi="Arial"/>
                <w:sz w:val="15"/>
                <w:szCs w:val="15"/>
                <w:b w:val="1"/>
                <w:bCs w:val="1"/>
                <w:color w:val="auto"/>
              </w:rPr>
              <w:t>$</w:t>
            </w:r>
          </w:p>
        </w:tc>
        <w:tc>
          <w:tcPr>
            <w:tcW w:w="560" w:type="dxa"/>
            <w:vAlign w:val="bottom"/>
            <w:shd w:val="clear" w:color="auto" w:fill="CCEEFF"/>
          </w:tcPr>
          <w:p>
            <w:pPr>
              <w:jc w:val="right"/>
              <w:ind w:right="163"/>
              <w:spacing w:after="0"/>
              <w:rPr>
                <w:sz w:val="20"/>
                <w:szCs w:val="20"/>
                <w:color w:val="auto"/>
              </w:rPr>
            </w:pPr>
            <w:r>
              <w:rPr>
                <w:rFonts w:ascii="Arial" w:cs="Arial" w:eastAsia="Arial" w:hAnsi="Arial"/>
                <w:sz w:val="15"/>
                <w:szCs w:val="15"/>
                <w:b w:val="1"/>
                <w:bCs w:val="1"/>
                <w:color w:val="auto"/>
              </w:rPr>
              <w:t>45</w:t>
            </w:r>
          </w:p>
        </w:tc>
        <w:tc>
          <w:tcPr>
            <w:tcW w:w="1560" w:type="dxa"/>
            <w:vAlign w:val="bottom"/>
            <w:shd w:val="clear" w:color="auto" w:fill="CCEEFF"/>
          </w:tcPr>
          <w:p>
            <w:pPr>
              <w:jc w:val="right"/>
              <w:ind w:right="1323"/>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rPr>
              <w:t>41</w:t>
            </w:r>
          </w:p>
        </w:tc>
      </w:tr>
      <w:tr>
        <w:trPr>
          <w:trHeight w:val="207"/>
        </w:trPr>
        <w:tc>
          <w:tcPr>
            <w:tcW w:w="3500" w:type="dxa"/>
            <w:vAlign w:val="bottom"/>
          </w:tcPr>
          <w:p>
            <w:pPr>
              <w:spacing w:after="0"/>
              <w:rPr>
                <w:sz w:val="20"/>
                <w:szCs w:val="20"/>
                <w:color w:val="auto"/>
              </w:rPr>
            </w:pPr>
            <w:r>
              <w:rPr>
                <w:rFonts w:ascii="Arial" w:cs="Arial" w:eastAsia="Arial" w:hAnsi="Arial"/>
                <w:sz w:val="15"/>
                <w:szCs w:val="15"/>
                <w:color w:val="auto"/>
              </w:rPr>
              <w:t>$ Change</w:t>
            </w:r>
          </w:p>
        </w:tc>
        <w:tc>
          <w:tcPr>
            <w:tcW w:w="2900" w:type="dxa"/>
            <w:vAlign w:val="bottom"/>
          </w:tcPr>
          <w:p>
            <w:pPr>
              <w:jc w:val="right"/>
              <w:ind w:right="1303"/>
              <w:spacing w:after="0"/>
              <w:rPr>
                <w:sz w:val="20"/>
                <w:szCs w:val="20"/>
                <w:color w:val="auto"/>
              </w:rPr>
            </w:pPr>
            <w:r>
              <w:rPr>
                <w:rFonts w:ascii="Arial" w:cs="Arial" w:eastAsia="Arial" w:hAnsi="Arial"/>
                <w:sz w:val="15"/>
                <w:szCs w:val="15"/>
                <w:b w:val="1"/>
                <w:bCs w:val="1"/>
                <w:color w:val="auto"/>
              </w:rPr>
              <w:t>$</w:t>
            </w:r>
          </w:p>
        </w:tc>
        <w:tc>
          <w:tcPr>
            <w:tcW w:w="560" w:type="dxa"/>
            <w:vAlign w:val="bottom"/>
          </w:tcPr>
          <w:p>
            <w:pPr>
              <w:jc w:val="right"/>
              <w:ind w:right="163"/>
              <w:spacing w:after="0"/>
              <w:rPr>
                <w:sz w:val="20"/>
                <w:szCs w:val="20"/>
                <w:color w:val="auto"/>
              </w:rPr>
            </w:pPr>
            <w:r>
              <w:rPr>
                <w:rFonts w:ascii="Arial" w:cs="Arial" w:eastAsia="Arial" w:hAnsi="Arial"/>
                <w:sz w:val="15"/>
                <w:szCs w:val="15"/>
                <w:b w:val="1"/>
                <w:bCs w:val="1"/>
                <w:color w:val="auto"/>
              </w:rPr>
              <w:t>4</w:t>
            </w:r>
          </w:p>
        </w:tc>
        <w:tc>
          <w:tcPr>
            <w:tcW w:w="156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7"/>
        </w:trPr>
        <w:tc>
          <w:tcPr>
            <w:tcW w:w="3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 Change</w:t>
            </w:r>
          </w:p>
        </w:tc>
        <w:tc>
          <w:tcPr>
            <w:tcW w:w="29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9.8 %</w:t>
            </w:r>
          </w:p>
        </w:tc>
        <w:tc>
          <w:tcPr>
            <w:tcW w:w="15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spacing w:after="0"/>
              <w:rPr>
                <w:sz w:val="17"/>
                <w:szCs w:val="17"/>
                <w:color w:val="auto"/>
              </w:rPr>
            </w:pPr>
          </w:p>
        </w:tc>
      </w:tr>
    </w:tbl>
    <w:p>
      <w:pPr>
        <w:spacing w:after="0" w:line="17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Depreciation and amortization increased by $4 million for the thirteen weeks ended May 5, 2018, as compared with the corresponding prior-year period. The increase in depreciation and amortization reflected ongoing capital spending on store projects, enhancing our digital capabilities, and various other technologies and infrastructure.</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Division Profit</w:t>
      </w:r>
    </w:p>
    <w:p>
      <w:pPr>
        <w:spacing w:after="0" w:line="81" w:lineRule="exact"/>
        <w:rPr>
          <w:sz w:val="20"/>
          <w:szCs w:val="20"/>
          <w:color w:val="auto"/>
        </w:rPr>
      </w:pPr>
    </w:p>
    <w:p>
      <w:pPr>
        <w:ind w:left="6080"/>
        <w:spacing w:after="0"/>
        <w:rPr>
          <w:sz w:val="20"/>
          <w:szCs w:val="20"/>
          <w:color w:val="auto"/>
        </w:rPr>
      </w:pPr>
      <w:r>
        <w:rPr>
          <w:rFonts w:ascii="Arial" w:cs="Arial" w:eastAsia="Arial" w:hAnsi="Arial"/>
          <w:sz w:val="15"/>
          <w:szCs w:val="15"/>
          <w:b w:val="1"/>
          <w:bCs w:val="1"/>
          <w:color w:val="auto"/>
        </w:rPr>
        <w:t>Thirteen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577723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77230" cy="7620"/>
                    </a:xfrm>
                    <a:prstGeom prst="rect">
                      <a:avLst/>
                    </a:prstGeom>
                    <a:noFill/>
                  </pic:spPr>
                </pic:pic>
              </a:graphicData>
            </a:graphic>
          </wp:anchor>
        </w:drawing>
      </w:r>
    </w:p>
    <w:p>
      <w:pPr>
        <w:spacing w:after="0" w:line="14" w:lineRule="exact"/>
        <w:rPr>
          <w:sz w:val="20"/>
          <w:szCs w:val="20"/>
          <w:color w:val="auto"/>
        </w:rPr>
      </w:pPr>
    </w:p>
    <w:p>
      <w:pPr>
        <w:ind w:left="5420"/>
        <w:spacing w:after="0"/>
        <w:tabs>
          <w:tab w:leader="none" w:pos="7420" w:val="left"/>
        </w:tabs>
        <w:rPr>
          <w:sz w:val="20"/>
          <w:szCs w:val="20"/>
          <w:color w:val="auto"/>
        </w:rPr>
      </w:pPr>
      <w:r>
        <w:rPr>
          <w:rFonts w:ascii="Arial" w:cs="Arial" w:eastAsia="Arial" w:hAnsi="Arial"/>
          <w:sz w:val="15"/>
          <w:szCs w:val="15"/>
          <w:b w:val="1"/>
          <w:bCs w:val="1"/>
          <w:color w:val="auto"/>
        </w:rPr>
        <w:t>May 5, 2018</w:t>
      </w:r>
      <w:r>
        <w:rPr>
          <w:sz w:val="20"/>
          <w:szCs w:val="20"/>
          <w:color w:val="auto"/>
        </w:rPr>
        <w:tab/>
      </w:r>
      <w:r>
        <w:rPr>
          <w:rFonts w:ascii="Arial" w:cs="Arial" w:eastAsia="Arial" w:hAnsi="Arial"/>
          <w:sz w:val="15"/>
          <w:szCs w:val="15"/>
          <w:b w:val="1"/>
          <w:bCs w:val="1"/>
          <w:color w:val="auto"/>
        </w:rPr>
        <w:t>April 29,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577723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77230" cy="7620"/>
                    </a:xfrm>
                    <a:prstGeom prst="rect">
                      <a:avLst/>
                    </a:prstGeom>
                    <a:noFill/>
                  </pic:spPr>
                </pic:pic>
              </a:graphicData>
            </a:graphic>
          </wp:anchor>
        </w:drawing>
      </w:r>
    </w:p>
    <w:p>
      <w:pPr>
        <w:spacing w:after="0" w:line="32" w:lineRule="exact"/>
        <w:rPr>
          <w:sz w:val="20"/>
          <w:szCs w:val="20"/>
          <w:color w:val="auto"/>
        </w:rPr>
      </w:pPr>
    </w:p>
    <w:p>
      <w:pPr>
        <w:ind w:left="6560"/>
        <w:spacing w:after="0"/>
        <w:rPr>
          <w:sz w:val="20"/>
          <w:szCs w:val="20"/>
          <w:color w:val="auto"/>
        </w:rPr>
      </w:pPr>
      <w:r>
        <w:rPr>
          <w:rFonts w:ascii="Arial" w:cs="Arial" w:eastAsia="Arial" w:hAnsi="Arial"/>
          <w:sz w:val="15"/>
          <w:szCs w:val="15"/>
          <w:color w:val="auto"/>
        </w:rPr>
        <w:t>($ in millions)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200" w:type="dxa"/>
            <w:vAlign w:val="bottom"/>
            <w:shd w:val="clear" w:color="auto" w:fill="CCEEFF"/>
          </w:tcPr>
          <w:p>
            <w:pPr>
              <w:spacing w:after="0"/>
              <w:rPr>
                <w:sz w:val="20"/>
                <w:szCs w:val="20"/>
                <w:color w:val="auto"/>
              </w:rPr>
            </w:pPr>
            <w:r>
              <w:rPr>
                <w:rFonts w:ascii="Arial" w:cs="Arial" w:eastAsia="Arial" w:hAnsi="Arial"/>
                <w:sz w:val="15"/>
                <w:szCs w:val="15"/>
                <w:color w:val="auto"/>
              </w:rPr>
              <w:t>Division profit</w:t>
            </w:r>
          </w:p>
        </w:tc>
        <w:tc>
          <w:tcPr>
            <w:tcW w:w="2520" w:type="dxa"/>
            <w:vAlign w:val="bottom"/>
            <w:shd w:val="clear" w:color="auto" w:fill="CCEEFF"/>
          </w:tcPr>
          <w:p>
            <w:pPr>
              <w:jc w:val="right"/>
              <w:ind w:right="623"/>
              <w:spacing w:after="0"/>
              <w:rPr>
                <w:sz w:val="20"/>
                <w:szCs w:val="20"/>
                <w:color w:val="auto"/>
              </w:rPr>
            </w:pPr>
            <w:r>
              <w:rPr>
                <w:rFonts w:ascii="Arial" w:cs="Arial" w:eastAsia="Arial" w:hAnsi="Arial"/>
                <w:sz w:val="15"/>
                <w:szCs w:val="15"/>
                <w:b w:val="1"/>
                <w:bCs w:val="1"/>
                <w:color w:val="auto"/>
              </w:rPr>
              <w:t>$</w:t>
            </w:r>
          </w:p>
        </w:tc>
        <w:tc>
          <w:tcPr>
            <w:tcW w:w="1240" w:type="dxa"/>
            <w:vAlign w:val="bottom"/>
            <w:shd w:val="clear" w:color="auto" w:fill="CCEEFF"/>
          </w:tcPr>
          <w:p>
            <w:pPr>
              <w:jc w:val="right"/>
              <w:ind w:right="163"/>
              <w:spacing w:after="0"/>
              <w:rPr>
                <w:sz w:val="20"/>
                <w:szCs w:val="20"/>
                <w:color w:val="auto"/>
              </w:rPr>
            </w:pPr>
            <w:r>
              <w:rPr>
                <w:rFonts w:ascii="Arial" w:cs="Arial" w:eastAsia="Arial" w:hAnsi="Arial"/>
                <w:sz w:val="15"/>
                <w:szCs w:val="15"/>
                <w:b w:val="1"/>
                <w:bCs w:val="1"/>
                <w:color w:val="auto"/>
              </w:rPr>
              <w:t>247</w:t>
            </w:r>
          </w:p>
        </w:tc>
        <w:tc>
          <w:tcPr>
            <w:tcW w:w="840" w:type="dxa"/>
            <w:vAlign w:val="bottom"/>
            <w:shd w:val="clear" w:color="auto" w:fill="CCEEFF"/>
          </w:tcPr>
          <w:p>
            <w:pPr>
              <w:jc w:val="right"/>
              <w:ind w:right="603"/>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rPr>
              <w:t>283</w:t>
            </w:r>
          </w:p>
        </w:tc>
      </w:tr>
      <w:tr>
        <w:trPr>
          <w:trHeight w:val="207"/>
        </w:trPr>
        <w:tc>
          <w:tcPr>
            <w:tcW w:w="32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Division profit margin</w:t>
            </w:r>
          </w:p>
        </w:tc>
        <w:tc>
          <w:tcPr>
            <w:tcW w:w="25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12.2 %</w:t>
            </w:r>
          </w:p>
        </w:tc>
        <w:tc>
          <w:tcPr>
            <w:tcW w:w="8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14.1 %</w:t>
            </w:r>
          </w:p>
        </w:tc>
      </w:tr>
    </w:tbl>
    <w:p>
      <w:pPr>
        <w:spacing w:after="0" w:line="165"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Division profit decreased by 12.7 percent for the thirteen weeks ended May 5, 2018 as compared with the corresponding prior-year period. The decline in division profit reflected both a lower gross margin rate coupled with the deleverage in the SG&amp;A expense rate. Both factors contributed equally to the decline in division profit.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499" w:right="1399" w:bottom="1440" w:gutter="0" w:footer="0" w:header="0"/>
        </w:sectPr>
      </w:pPr>
    </w:p>
    <w:bookmarkStart w:id="22" w:name="page23"/>
    <w:bookmarkEnd w:id="22"/>
    <w:p>
      <w:pPr>
        <w:spacing w:after="0"/>
        <w:rPr>
          <w:sz w:val="20"/>
          <w:szCs w:val="20"/>
          <w:color w:val="auto"/>
        </w:rPr>
      </w:pPr>
      <w:r>
        <w:rPr>
          <w:rFonts w:ascii="Arial" w:cs="Arial" w:eastAsia="Arial" w:hAnsi="Arial"/>
          <w:sz w:val="15"/>
          <w:szCs w:val="15"/>
          <w:i w:val="1"/>
          <w:iCs w:val="1"/>
          <w:u w:val="single" w:color="auto"/>
          <w:color w:val="auto"/>
        </w:rPr>
        <w:t>Interest Expense, Net</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160" w:type="dxa"/>
            <w:vAlign w:val="bottom"/>
            <w:tcBorders>
              <w:bottom w:val="single" w:sz="8" w:color="auto"/>
            </w:tcBorders>
          </w:tcPr>
          <w:p>
            <w:pPr>
              <w:spacing w:after="0"/>
              <w:rPr>
                <w:sz w:val="16"/>
                <w:szCs w:val="16"/>
                <w:color w:val="auto"/>
              </w:rPr>
            </w:pPr>
          </w:p>
        </w:tc>
        <w:tc>
          <w:tcPr>
            <w:tcW w:w="5380" w:type="dxa"/>
            <w:vAlign w:val="bottom"/>
            <w:tcBorders>
              <w:bottom w:val="single" w:sz="8" w:color="auto"/>
            </w:tcBorders>
            <w:gridSpan w:val="3"/>
          </w:tcPr>
          <w:p>
            <w:pPr>
              <w:jc w:val="right"/>
              <w:ind w:right="763"/>
              <w:spacing w:after="0"/>
              <w:rPr>
                <w:sz w:val="20"/>
                <w:szCs w:val="20"/>
                <w:color w:val="auto"/>
              </w:rPr>
            </w:pPr>
            <w:r>
              <w:rPr>
                <w:rFonts w:ascii="Arial" w:cs="Arial" w:eastAsia="Arial" w:hAnsi="Arial"/>
                <w:sz w:val="15"/>
                <w:szCs w:val="15"/>
                <w:b w:val="1"/>
                <w:bCs w:val="1"/>
                <w:color w:val="auto"/>
              </w:rPr>
              <w:t>Thirteen weeks ended</w:t>
            </w:r>
          </w:p>
        </w:tc>
        <w:tc>
          <w:tcPr>
            <w:tcW w:w="560" w:type="dxa"/>
            <w:vAlign w:val="bottom"/>
            <w:tcBorders>
              <w:bottom w:val="single" w:sz="8" w:color="auto"/>
            </w:tcBorders>
          </w:tcPr>
          <w:p>
            <w:pPr>
              <w:spacing w:after="0"/>
              <w:rPr>
                <w:sz w:val="16"/>
                <w:szCs w:val="16"/>
                <w:color w:val="auto"/>
              </w:rPr>
            </w:pPr>
          </w:p>
        </w:tc>
      </w:tr>
      <w:tr>
        <w:trPr>
          <w:trHeight w:val="162"/>
        </w:trPr>
        <w:tc>
          <w:tcPr>
            <w:tcW w:w="316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tcPr>
          <w:p>
            <w:pPr>
              <w:jc w:val="right"/>
              <w:ind w:right="63"/>
              <w:spacing w:after="0" w:line="163" w:lineRule="exact"/>
              <w:rPr>
                <w:sz w:val="20"/>
                <w:szCs w:val="20"/>
                <w:color w:val="auto"/>
              </w:rPr>
            </w:pPr>
            <w:r>
              <w:rPr>
                <w:rFonts w:ascii="Arial" w:cs="Arial" w:eastAsia="Arial" w:hAnsi="Arial"/>
                <w:sz w:val="15"/>
                <w:szCs w:val="15"/>
                <w:b w:val="1"/>
                <w:bCs w:val="1"/>
                <w:color w:val="auto"/>
              </w:rPr>
              <w:t>May 5, 2018</w:t>
            </w:r>
          </w:p>
        </w:tc>
        <w:tc>
          <w:tcPr>
            <w:tcW w:w="4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23"/>
              <w:spacing w:after="0" w:line="163" w:lineRule="exact"/>
              <w:rPr>
                <w:sz w:val="20"/>
                <w:szCs w:val="20"/>
                <w:color w:val="auto"/>
              </w:rPr>
            </w:pPr>
            <w:r>
              <w:rPr>
                <w:rFonts w:ascii="Arial" w:cs="Arial" w:eastAsia="Arial" w:hAnsi="Arial"/>
                <w:sz w:val="15"/>
                <w:szCs w:val="15"/>
                <w:b w:val="1"/>
                <w:bCs w:val="1"/>
                <w:color w:val="auto"/>
              </w:rPr>
              <w:t>April 29, 2017</w:t>
            </w:r>
          </w:p>
        </w:tc>
        <w:tc>
          <w:tcPr>
            <w:tcW w:w="560" w:type="dxa"/>
            <w:vAlign w:val="bottom"/>
            <w:tcBorders>
              <w:bottom w:val="single" w:sz="8" w:color="auto"/>
            </w:tcBorders>
          </w:tcPr>
          <w:p>
            <w:pPr>
              <w:spacing w:after="0"/>
              <w:rPr>
                <w:sz w:val="14"/>
                <w:szCs w:val="14"/>
                <w:color w:val="auto"/>
              </w:rPr>
            </w:pPr>
          </w:p>
        </w:tc>
      </w:tr>
      <w:tr>
        <w:trPr>
          <w:trHeight w:val="187"/>
        </w:trPr>
        <w:tc>
          <w:tcPr>
            <w:tcW w:w="316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120" w:type="dxa"/>
            <w:vAlign w:val="bottom"/>
            <w:gridSpan w:val="2"/>
          </w:tcPr>
          <w:p>
            <w:pPr>
              <w:ind w:left="140"/>
              <w:spacing w:after="0"/>
              <w:rPr>
                <w:sz w:val="20"/>
                <w:szCs w:val="20"/>
                <w:color w:val="auto"/>
              </w:rPr>
            </w:pPr>
            <w:r>
              <w:rPr>
                <w:rFonts w:ascii="Arial" w:cs="Arial" w:eastAsia="Arial" w:hAnsi="Arial"/>
                <w:sz w:val="15"/>
                <w:szCs w:val="15"/>
                <w:color w:val="auto"/>
              </w:rPr>
              <w:t>($ in millions)</w:t>
            </w:r>
          </w:p>
        </w:tc>
        <w:tc>
          <w:tcPr>
            <w:tcW w:w="560" w:type="dxa"/>
            <w:vAlign w:val="bottom"/>
          </w:tcPr>
          <w:p>
            <w:pPr>
              <w:spacing w:after="0"/>
              <w:rPr>
                <w:sz w:val="16"/>
                <w:szCs w:val="16"/>
                <w:color w:val="auto"/>
              </w:rPr>
            </w:pPr>
          </w:p>
        </w:tc>
      </w:tr>
      <w:tr>
        <w:trPr>
          <w:trHeight w:val="207"/>
        </w:trPr>
        <w:tc>
          <w:tcPr>
            <w:tcW w:w="316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3260" w:type="dxa"/>
            <w:vAlign w:val="bottom"/>
            <w:shd w:val="clear" w:color="auto" w:fill="CCEEFF"/>
          </w:tcPr>
          <w:p>
            <w:pPr>
              <w:jc w:val="right"/>
              <w:ind w:right="1323"/>
              <w:spacing w:after="0"/>
              <w:rPr>
                <w:sz w:val="20"/>
                <w:szCs w:val="20"/>
                <w:color w:val="auto"/>
              </w:rPr>
            </w:pPr>
            <w:r>
              <w:rPr>
                <w:rFonts w:ascii="Arial" w:cs="Arial" w:eastAsia="Arial" w:hAnsi="Arial"/>
                <w:sz w:val="15"/>
                <w:szCs w:val="15"/>
                <w:b w:val="1"/>
                <w:bCs w:val="1"/>
                <w:color w:val="auto"/>
              </w:rPr>
              <w:t>$</w:t>
            </w:r>
          </w:p>
        </w:tc>
        <w:tc>
          <w:tcPr>
            <w:tcW w:w="48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3</w:t>
            </w:r>
          </w:p>
        </w:tc>
        <w:tc>
          <w:tcPr>
            <w:tcW w:w="1640" w:type="dxa"/>
            <w:vAlign w:val="bottom"/>
            <w:shd w:val="clear" w:color="auto" w:fill="CCEEFF"/>
          </w:tcPr>
          <w:p>
            <w:pPr>
              <w:jc w:val="right"/>
              <w:ind w:right="1343"/>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rPr>
              <w:t>3</w:t>
            </w:r>
          </w:p>
        </w:tc>
      </w:tr>
      <w:tr>
        <w:trPr>
          <w:trHeight w:val="207"/>
        </w:trPr>
        <w:tc>
          <w:tcPr>
            <w:tcW w:w="31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Interest income</w:t>
            </w:r>
          </w:p>
        </w:tc>
        <w:tc>
          <w:tcPr>
            <w:tcW w:w="32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ind w:left="160"/>
              <w:spacing w:after="0"/>
              <w:rPr>
                <w:sz w:val="20"/>
                <w:szCs w:val="20"/>
                <w:color w:val="auto"/>
              </w:rPr>
            </w:pPr>
            <w:r>
              <w:rPr>
                <w:rFonts w:ascii="Arial" w:cs="Arial" w:eastAsia="Arial" w:hAnsi="Arial"/>
                <w:sz w:val="15"/>
                <w:szCs w:val="15"/>
                <w:b w:val="1"/>
                <w:bCs w:val="1"/>
                <w:color w:val="auto"/>
              </w:rPr>
              <w:t>(5)</w:t>
            </w:r>
          </w:p>
        </w:tc>
        <w:tc>
          <w:tcPr>
            <w:tcW w:w="16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rPr>
              <w:t>(3)</w:t>
            </w:r>
          </w:p>
        </w:tc>
      </w:tr>
      <w:tr>
        <w:trPr>
          <w:trHeight w:val="179"/>
        </w:trPr>
        <w:tc>
          <w:tcPr>
            <w:tcW w:w="3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Interest income, net</w:t>
            </w:r>
          </w:p>
        </w:tc>
        <w:tc>
          <w:tcPr>
            <w:tcW w:w="3260" w:type="dxa"/>
            <w:vAlign w:val="bottom"/>
            <w:tcBorders>
              <w:bottom w:val="single" w:sz="8" w:color="auto"/>
            </w:tcBorders>
            <w:shd w:val="clear" w:color="auto" w:fill="CCEEFF"/>
          </w:tcPr>
          <w:p>
            <w:pPr>
              <w:jc w:val="right"/>
              <w:ind w:right="1323"/>
              <w:spacing w:after="0"/>
              <w:rPr>
                <w:sz w:val="20"/>
                <w:szCs w:val="20"/>
                <w:color w:val="auto"/>
              </w:rPr>
            </w:pPr>
            <w:r>
              <w:rPr>
                <w:rFonts w:ascii="Arial" w:cs="Arial" w:eastAsia="Arial" w:hAnsi="Arial"/>
                <w:sz w:val="15"/>
                <w:szCs w:val="15"/>
                <w:b w:val="1"/>
                <w:bCs w:val="1"/>
                <w:color w:val="auto"/>
              </w:rPr>
              <w:t>$</w:t>
            </w:r>
          </w:p>
        </w:tc>
        <w:tc>
          <w:tcPr>
            <w:tcW w:w="4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5"/>
                <w:szCs w:val="15"/>
                <w:b w:val="1"/>
                <w:bCs w:val="1"/>
                <w:color w:val="auto"/>
              </w:rPr>
              <w:t>(2)</w:t>
            </w:r>
          </w:p>
        </w:tc>
        <w:tc>
          <w:tcPr>
            <w:tcW w:w="1640" w:type="dxa"/>
            <w:vAlign w:val="bottom"/>
            <w:tcBorders>
              <w:bottom w:val="single" w:sz="8" w:color="auto"/>
            </w:tcBorders>
            <w:shd w:val="clear" w:color="auto" w:fill="CCEEFF"/>
          </w:tcPr>
          <w:p>
            <w:pPr>
              <w:jc w:val="right"/>
              <w:ind w:right="1343"/>
              <w:spacing w:after="0"/>
              <w:rPr>
                <w:sz w:val="20"/>
                <w:szCs w:val="20"/>
                <w:color w:val="auto"/>
              </w:rPr>
            </w:pPr>
            <w:r>
              <w:rPr>
                <w:rFonts w:ascii="Arial" w:cs="Arial" w:eastAsia="Arial" w:hAnsi="Arial"/>
                <w:sz w:val="15"/>
                <w:szCs w:val="15"/>
                <w:color w:val="auto"/>
              </w:rPr>
              <w:t>$</w:t>
            </w:r>
          </w:p>
        </w:tc>
        <w:tc>
          <w:tcPr>
            <w:tcW w:w="56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rPr>
              <w:t>—</w:t>
            </w:r>
          </w:p>
        </w:tc>
      </w:tr>
    </w:tbl>
    <w:p>
      <w:pPr>
        <w:spacing w:after="0" w:line="116"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Interest income increased by $2 million for the thirteen weeks ended May 5, 2018, as compared with the corresponding prior-year period, while interest expense was unchanged. The increase in interest income primarily represented higher average interest rates on our cash investments.</w:t>
      </w:r>
    </w:p>
    <w:p>
      <w:pPr>
        <w:spacing w:after="0" w:line="88"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Income Taxes</w:t>
      </w:r>
    </w:p>
    <w:p>
      <w:pPr>
        <w:spacing w:after="0" w:line="123"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For the thirteen weeks ended May 5, 2018, the Company recorded an income tax provision of $64 million, which represented an effective tax rate of 27.9 percent, compared with the prior-year income tax provision of $89 million, which represented an effective tax rate of 33.0 percent. The Company’s interim provision for income taxes is measured using an annual effective tax rate, adjusted for discrete items that occur within the periods presented.</w:t>
      </w:r>
    </w:p>
    <w:p>
      <w:pPr>
        <w:spacing w:after="0" w:line="168"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During the thirteen weeks ended April 29, 2017 the Company recognized excess tax benefits of $7 million from share-based compensation, while the amount related to the thirteen weeks ended May 5, 2018 was not significant.</w:t>
      </w:r>
    </w:p>
    <w:p>
      <w:pPr>
        <w:spacing w:after="0" w:line="146"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Excluding the above-mentioned excess tax benefits, the effective tax rate for the thirteen weeks ended May 5, 2018 decreased as compared with the corresponding prior-year period, primarily due to the enactment of the Tax Act which reduced the statutory U.S. federal corporate income tax rate from 35 percent to 21 percent. This was offset, in part, by foreign taxes assessed at rates in excess of the U.S. federal rate for which no U.S. foreign tax credit is available, as well as valuation allowances for certain foreign operating loss carryforwards that the Company estimates it will not be able to utilize in future periods.</w:t>
      </w:r>
    </w:p>
    <w:p>
      <w:pPr>
        <w:spacing w:after="0" w:line="156"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 xml:space="preserve">The Company currently expects its full-year tax rate to approximate 27.5 percent excluding the effect of any nonrecurring items that may occur. The actual tax rate will also vary depending on the level and mix of income earned in the various jurisdictions. Please see Item 1. “Financial Statements,” Note 9, </w:t>
      </w:r>
      <w:r>
        <w:rPr>
          <w:rFonts w:ascii="Arial" w:cs="Arial" w:eastAsia="Arial" w:hAnsi="Arial"/>
          <w:sz w:val="15"/>
          <w:szCs w:val="15"/>
          <w:i w:val="1"/>
          <w:iCs w:val="1"/>
          <w:color w:val="auto"/>
        </w:rPr>
        <w:t>Income Taxes</w:t>
      </w:r>
      <w:r>
        <w:rPr>
          <w:rFonts w:ascii="Arial" w:cs="Arial" w:eastAsia="Arial" w:hAnsi="Arial"/>
          <w:sz w:val="15"/>
          <w:szCs w:val="15"/>
          <w:color w:val="auto"/>
        </w:rPr>
        <w:t xml:space="preserve"> for further information.</w:t>
      </w:r>
    </w:p>
    <w:p>
      <w:pPr>
        <w:spacing w:after="0" w:line="88"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Net Income</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For the thirteen weeks ended May 5, 2018, net income decreased by $15 million, or 8.3 percent, and diluted earnings per share increased by 1.5 percent to $1.38 per share, as compared with the corresponding prior-year period.</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Liquidity</w:t>
      </w:r>
    </w:p>
    <w:p>
      <w:pPr>
        <w:spacing w:after="0" w:line="160" w:lineRule="exact"/>
        <w:rPr>
          <w:sz w:val="20"/>
          <w:szCs w:val="20"/>
          <w:color w:val="auto"/>
        </w:rPr>
      </w:pPr>
    </w:p>
    <w:p>
      <w:pPr>
        <w:jc w:val="both"/>
        <w:spacing w:after="0"/>
        <w:rPr>
          <w:sz w:val="20"/>
          <w:szCs w:val="20"/>
          <w:color w:val="auto"/>
        </w:rPr>
      </w:pPr>
      <w:r>
        <w:rPr>
          <w:rFonts w:ascii="Arial" w:cs="Arial" w:eastAsia="Arial" w:hAnsi="Arial"/>
          <w:sz w:val="15"/>
          <w:szCs w:val="15"/>
          <w:color w:val="auto"/>
        </w:rPr>
        <w:t>Our primary source of liquidity has been cash flow from earnings, while the principal uses of cash have been to: fund inventory and other working capital requirements; finance capital expenditures related to store openings, store remodelings, Internet and mobile sites, information systems, and other support facilities; make retirement plan contributions, quarterly dividend payments, and interest payments; and fund other cash requirements to support the development of our short-term and long-term operating strategies. We generally finance real estate with operating leases. We believe our cash, cash equivalents, and future cash flow from operations will be adequate to fund these requirements.</w:t>
      </w:r>
    </w:p>
    <w:p>
      <w:pPr>
        <w:spacing w:after="0" w:line="108"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The Company may also from time to time repurchase its common stock or seek to retire or purchase outstanding debt through open market purchases, privately negotiated transactions, or otherwise. Share repurchases and retirement of debt, if any, will depend on prevailing market conditions, liquidity requirements, contractual restrictions, and other factors. The amounts involved may be material. As of May 5, 2018, approximately $646 million remained available under the Company’s current $1.2 billion share repurchase program.</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313" w:right="1399" w:bottom="1440" w:gutter="0" w:footer="0" w:header="0"/>
        </w:sectPr>
      </w:pPr>
    </w:p>
    <w:bookmarkStart w:id="23" w:name="page24"/>
    <w:bookmarkEnd w:id="23"/>
    <w:p>
      <w:pPr>
        <w:jc w:val="both"/>
        <w:ind w:right="20"/>
        <w:spacing w:after="0" w:line="246" w:lineRule="auto"/>
        <w:rPr>
          <w:sz w:val="20"/>
          <w:szCs w:val="20"/>
          <w:color w:val="auto"/>
        </w:rPr>
      </w:pPr>
      <w:r>
        <w:rPr>
          <w:rFonts w:ascii="Arial" w:cs="Arial" w:eastAsia="Arial" w:hAnsi="Arial"/>
          <w:sz w:val="15"/>
          <w:szCs w:val="15"/>
          <w:color w:val="auto"/>
        </w:rPr>
        <w:t xml:space="preserve">As discussed further in the </w:t>
      </w:r>
      <w:r>
        <w:rPr>
          <w:rFonts w:ascii="Arial" w:cs="Arial" w:eastAsia="Arial" w:hAnsi="Arial"/>
          <w:sz w:val="15"/>
          <w:szCs w:val="15"/>
          <w:i w:val="1"/>
          <w:iCs w:val="1"/>
          <w:color w:val="auto"/>
        </w:rPr>
        <w:t>Legal Proceedings</w:t>
      </w:r>
      <w:r>
        <w:rPr>
          <w:rFonts w:ascii="Arial" w:cs="Arial" w:eastAsia="Arial" w:hAnsi="Arial"/>
          <w:sz w:val="15"/>
          <w:szCs w:val="15"/>
          <w:color w:val="auto"/>
        </w:rPr>
        <w:t xml:space="preserve"> note under “Item 1. Financial Statements,” during the first quarter of 2018, we recorded a pre-tax charge of $12 million ($9 million after-tax or $0.07 per diluted share) in connection with the pension litigation. The accrued amount as of May 5, 2018 was $289 million and is classified as a long-term liability. The accrual will continue to increase with interest until paid, as required by the provisions of the required plan reformation. The Company expects to make contributions totaling $128 million to the pension plan during 2018 to fund a portion of this liability. The timing and the amount of actual contributions to the pension plan are dependent on when the court approves the reformation, the funded status of the plan, and various other factors, such as interest rates and the performance of the plan’s assets.</w:t>
      </w:r>
    </w:p>
    <w:p>
      <w:pPr>
        <w:spacing w:after="0" w:line="129" w:lineRule="exact"/>
        <w:rPr>
          <w:sz w:val="20"/>
          <w:szCs w:val="20"/>
          <w:color w:val="auto"/>
        </w:rPr>
      </w:pPr>
    </w:p>
    <w:p>
      <w:pPr>
        <w:jc w:val="both"/>
        <w:ind w:right="20"/>
        <w:spacing w:after="0" w:line="241" w:lineRule="auto"/>
        <w:rPr>
          <w:sz w:val="20"/>
          <w:szCs w:val="20"/>
          <w:color w:val="auto"/>
        </w:rPr>
      </w:pPr>
      <w:r>
        <w:rPr>
          <w:rFonts w:ascii="Arial" w:cs="Arial" w:eastAsia="Arial" w:hAnsi="Arial"/>
          <w:sz w:val="15"/>
          <w:szCs w:val="15"/>
          <w:color w:val="auto"/>
        </w:rPr>
        <w:t>Any material adverse change in customer demand, fashion trends, competitive market forces, or customer acceptance of our merchandise mix and retail locations, uncertainties related to the effect of competitive products and pricing, our reliance on a few key vendors for a significant portion of our merchandise purchases and risks associated with global product sourcing, economic conditions worldwide, the effects of currency fluctuations, as well as other factors listed under the heading “Disclosure Regarding Forward-Looking Statements,” could affect our ability to continue to fund our needs from business operations.</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Operating Activities</w:t>
      </w:r>
    </w:p>
    <w:p>
      <w:pPr>
        <w:spacing w:after="0" w:line="263" w:lineRule="exact"/>
        <w:rPr>
          <w:sz w:val="20"/>
          <w:szCs w:val="20"/>
          <w:color w:val="auto"/>
        </w:rPr>
      </w:pPr>
    </w:p>
    <w:p>
      <w:pPr>
        <w:ind w:left="6800"/>
        <w:spacing w:after="0"/>
        <w:rPr>
          <w:sz w:val="20"/>
          <w:szCs w:val="20"/>
          <w:color w:val="auto"/>
        </w:rPr>
      </w:pPr>
      <w:r>
        <w:rPr>
          <w:rFonts w:ascii="Arial" w:cs="Arial" w:eastAsia="Arial" w:hAnsi="Arial"/>
          <w:sz w:val="15"/>
          <w:szCs w:val="15"/>
          <w:b w:val="1"/>
          <w:bCs w:val="1"/>
          <w:color w:val="auto"/>
        </w:rPr>
        <w:t>Thirteen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577723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77230" cy="7620"/>
                    </a:xfrm>
                    <a:prstGeom prst="rect">
                      <a:avLst/>
                    </a:prstGeom>
                    <a:noFill/>
                  </pic:spPr>
                </pic:pic>
              </a:graphicData>
            </a:graphic>
          </wp:anchor>
        </w:drawing>
      </w:r>
    </w:p>
    <w:p>
      <w:pPr>
        <w:spacing w:after="0" w:line="14" w:lineRule="exact"/>
        <w:rPr>
          <w:sz w:val="20"/>
          <w:szCs w:val="20"/>
          <w:color w:val="auto"/>
        </w:rPr>
      </w:pPr>
    </w:p>
    <w:p>
      <w:pPr>
        <w:ind w:left="6360"/>
        <w:spacing w:after="0"/>
        <w:tabs>
          <w:tab w:leader="none" w:pos="7900" w:val="left"/>
        </w:tabs>
        <w:rPr>
          <w:sz w:val="20"/>
          <w:szCs w:val="20"/>
          <w:color w:val="auto"/>
        </w:rPr>
      </w:pPr>
      <w:r>
        <w:rPr>
          <w:rFonts w:ascii="Arial" w:cs="Arial" w:eastAsia="Arial" w:hAnsi="Arial"/>
          <w:sz w:val="15"/>
          <w:szCs w:val="15"/>
          <w:b w:val="1"/>
          <w:bCs w:val="1"/>
          <w:color w:val="auto"/>
        </w:rPr>
        <w:t>May 5, 2018</w:t>
      </w:r>
      <w:r>
        <w:rPr>
          <w:sz w:val="20"/>
          <w:szCs w:val="20"/>
          <w:color w:val="auto"/>
        </w:rPr>
        <w:tab/>
      </w:r>
      <w:r>
        <w:rPr>
          <w:rFonts w:ascii="Arial" w:cs="Arial" w:eastAsia="Arial" w:hAnsi="Arial"/>
          <w:sz w:val="15"/>
          <w:szCs w:val="15"/>
          <w:b w:val="1"/>
          <w:bCs w:val="1"/>
          <w:color w:val="auto"/>
        </w:rPr>
        <w:t>April 29,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577723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77230" cy="7620"/>
                    </a:xfrm>
                    <a:prstGeom prst="rect">
                      <a:avLst/>
                    </a:prstGeom>
                    <a:noFill/>
                  </pic:spPr>
                </pic:pic>
              </a:graphicData>
            </a:graphic>
          </wp:anchor>
        </w:drawing>
      </w:r>
    </w:p>
    <w:p>
      <w:pPr>
        <w:spacing w:after="0" w:line="32" w:lineRule="exact"/>
        <w:rPr>
          <w:sz w:val="20"/>
          <w:szCs w:val="20"/>
          <w:color w:val="auto"/>
        </w:rPr>
      </w:pPr>
    </w:p>
    <w:p>
      <w:pPr>
        <w:ind w:left="7140"/>
        <w:spacing w:after="0"/>
        <w:rPr>
          <w:sz w:val="20"/>
          <w:szCs w:val="20"/>
          <w:color w:val="auto"/>
        </w:rPr>
      </w:pPr>
      <w:r>
        <w:rPr>
          <w:rFonts w:ascii="Arial" w:cs="Arial" w:eastAsia="Arial" w:hAnsi="Arial"/>
          <w:sz w:val="15"/>
          <w:szCs w:val="15"/>
          <w:color w:val="auto"/>
        </w:rPr>
        <w:t>($ in millions)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20" w:type="dxa"/>
            <w:vAlign w:val="bottom"/>
            <w:shd w:val="clear" w:color="auto" w:fill="CCEEFF"/>
          </w:tcPr>
          <w:p>
            <w:pPr>
              <w:spacing w:after="0"/>
              <w:rPr>
                <w:sz w:val="20"/>
                <w:szCs w:val="20"/>
                <w:color w:val="auto"/>
              </w:rPr>
            </w:pPr>
            <w:r>
              <w:rPr>
                <w:rFonts w:ascii="Arial" w:cs="Arial" w:eastAsia="Arial" w:hAnsi="Arial"/>
                <w:sz w:val="15"/>
                <w:szCs w:val="15"/>
                <w:color w:val="auto"/>
              </w:rPr>
              <w:t>Net cash provided by operating activities</w:t>
            </w:r>
          </w:p>
        </w:tc>
        <w:tc>
          <w:tcPr>
            <w:tcW w:w="2260" w:type="dxa"/>
            <w:vAlign w:val="bottom"/>
            <w:shd w:val="clear" w:color="auto" w:fill="CCEEFF"/>
          </w:tcPr>
          <w:p>
            <w:pPr>
              <w:jc w:val="right"/>
              <w:ind w:right="343"/>
              <w:spacing w:after="0"/>
              <w:rPr>
                <w:sz w:val="20"/>
                <w:szCs w:val="20"/>
                <w:color w:val="auto"/>
              </w:rPr>
            </w:pPr>
            <w:r>
              <w:rPr>
                <w:rFonts w:ascii="Arial" w:cs="Arial" w:eastAsia="Arial" w:hAnsi="Arial"/>
                <w:sz w:val="15"/>
                <w:szCs w:val="15"/>
                <w:b w:val="1"/>
                <w:bCs w:val="1"/>
                <w:color w:val="auto"/>
              </w:rPr>
              <w:t>$</w:t>
            </w:r>
          </w:p>
        </w:tc>
        <w:tc>
          <w:tcPr>
            <w:tcW w:w="820" w:type="dxa"/>
            <w:vAlign w:val="bottom"/>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415</w:t>
            </w:r>
          </w:p>
        </w:tc>
        <w:tc>
          <w:tcPr>
            <w:tcW w:w="720" w:type="dxa"/>
            <w:vAlign w:val="bottom"/>
            <w:shd w:val="clear" w:color="auto" w:fill="CCEEFF"/>
          </w:tcPr>
          <w:p>
            <w:pPr>
              <w:jc w:val="right"/>
              <w:ind w:right="423"/>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w:t>
            </w:r>
          </w:p>
        </w:tc>
      </w:tr>
      <w:tr>
        <w:trPr>
          <w:trHeight w:val="207"/>
        </w:trPr>
        <w:tc>
          <w:tcPr>
            <w:tcW w:w="45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 Change</w:t>
            </w:r>
          </w:p>
        </w:tc>
        <w:tc>
          <w:tcPr>
            <w:tcW w:w="226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w:t>
            </w:r>
          </w:p>
        </w:tc>
        <w:tc>
          <w:tcPr>
            <w:tcW w:w="8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256</w:t>
            </w:r>
          </w:p>
        </w:tc>
        <w:tc>
          <w:tcPr>
            <w:tcW w:w="7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5"/>
          <w:szCs w:val="15"/>
          <w:color w:val="auto"/>
        </w:rPr>
        <w:t>The amount provided by operating activities reflects net income adjusted for non-cash items and working capital changes.</w:t>
      </w:r>
    </w:p>
    <w:p>
      <w:pPr>
        <w:spacing w:after="0"/>
        <w:rPr>
          <w:sz w:val="20"/>
          <w:szCs w:val="20"/>
          <w:color w:val="auto"/>
        </w:rPr>
      </w:pPr>
      <w:r>
        <w:rPr>
          <w:rFonts w:ascii="Arial" w:cs="Arial" w:eastAsia="Arial" w:hAnsi="Arial"/>
          <w:sz w:val="15"/>
          <w:szCs w:val="15"/>
          <w:color w:val="auto"/>
        </w:rPr>
        <w:t>Adjustments to net income for non-cash items include depreciation and amortization, and share-based compensation expense.</w:t>
      </w:r>
    </w:p>
    <w:p>
      <w:pPr>
        <w:spacing w:after="0" w:line="83" w:lineRule="exact"/>
        <w:rPr>
          <w:sz w:val="20"/>
          <w:szCs w:val="20"/>
          <w:color w:val="auto"/>
        </w:rPr>
      </w:pPr>
    </w:p>
    <w:p>
      <w:pPr>
        <w:jc w:val="both"/>
        <w:ind w:right="20"/>
        <w:spacing w:after="0" w:line="242" w:lineRule="auto"/>
        <w:rPr>
          <w:sz w:val="20"/>
          <w:szCs w:val="20"/>
          <w:color w:val="auto"/>
        </w:rPr>
      </w:pPr>
      <w:r>
        <w:rPr>
          <w:rFonts w:ascii="Arial" w:cs="Arial" w:eastAsia="Arial" w:hAnsi="Arial"/>
          <w:sz w:val="15"/>
          <w:szCs w:val="15"/>
          <w:color w:val="auto"/>
        </w:rPr>
        <w:t>The increase from the prior year primarily reflects working capital changes and a decrease of $61 million in cash paid for income taxes during the thirteen weeks ended May 5, 2018. In the prior year, we contributed $25 million to our U.S. qualified pension plan. No such contribution was made during the thirteen weeks ended May 5, 2018. The overall increase was partially offset by the decline in net income as compared with the prior year.</w:t>
      </w:r>
    </w:p>
    <w:p>
      <w:pPr>
        <w:spacing w:after="0" w:line="79"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Investing Activities</w:t>
      </w:r>
    </w:p>
    <w:p>
      <w:pPr>
        <w:spacing w:after="0" w:line="44" w:lineRule="exact"/>
        <w:rPr>
          <w:sz w:val="20"/>
          <w:szCs w:val="20"/>
          <w:color w:val="auto"/>
        </w:rPr>
      </w:pPr>
    </w:p>
    <w:p>
      <w:pPr>
        <w:ind w:left="6800"/>
        <w:spacing w:after="0"/>
        <w:rPr>
          <w:sz w:val="20"/>
          <w:szCs w:val="20"/>
          <w:color w:val="auto"/>
        </w:rPr>
      </w:pPr>
      <w:r>
        <w:rPr>
          <w:rFonts w:ascii="Arial" w:cs="Arial" w:eastAsia="Arial" w:hAnsi="Arial"/>
          <w:sz w:val="15"/>
          <w:szCs w:val="15"/>
          <w:b w:val="1"/>
          <w:bCs w:val="1"/>
          <w:color w:val="auto"/>
        </w:rPr>
        <w:t>Thirteen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577723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77230" cy="7620"/>
                    </a:xfrm>
                    <a:prstGeom prst="rect">
                      <a:avLst/>
                    </a:prstGeom>
                    <a:noFill/>
                  </pic:spPr>
                </pic:pic>
              </a:graphicData>
            </a:graphic>
          </wp:anchor>
        </w:drawing>
      </w:r>
    </w:p>
    <w:p>
      <w:pPr>
        <w:spacing w:after="0" w:line="14" w:lineRule="exact"/>
        <w:rPr>
          <w:sz w:val="20"/>
          <w:szCs w:val="20"/>
          <w:color w:val="auto"/>
        </w:rPr>
      </w:pPr>
    </w:p>
    <w:p>
      <w:pPr>
        <w:ind w:left="6360"/>
        <w:spacing w:after="0"/>
        <w:tabs>
          <w:tab w:leader="none" w:pos="7900" w:val="left"/>
        </w:tabs>
        <w:rPr>
          <w:sz w:val="20"/>
          <w:szCs w:val="20"/>
          <w:color w:val="auto"/>
        </w:rPr>
      </w:pPr>
      <w:r>
        <w:rPr>
          <w:rFonts w:ascii="Arial" w:cs="Arial" w:eastAsia="Arial" w:hAnsi="Arial"/>
          <w:sz w:val="15"/>
          <w:szCs w:val="15"/>
          <w:b w:val="1"/>
          <w:bCs w:val="1"/>
          <w:color w:val="auto"/>
        </w:rPr>
        <w:t>May 5, 2018</w:t>
      </w:r>
      <w:r>
        <w:rPr>
          <w:sz w:val="20"/>
          <w:szCs w:val="20"/>
          <w:color w:val="auto"/>
        </w:rPr>
        <w:tab/>
      </w:r>
      <w:r>
        <w:rPr>
          <w:rFonts w:ascii="Arial" w:cs="Arial" w:eastAsia="Arial" w:hAnsi="Arial"/>
          <w:sz w:val="15"/>
          <w:szCs w:val="15"/>
          <w:b w:val="1"/>
          <w:bCs w:val="1"/>
          <w:color w:val="auto"/>
        </w:rPr>
        <w:t>April 29,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577723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77230" cy="7620"/>
                    </a:xfrm>
                    <a:prstGeom prst="rect">
                      <a:avLst/>
                    </a:prstGeom>
                    <a:noFill/>
                  </pic:spPr>
                </pic:pic>
              </a:graphicData>
            </a:graphic>
          </wp:anchor>
        </w:drawing>
      </w:r>
    </w:p>
    <w:p>
      <w:pPr>
        <w:spacing w:after="0" w:line="32" w:lineRule="exact"/>
        <w:rPr>
          <w:sz w:val="20"/>
          <w:szCs w:val="20"/>
          <w:color w:val="auto"/>
        </w:rPr>
      </w:pPr>
    </w:p>
    <w:p>
      <w:pPr>
        <w:ind w:left="7140"/>
        <w:spacing w:after="0"/>
        <w:rPr>
          <w:sz w:val="20"/>
          <w:szCs w:val="20"/>
          <w:color w:val="auto"/>
        </w:rPr>
      </w:pPr>
      <w:r>
        <w:rPr>
          <w:rFonts w:ascii="Arial" w:cs="Arial" w:eastAsia="Arial" w:hAnsi="Arial"/>
          <w:sz w:val="15"/>
          <w:szCs w:val="15"/>
          <w:color w:val="auto"/>
        </w:rPr>
        <w:t>($ in millions)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60" w:type="dxa"/>
            <w:vAlign w:val="bottom"/>
            <w:shd w:val="clear" w:color="auto" w:fill="CCEEFF"/>
          </w:tcPr>
          <w:p>
            <w:pPr>
              <w:spacing w:after="0"/>
              <w:rPr>
                <w:sz w:val="20"/>
                <w:szCs w:val="20"/>
                <w:color w:val="auto"/>
              </w:rPr>
            </w:pPr>
            <w:r>
              <w:rPr>
                <w:rFonts w:ascii="Arial" w:cs="Arial" w:eastAsia="Arial" w:hAnsi="Arial"/>
                <w:sz w:val="15"/>
                <w:szCs w:val="15"/>
                <w:color w:val="auto"/>
              </w:rPr>
              <w:t>Net cash used in investing activities</w:t>
            </w:r>
          </w:p>
        </w:tc>
        <w:tc>
          <w:tcPr>
            <w:tcW w:w="2420" w:type="dxa"/>
            <w:vAlign w:val="bottom"/>
            <w:shd w:val="clear" w:color="auto" w:fill="CCEEFF"/>
          </w:tcPr>
          <w:p>
            <w:pPr>
              <w:jc w:val="right"/>
              <w:ind w:right="343"/>
              <w:spacing w:after="0"/>
              <w:rPr>
                <w:sz w:val="20"/>
                <w:szCs w:val="20"/>
                <w:color w:val="auto"/>
              </w:rPr>
            </w:pPr>
            <w:r>
              <w:rPr>
                <w:rFonts w:ascii="Arial" w:cs="Arial" w:eastAsia="Arial" w:hAnsi="Arial"/>
                <w:sz w:val="15"/>
                <w:szCs w:val="15"/>
                <w:b w:val="1"/>
                <w:bCs w:val="1"/>
                <w:color w:val="auto"/>
              </w:rPr>
              <w:t>$</w:t>
            </w:r>
          </w:p>
        </w:tc>
        <w:tc>
          <w:tcPr>
            <w:tcW w:w="84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63</w:t>
            </w:r>
          </w:p>
        </w:tc>
        <w:tc>
          <w:tcPr>
            <w:tcW w:w="740" w:type="dxa"/>
            <w:vAlign w:val="bottom"/>
            <w:shd w:val="clear" w:color="auto" w:fill="CCEEFF"/>
          </w:tcPr>
          <w:p>
            <w:pPr>
              <w:jc w:val="right"/>
              <w:ind w:right="463"/>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w:t>
            </w:r>
          </w:p>
        </w:tc>
      </w:tr>
      <w:tr>
        <w:trPr>
          <w:trHeight w:val="207"/>
        </w:trPr>
        <w:tc>
          <w:tcPr>
            <w:tcW w:w="43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 Change</w:t>
            </w:r>
          </w:p>
        </w:tc>
        <w:tc>
          <w:tcPr>
            <w:tcW w:w="242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w:t>
            </w:r>
          </w:p>
        </w:tc>
        <w:tc>
          <w:tcPr>
            <w:tcW w:w="8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(12)</w:t>
            </w:r>
          </w:p>
        </w:tc>
        <w:tc>
          <w:tcPr>
            <w:tcW w:w="7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r>
    </w:tbl>
    <w:p>
      <w:pPr>
        <w:spacing w:after="0" w:line="116" w:lineRule="exact"/>
        <w:rPr>
          <w:sz w:val="20"/>
          <w:szCs w:val="20"/>
          <w:color w:val="auto"/>
        </w:rPr>
      </w:pPr>
    </w:p>
    <w:p>
      <w:pPr>
        <w:jc w:val="both"/>
        <w:ind w:right="20"/>
        <w:spacing w:after="0"/>
        <w:rPr>
          <w:sz w:val="20"/>
          <w:szCs w:val="20"/>
          <w:color w:val="auto"/>
        </w:rPr>
      </w:pPr>
      <w:r>
        <w:rPr>
          <w:rFonts w:ascii="Arial" w:cs="Arial" w:eastAsia="Arial" w:hAnsi="Arial"/>
          <w:sz w:val="15"/>
          <w:szCs w:val="15"/>
          <w:color w:val="auto"/>
        </w:rPr>
        <w:t>Capital expenditures declined by $11 million compared with the corresponding prior-year period. This represented a decline in spending on store projects partially offset by an increase related to technology projects. The Company’s full-year capital spending is expected to be approximately $229 million, which includes $124 million related to the remodeling or relocation of approximately 110 existing stores and the opening of approximately 40 new stores, as well as $105 million for the development of information systems, websites, and infrastructure, including supply chain initiatives. Additionally, during the thirteen weeks ending May 5, 2018, we finalized our insurance claim relating to Hurricane Maria and recorded a gain of $5 million. We received $1 million of insurance proceeds for fixed assets and we will receive an additional $4 million during the second quarter, of which $1 million will be classified as an investing activity.</w:t>
      </w: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Financing Activities</w:t>
      </w:r>
    </w:p>
    <w:p>
      <w:pPr>
        <w:spacing w:after="0" w:line="251" w:lineRule="exact"/>
        <w:rPr>
          <w:sz w:val="20"/>
          <w:szCs w:val="20"/>
          <w:color w:val="auto"/>
        </w:rPr>
      </w:pPr>
    </w:p>
    <w:p>
      <w:pPr>
        <w:ind w:left="6800"/>
        <w:spacing w:after="0"/>
        <w:rPr>
          <w:sz w:val="20"/>
          <w:szCs w:val="20"/>
          <w:color w:val="auto"/>
        </w:rPr>
      </w:pPr>
      <w:r>
        <w:rPr>
          <w:rFonts w:ascii="Arial" w:cs="Arial" w:eastAsia="Arial" w:hAnsi="Arial"/>
          <w:sz w:val="15"/>
          <w:szCs w:val="15"/>
          <w:b w:val="1"/>
          <w:bCs w:val="1"/>
          <w:color w:val="auto"/>
        </w:rPr>
        <w:t>Thirteen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577723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77230" cy="7620"/>
                    </a:xfrm>
                    <a:prstGeom prst="rect">
                      <a:avLst/>
                    </a:prstGeom>
                    <a:noFill/>
                  </pic:spPr>
                </pic:pic>
              </a:graphicData>
            </a:graphic>
          </wp:anchor>
        </w:drawing>
      </w:r>
    </w:p>
    <w:p>
      <w:pPr>
        <w:spacing w:after="0" w:line="14" w:lineRule="exact"/>
        <w:rPr>
          <w:sz w:val="20"/>
          <w:szCs w:val="20"/>
          <w:color w:val="auto"/>
        </w:rPr>
      </w:pPr>
    </w:p>
    <w:p>
      <w:pPr>
        <w:ind w:left="6360"/>
        <w:spacing w:after="0"/>
        <w:tabs>
          <w:tab w:leader="none" w:pos="7900" w:val="left"/>
        </w:tabs>
        <w:rPr>
          <w:sz w:val="20"/>
          <w:szCs w:val="20"/>
          <w:color w:val="auto"/>
        </w:rPr>
      </w:pPr>
      <w:r>
        <w:rPr>
          <w:rFonts w:ascii="Arial" w:cs="Arial" w:eastAsia="Arial" w:hAnsi="Arial"/>
          <w:sz w:val="15"/>
          <w:szCs w:val="15"/>
          <w:b w:val="1"/>
          <w:bCs w:val="1"/>
          <w:color w:val="auto"/>
        </w:rPr>
        <w:t>May 5, 2018</w:t>
      </w:r>
      <w:r>
        <w:rPr>
          <w:sz w:val="20"/>
          <w:szCs w:val="20"/>
          <w:color w:val="auto"/>
        </w:rPr>
        <w:tab/>
      </w:r>
      <w:r>
        <w:rPr>
          <w:rFonts w:ascii="Arial" w:cs="Arial" w:eastAsia="Arial" w:hAnsi="Arial"/>
          <w:sz w:val="15"/>
          <w:szCs w:val="15"/>
          <w:b w:val="1"/>
          <w:bCs w:val="1"/>
          <w:color w:val="auto"/>
        </w:rPr>
        <w:t>April 29,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wp:posOffset>
            </wp:positionV>
            <wp:extent cx="577723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77230" cy="7620"/>
                    </a:xfrm>
                    <a:prstGeom prst="rect">
                      <a:avLst/>
                    </a:prstGeom>
                    <a:noFill/>
                  </pic:spPr>
                </pic:pic>
              </a:graphicData>
            </a:graphic>
          </wp:anchor>
        </w:drawing>
      </w:r>
    </w:p>
    <w:p>
      <w:pPr>
        <w:spacing w:after="0" w:line="32" w:lineRule="exact"/>
        <w:rPr>
          <w:sz w:val="20"/>
          <w:szCs w:val="20"/>
          <w:color w:val="auto"/>
        </w:rPr>
      </w:pPr>
    </w:p>
    <w:p>
      <w:pPr>
        <w:ind w:left="7140"/>
        <w:spacing w:after="0"/>
        <w:rPr>
          <w:sz w:val="20"/>
          <w:szCs w:val="20"/>
          <w:color w:val="auto"/>
        </w:rPr>
      </w:pPr>
      <w:r>
        <w:rPr>
          <w:rFonts w:ascii="Arial" w:cs="Arial" w:eastAsia="Arial" w:hAnsi="Arial"/>
          <w:sz w:val="15"/>
          <w:szCs w:val="15"/>
          <w:color w:val="auto"/>
        </w:rPr>
        <w:t>($ in millions)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60" w:type="dxa"/>
            <w:vAlign w:val="bottom"/>
            <w:shd w:val="clear" w:color="auto" w:fill="CCEEFF"/>
          </w:tcPr>
          <w:p>
            <w:pPr>
              <w:spacing w:after="0"/>
              <w:rPr>
                <w:sz w:val="20"/>
                <w:szCs w:val="20"/>
                <w:color w:val="auto"/>
              </w:rPr>
            </w:pPr>
            <w:r>
              <w:rPr>
                <w:rFonts w:ascii="Arial" w:cs="Arial" w:eastAsia="Arial" w:hAnsi="Arial"/>
                <w:sz w:val="15"/>
                <w:szCs w:val="15"/>
                <w:color w:val="auto"/>
              </w:rPr>
              <w:t>Net cash used in financing activities</w:t>
            </w:r>
          </w:p>
        </w:tc>
        <w:tc>
          <w:tcPr>
            <w:tcW w:w="3320" w:type="dxa"/>
            <w:vAlign w:val="bottom"/>
            <w:shd w:val="clear" w:color="auto" w:fill="CCEEFF"/>
          </w:tcPr>
          <w:p>
            <w:pPr>
              <w:jc w:val="right"/>
              <w:ind w:right="343"/>
              <w:spacing w:after="0"/>
              <w:rPr>
                <w:sz w:val="20"/>
                <w:szCs w:val="20"/>
                <w:color w:val="auto"/>
              </w:rPr>
            </w:pPr>
            <w:r>
              <w:rPr>
                <w:rFonts w:ascii="Arial" w:cs="Arial" w:eastAsia="Arial" w:hAnsi="Arial"/>
                <w:sz w:val="15"/>
                <w:szCs w:val="15"/>
                <w:b w:val="1"/>
                <w:bCs w:val="1"/>
                <w:color w:val="auto"/>
              </w:rPr>
              <w:t>$</w:t>
            </w:r>
          </w:p>
        </w:tc>
        <w:tc>
          <w:tcPr>
            <w:tcW w:w="820" w:type="dxa"/>
            <w:vAlign w:val="bottom"/>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154</w:t>
            </w:r>
          </w:p>
        </w:tc>
        <w:tc>
          <w:tcPr>
            <w:tcW w:w="760" w:type="dxa"/>
            <w:vAlign w:val="bottom"/>
            <w:shd w:val="clear" w:color="auto" w:fill="CCEEFF"/>
          </w:tcPr>
          <w:p>
            <w:pPr>
              <w:jc w:val="right"/>
              <w:ind w:right="463"/>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w:t>
            </w:r>
          </w:p>
        </w:tc>
        <w:tc>
          <w:tcPr>
            <w:tcW w:w="20" w:type="dxa"/>
            <w:vAlign w:val="bottom"/>
          </w:tcPr>
          <w:p>
            <w:pPr>
              <w:spacing w:after="0"/>
              <w:rPr>
                <w:sz w:val="16"/>
                <w:szCs w:val="16"/>
                <w:color w:val="auto"/>
              </w:rPr>
            </w:pPr>
          </w:p>
        </w:tc>
      </w:tr>
      <w:tr>
        <w:trPr>
          <w:trHeight w:val="207"/>
        </w:trPr>
        <w:tc>
          <w:tcPr>
            <w:tcW w:w="34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 Change</w:t>
            </w:r>
          </w:p>
        </w:tc>
        <w:tc>
          <w:tcPr>
            <w:tcW w:w="332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w:t>
            </w:r>
          </w:p>
        </w:tc>
        <w:tc>
          <w:tcPr>
            <w:tcW w:w="8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75</w:t>
            </w:r>
          </w:p>
        </w:tc>
        <w:tc>
          <w:tcPr>
            <w:tcW w:w="7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367"/>
        </w:trPr>
        <w:tc>
          <w:tcPr>
            <w:tcW w:w="3460" w:type="dxa"/>
            <w:vAlign w:val="bottom"/>
          </w:tcPr>
          <w:p>
            <w:pPr>
              <w:spacing w:after="0"/>
              <w:rPr>
                <w:sz w:val="24"/>
                <w:szCs w:val="24"/>
                <w:color w:val="auto"/>
              </w:rPr>
            </w:pPr>
          </w:p>
        </w:tc>
        <w:tc>
          <w:tcPr>
            <w:tcW w:w="3320" w:type="dxa"/>
            <w:vAlign w:val="bottom"/>
          </w:tcPr>
          <w:p>
            <w:pPr>
              <w:jc w:val="right"/>
              <w:ind w:right="2063"/>
              <w:spacing w:after="0"/>
              <w:rPr>
                <w:sz w:val="20"/>
                <w:szCs w:val="20"/>
                <w:color w:val="auto"/>
              </w:rPr>
            </w:pPr>
            <w:r>
              <w:rPr>
                <w:rFonts w:ascii="Arial" w:cs="Arial" w:eastAsia="Arial" w:hAnsi="Arial"/>
                <w:sz w:val="15"/>
                <w:szCs w:val="15"/>
                <w:color w:val="auto"/>
              </w:rPr>
              <w:t>22</w:t>
            </w: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8"/>
        </w:trPr>
        <w:tc>
          <w:tcPr>
            <w:tcW w:w="3460" w:type="dxa"/>
            <w:vAlign w:val="bottom"/>
            <w:tcBorders>
              <w:bottom w:val="single" w:sz="8" w:color="9A9A9A"/>
            </w:tcBorders>
          </w:tcPr>
          <w:p>
            <w:pPr>
              <w:spacing w:after="0"/>
              <w:rPr>
                <w:sz w:val="7"/>
                <w:szCs w:val="7"/>
                <w:color w:val="auto"/>
              </w:rPr>
            </w:pPr>
          </w:p>
        </w:tc>
        <w:tc>
          <w:tcPr>
            <w:tcW w:w="33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r>
        <w:trPr>
          <w:trHeight w:val="20"/>
        </w:trPr>
        <w:tc>
          <w:tcPr>
            <w:tcW w:w="3460" w:type="dxa"/>
            <w:vAlign w:val="bottom"/>
            <w:tcBorders>
              <w:bottom w:val="single" w:sz="8" w:color="EEEEEE"/>
            </w:tcBorders>
          </w:tcPr>
          <w:p>
            <w:pPr>
              <w:spacing w:after="0" w:line="20" w:lineRule="exact"/>
              <w:rPr>
                <w:sz w:val="1"/>
                <w:szCs w:val="1"/>
                <w:color w:val="auto"/>
              </w:rPr>
            </w:pPr>
          </w:p>
        </w:tc>
        <w:tc>
          <w:tcPr>
            <w:tcW w:w="332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5775325</wp:posOffset>
            </wp:positionH>
            <wp:positionV relativeFrom="paragraph">
              <wp:posOffset>-34925</wp:posOffset>
            </wp:positionV>
            <wp:extent cx="33020" cy="482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-34925</wp:posOffset>
            </wp:positionV>
            <wp:extent cx="33020" cy="482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9120"/>
          </w:cols>
          <w:pgMar w:left="1400" w:top="313" w:right="1379" w:bottom="1440" w:gutter="0" w:footer="0" w:header="0"/>
        </w:sectPr>
      </w:pPr>
    </w:p>
    <w:bookmarkStart w:id="24" w:name="page25"/>
    <w:bookmarkEnd w:id="24"/>
    <w:p>
      <w:pPr>
        <w:jc w:val="both"/>
        <w:spacing w:after="0" w:line="239" w:lineRule="auto"/>
        <w:rPr>
          <w:sz w:val="20"/>
          <w:szCs w:val="20"/>
          <w:color w:val="auto"/>
        </w:rPr>
      </w:pPr>
      <w:r>
        <w:rPr>
          <w:rFonts w:ascii="Arial" w:cs="Arial" w:eastAsia="Arial" w:hAnsi="Arial"/>
          <w:sz w:val="15"/>
          <w:szCs w:val="15"/>
          <w:color w:val="auto"/>
        </w:rPr>
        <w:t>During the thirteen weeks ended May 5, 2018, we repurchased 2,616,805 shares of our common stock for $112 million, as compared with 546,100 shares repurchased for $38 million in the corresponding prior-year period. The Company also declared and paid dividends of $41 million during the first quarter of 2018 and 2017. This represented quarterly rates of $0.345 and $0.31 per share for 2018 and 2017, respectively. Additionally, the amount received for proceeds from common stock in connection with employee stock was not significant for the thirteen weeks ended May 5, 2018, and was $9 million for the corresponding prior-year period. Also, during the thirteen weeks ended May 5, 2018 and April 29, 2017, the Company paid $1 million and $9 million, respectively, to satisfy tax withholding obligations relating to the vesting of share-based equity awards.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Accounting Policies and Estimates</w:t>
      </w:r>
    </w:p>
    <w:p>
      <w:pPr>
        <w:spacing w:after="0" w:line="186"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There have been no significant changes to our critical accounting policies and estimates from the information provided in Item 7, “Management’s Discussion and Analysis of Financial Condition and Results of Operations,” included in the Annual Report on Form 10-K for the fiscal year ended February 3, 2018.</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Accounting Pronouncements</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 xml:space="preserve">Descriptions of the recently issued and adopted accounting principles are included Item 1. “Financial Statements” in Note 1, </w:t>
      </w:r>
      <w:r>
        <w:rPr>
          <w:rFonts w:ascii="Arial" w:cs="Arial" w:eastAsia="Arial" w:hAnsi="Arial"/>
          <w:sz w:val="15"/>
          <w:szCs w:val="15"/>
          <w:i w:val="1"/>
          <w:iCs w:val="1"/>
          <w:color w:val="auto"/>
        </w:rPr>
        <w:t>Summary of Significant Accounting Policies</w:t>
      </w:r>
      <w:r>
        <w:rPr>
          <w:rFonts w:ascii="Arial" w:cs="Arial" w:eastAsia="Arial" w:hAnsi="Arial"/>
          <w:sz w:val="15"/>
          <w:szCs w:val="15"/>
          <w:color w:val="auto"/>
        </w:rPr>
        <w:t>, to the Condensed Consolidated Financial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Contractual Obligations and Commitments</w:t>
      </w:r>
    </w:p>
    <w:p>
      <w:pPr>
        <w:spacing w:after="0" w:line="186" w:lineRule="exact"/>
        <w:rPr>
          <w:sz w:val="20"/>
          <w:szCs w:val="20"/>
          <w:color w:val="auto"/>
        </w:rPr>
      </w:pPr>
    </w:p>
    <w:p>
      <w:pPr>
        <w:jc w:val="both"/>
        <w:spacing w:after="0" w:line="239" w:lineRule="auto"/>
        <w:rPr>
          <w:sz w:val="20"/>
          <w:szCs w:val="20"/>
          <w:color w:val="auto"/>
        </w:rPr>
      </w:pPr>
      <w:r>
        <w:rPr>
          <w:rFonts w:ascii="Arial" w:cs="Arial" w:eastAsia="Arial" w:hAnsi="Arial"/>
          <w:sz w:val="15"/>
          <w:szCs w:val="15"/>
          <w:color w:val="auto"/>
        </w:rPr>
        <w:t>The Company’s contractual cash obligations and commercial commitments at May 5, 2018 and the effects such obligations and commitments are expected to have on the Company’s liquidity and cash flows in future periods have not changed significantly since February 3, 2018 other than amounts related to tax reform. The Company plans to elect to pay the tax related to the mandatory deemed repatriation (“toll charge”) in annual installments over an eight year period. During the first quarter of 2018, the IRS issued a Q&amp;A which indicated that a taxpayer may not receive a refund, or credit any portion of properly applied 2017 tax payments, unless the amount of payments exceeds the entire unpaid toll charge. Due to the Company’s prepayments with the IRS, the entire amount of the toll charge has been satisfied. Approximately $10 million related to tax reform remains payable, however the timing of payment is not determinable at this time.</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Item 4. Controls and Procedures</w:t>
      </w:r>
    </w:p>
    <w:p>
      <w:pPr>
        <w:spacing w:after="0" w:line="186" w:lineRule="exact"/>
        <w:rPr>
          <w:sz w:val="20"/>
          <w:szCs w:val="20"/>
          <w:color w:val="auto"/>
        </w:rPr>
      </w:pPr>
    </w:p>
    <w:p>
      <w:pPr>
        <w:jc w:val="both"/>
        <w:spacing w:after="0" w:line="239" w:lineRule="auto"/>
        <w:rPr>
          <w:sz w:val="20"/>
          <w:szCs w:val="20"/>
          <w:color w:val="auto"/>
        </w:rPr>
      </w:pPr>
      <w:r>
        <w:rPr>
          <w:rFonts w:ascii="Arial" w:cs="Arial" w:eastAsia="Arial" w:hAnsi="Arial"/>
          <w:sz w:val="15"/>
          <w:szCs w:val="15"/>
          <w:color w:val="auto"/>
        </w:rPr>
        <w:t>During the quarter, the Company’s management performed an evaluation, under the supervision and with the participation of the Company’s Chief Executive Officer (“CEO”) and Chief Financial Officer (“CFO”), of the effectiveness of the design and operation of the Company’s disclosure controls and procedures (as that term is defined in Rules 13a-15(e) and 15d-15(e) under the Securities Exchange Act of 1934, as amended (the “Exchange Act”)). Based on that evaluation, the Company’s CEO and CFO concluded that the Company’s disclosure controls and procedures were effective to ensure that information relating to the Company that is required to be disclosed in the reports that we file or submit under the Exchange Act is recorded, processed, summarized and reported, within the time periods specified in the SEC rules and forms, and is accumulated and communicated to management, including the CEO and CFO, as appropriate to allow timely decisions regarding required disclosure.</w:t>
      </w:r>
    </w:p>
    <w:p>
      <w:pPr>
        <w:spacing w:after="0" w:line="158"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We are currently migrating our point-of-sale software to a new platform. Approximately 500 stores have been converted to the new software platform as May 5, 2018, and we expect to complete the implementation primarily in this fiscal year. In connection with this implementation and resulting business process changes, we may make changes to the design and operation to our internal control over financial reporting.</w:t>
      </w:r>
    </w:p>
    <w:p>
      <w:pPr>
        <w:spacing w:after="0" w:line="156"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During the quarter ended May 5, 2018, there were no changes in the Company’s internal control over financial reporting, other than the implementation of new point-of-sale software noted above, (as defined in Rules 13a-15(f) of the Exchange Act) that materially affected or are reasonably likely to affect the Company’s internal control over financial reporting.</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329" w:right="1399" w:bottom="1440" w:gutter="0" w:footer="0" w:header="0"/>
        </w:sectPr>
      </w:pPr>
    </w:p>
    <w:bookmarkStart w:id="25" w:name="page26"/>
    <w:bookmarkEnd w:id="25"/>
    <w:p>
      <w:pPr>
        <w:spacing w:after="0"/>
        <w:rPr>
          <w:sz w:val="20"/>
          <w:szCs w:val="20"/>
          <w:color w:val="auto"/>
        </w:rPr>
      </w:pPr>
      <w:r>
        <w:rPr>
          <w:rFonts w:ascii="Arial" w:cs="Arial" w:eastAsia="Arial" w:hAnsi="Arial"/>
          <w:sz w:val="15"/>
          <w:szCs w:val="15"/>
          <w:b w:val="1"/>
          <w:bCs w:val="1"/>
          <w:color w:val="auto"/>
        </w:rPr>
        <w:t>PART II - OTHER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Item 1. Legal Proceedings</w:t>
      </w:r>
    </w:p>
    <w:p>
      <w:pPr>
        <w:spacing w:after="0" w:line="170" w:lineRule="exact"/>
        <w:rPr>
          <w:sz w:val="20"/>
          <w:szCs w:val="20"/>
          <w:color w:val="auto"/>
        </w:rPr>
      </w:pPr>
    </w:p>
    <w:p>
      <w:pPr>
        <w:ind w:right="20"/>
        <w:spacing w:after="0" w:line="258" w:lineRule="auto"/>
        <w:rPr>
          <w:sz w:val="20"/>
          <w:szCs w:val="20"/>
          <w:color w:val="auto"/>
        </w:rPr>
      </w:pPr>
      <w:r>
        <w:rPr>
          <w:rFonts w:ascii="Arial" w:cs="Arial" w:eastAsia="Arial" w:hAnsi="Arial"/>
          <w:sz w:val="15"/>
          <w:szCs w:val="15"/>
          <w:color w:val="auto"/>
        </w:rPr>
        <w:t xml:space="preserve">Information regarding the Company’s legal proceedings is contained in the </w:t>
      </w:r>
      <w:r>
        <w:rPr>
          <w:rFonts w:ascii="Arial" w:cs="Arial" w:eastAsia="Arial" w:hAnsi="Arial"/>
          <w:sz w:val="15"/>
          <w:szCs w:val="15"/>
          <w:i w:val="1"/>
          <w:iCs w:val="1"/>
          <w:color w:val="auto"/>
        </w:rPr>
        <w:t>Legal Proceedings</w:t>
      </w:r>
      <w:r>
        <w:rPr>
          <w:rFonts w:ascii="Arial" w:cs="Arial" w:eastAsia="Arial" w:hAnsi="Arial"/>
          <w:sz w:val="15"/>
          <w:szCs w:val="15"/>
          <w:color w:val="auto"/>
        </w:rPr>
        <w:t xml:space="preserve"> note under Item 1. “Financial Statements.”</w:t>
      </w:r>
    </w:p>
    <w:p>
      <w:pPr>
        <w:spacing w:after="0" w:line="32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Item 1A. Risk Factors</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There were no material changes to the risk factors disclosed in the 2017 Annual Report on Form 10-K.</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Item 2. Unregistered Sales of Equity Securities and Use of Proceeds</w:t>
      </w:r>
    </w:p>
    <w:p>
      <w:pPr>
        <w:spacing w:after="0" w:line="186" w:lineRule="exact"/>
        <w:rPr>
          <w:sz w:val="20"/>
          <w:szCs w:val="20"/>
          <w:color w:val="auto"/>
        </w:rPr>
      </w:pPr>
    </w:p>
    <w:p>
      <w:pPr>
        <w:ind w:right="20"/>
        <w:spacing w:after="0" w:line="254" w:lineRule="auto"/>
        <w:rPr>
          <w:sz w:val="20"/>
          <w:szCs w:val="20"/>
          <w:color w:val="auto"/>
        </w:rPr>
      </w:pPr>
      <w:r>
        <w:rPr>
          <w:rFonts w:ascii="Arial" w:cs="Arial" w:eastAsia="Arial" w:hAnsi="Arial"/>
          <w:sz w:val="15"/>
          <w:szCs w:val="15"/>
          <w:color w:val="auto"/>
        </w:rPr>
        <w:t>The following table provides information with respect to shares of the Company’s common stock that the Company repurchased during the thirteen weeks ended May 5, 2018:</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3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jc w:val="center"/>
              <w:ind w:right="143"/>
              <w:spacing w:after="0"/>
              <w:rPr>
                <w:sz w:val="20"/>
                <w:szCs w:val="20"/>
                <w:color w:val="auto"/>
              </w:rPr>
            </w:pPr>
            <w:r>
              <w:rPr>
                <w:rFonts w:ascii="Arial" w:cs="Arial" w:eastAsia="Arial" w:hAnsi="Arial"/>
                <w:sz w:val="15"/>
                <w:szCs w:val="15"/>
                <w:b w:val="1"/>
                <w:bCs w:val="1"/>
                <w:color w:val="auto"/>
              </w:rPr>
              <w:t>Approximate</w:t>
            </w:r>
          </w:p>
        </w:tc>
      </w:tr>
      <w:tr>
        <w:trPr>
          <w:trHeight w:val="182"/>
        </w:trPr>
        <w:tc>
          <w:tcPr>
            <w:tcW w:w="23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60" w:type="dxa"/>
            <w:vAlign w:val="bottom"/>
          </w:tcPr>
          <w:p>
            <w:pPr>
              <w:jc w:val="center"/>
              <w:ind w:right="3"/>
              <w:spacing w:after="0"/>
              <w:rPr>
                <w:sz w:val="20"/>
                <w:szCs w:val="20"/>
                <w:color w:val="auto"/>
              </w:rPr>
            </w:pPr>
            <w:r>
              <w:rPr>
                <w:rFonts w:ascii="Arial" w:cs="Arial" w:eastAsia="Arial" w:hAnsi="Arial"/>
                <w:sz w:val="15"/>
                <w:szCs w:val="15"/>
                <w:b w:val="1"/>
                <w:bCs w:val="1"/>
                <w:color w:val="auto"/>
              </w:rPr>
              <w:t>Total Number of</w:t>
            </w:r>
          </w:p>
        </w:tc>
        <w:tc>
          <w:tcPr>
            <w:tcW w:w="280" w:type="dxa"/>
            <w:vAlign w:val="bottom"/>
          </w:tcPr>
          <w:p>
            <w:pPr>
              <w:spacing w:after="0"/>
              <w:rPr>
                <w:sz w:val="15"/>
                <w:szCs w:val="15"/>
                <w:color w:val="auto"/>
              </w:rPr>
            </w:pPr>
          </w:p>
        </w:tc>
        <w:tc>
          <w:tcPr>
            <w:tcW w:w="1320" w:type="dxa"/>
            <w:vAlign w:val="bottom"/>
          </w:tcPr>
          <w:p>
            <w:pPr>
              <w:jc w:val="center"/>
              <w:ind w:right="123"/>
              <w:spacing w:after="0"/>
              <w:rPr>
                <w:sz w:val="20"/>
                <w:szCs w:val="20"/>
                <w:color w:val="auto"/>
              </w:rPr>
            </w:pPr>
            <w:r>
              <w:rPr>
                <w:rFonts w:ascii="Arial" w:cs="Arial" w:eastAsia="Arial" w:hAnsi="Arial"/>
                <w:sz w:val="15"/>
                <w:szCs w:val="15"/>
                <w:b w:val="1"/>
                <w:bCs w:val="1"/>
                <w:color w:val="auto"/>
              </w:rPr>
              <w:t>Dollar Value of</w:t>
            </w:r>
          </w:p>
        </w:tc>
      </w:tr>
      <w:tr>
        <w:trPr>
          <w:trHeight w:val="182"/>
        </w:trPr>
        <w:tc>
          <w:tcPr>
            <w:tcW w:w="2320" w:type="dxa"/>
            <w:vAlign w:val="bottom"/>
          </w:tcPr>
          <w:p>
            <w:pPr>
              <w:spacing w:after="0"/>
              <w:rPr>
                <w:sz w:val="15"/>
                <w:szCs w:val="15"/>
                <w:color w:val="auto"/>
              </w:rPr>
            </w:pPr>
          </w:p>
        </w:tc>
        <w:tc>
          <w:tcPr>
            <w:tcW w:w="1640" w:type="dxa"/>
            <w:vAlign w:val="bottom"/>
          </w:tcPr>
          <w:p>
            <w:pPr>
              <w:jc w:val="center"/>
              <w:ind w:left="123"/>
              <w:spacing w:after="0"/>
              <w:rPr>
                <w:sz w:val="20"/>
                <w:szCs w:val="20"/>
                <w:color w:val="auto"/>
              </w:rPr>
            </w:pPr>
            <w:r>
              <w:rPr>
                <w:rFonts w:ascii="Arial" w:cs="Arial" w:eastAsia="Arial" w:hAnsi="Arial"/>
                <w:sz w:val="15"/>
                <w:szCs w:val="15"/>
                <w:b w:val="1"/>
                <w:bCs w:val="1"/>
                <w:color w:val="auto"/>
              </w:rPr>
              <w:t>Total</w:t>
            </w:r>
          </w:p>
        </w:tc>
        <w:tc>
          <w:tcPr>
            <w:tcW w:w="340" w:type="dxa"/>
            <w:vAlign w:val="bottom"/>
          </w:tcPr>
          <w:p>
            <w:pPr>
              <w:spacing w:after="0"/>
              <w:rPr>
                <w:sz w:val="15"/>
                <w:szCs w:val="15"/>
                <w:color w:val="auto"/>
              </w:rPr>
            </w:pPr>
          </w:p>
        </w:tc>
        <w:tc>
          <w:tcPr>
            <w:tcW w:w="1140" w:type="dxa"/>
            <w:vAlign w:val="bottom"/>
          </w:tcPr>
          <w:p>
            <w:pPr>
              <w:jc w:val="center"/>
              <w:ind w:right="343"/>
              <w:spacing w:after="0"/>
              <w:rPr>
                <w:sz w:val="20"/>
                <w:szCs w:val="20"/>
                <w:color w:val="auto"/>
              </w:rPr>
            </w:pPr>
            <w:r>
              <w:rPr>
                <w:rFonts w:ascii="Arial" w:cs="Arial" w:eastAsia="Arial" w:hAnsi="Arial"/>
                <w:sz w:val="15"/>
                <w:szCs w:val="15"/>
                <w:b w:val="1"/>
                <w:bCs w:val="1"/>
                <w:color w:val="auto"/>
              </w:rPr>
              <w:t>Average</w:t>
            </w:r>
          </w:p>
        </w:tc>
        <w:tc>
          <w:tcPr>
            <w:tcW w:w="2060" w:type="dxa"/>
            <w:vAlign w:val="bottom"/>
          </w:tcPr>
          <w:p>
            <w:pPr>
              <w:jc w:val="center"/>
              <w:ind w:right="23"/>
              <w:spacing w:after="0"/>
              <w:rPr>
                <w:sz w:val="20"/>
                <w:szCs w:val="20"/>
                <w:color w:val="auto"/>
              </w:rPr>
            </w:pPr>
            <w:r>
              <w:rPr>
                <w:rFonts w:ascii="Arial" w:cs="Arial" w:eastAsia="Arial" w:hAnsi="Arial"/>
                <w:sz w:val="15"/>
                <w:szCs w:val="15"/>
                <w:b w:val="1"/>
                <w:bCs w:val="1"/>
                <w:color w:val="auto"/>
              </w:rPr>
              <w:t>Shares Purchased as</w:t>
            </w:r>
          </w:p>
        </w:tc>
        <w:tc>
          <w:tcPr>
            <w:tcW w:w="1600" w:type="dxa"/>
            <w:vAlign w:val="bottom"/>
            <w:gridSpan w:val="2"/>
          </w:tcPr>
          <w:p>
            <w:pPr>
              <w:jc w:val="center"/>
              <w:ind w:left="3"/>
              <w:spacing w:after="0"/>
              <w:rPr>
                <w:sz w:val="20"/>
                <w:szCs w:val="20"/>
                <w:color w:val="auto"/>
              </w:rPr>
            </w:pPr>
            <w:r>
              <w:rPr>
                <w:rFonts w:ascii="Arial" w:cs="Arial" w:eastAsia="Arial" w:hAnsi="Arial"/>
                <w:sz w:val="15"/>
                <w:szCs w:val="15"/>
                <w:b w:val="1"/>
                <w:bCs w:val="1"/>
                <w:color w:val="auto"/>
              </w:rPr>
              <w:t>Shares that may</w:t>
            </w:r>
          </w:p>
        </w:tc>
      </w:tr>
      <w:tr>
        <w:trPr>
          <w:trHeight w:val="182"/>
        </w:trPr>
        <w:tc>
          <w:tcPr>
            <w:tcW w:w="2320" w:type="dxa"/>
            <w:vAlign w:val="bottom"/>
          </w:tcPr>
          <w:p>
            <w:pPr>
              <w:spacing w:after="0"/>
              <w:rPr>
                <w:sz w:val="15"/>
                <w:szCs w:val="15"/>
                <w:color w:val="auto"/>
              </w:rPr>
            </w:pPr>
          </w:p>
        </w:tc>
        <w:tc>
          <w:tcPr>
            <w:tcW w:w="1640" w:type="dxa"/>
            <w:vAlign w:val="bottom"/>
          </w:tcPr>
          <w:p>
            <w:pPr>
              <w:jc w:val="center"/>
              <w:ind w:left="103"/>
              <w:spacing w:after="0"/>
              <w:rPr>
                <w:sz w:val="20"/>
                <w:szCs w:val="20"/>
                <w:color w:val="auto"/>
              </w:rPr>
            </w:pPr>
            <w:r>
              <w:rPr>
                <w:rFonts w:ascii="Arial" w:cs="Arial" w:eastAsia="Arial" w:hAnsi="Arial"/>
                <w:sz w:val="15"/>
                <w:szCs w:val="15"/>
                <w:b w:val="1"/>
                <w:bCs w:val="1"/>
                <w:color w:val="auto"/>
              </w:rPr>
              <w:t>Number</w:t>
            </w:r>
          </w:p>
        </w:tc>
        <w:tc>
          <w:tcPr>
            <w:tcW w:w="340" w:type="dxa"/>
            <w:vAlign w:val="bottom"/>
          </w:tcPr>
          <w:p>
            <w:pPr>
              <w:spacing w:after="0"/>
              <w:rPr>
                <w:sz w:val="15"/>
                <w:szCs w:val="15"/>
                <w:color w:val="auto"/>
              </w:rPr>
            </w:pPr>
          </w:p>
        </w:tc>
        <w:tc>
          <w:tcPr>
            <w:tcW w:w="1140" w:type="dxa"/>
            <w:vAlign w:val="bottom"/>
          </w:tcPr>
          <w:p>
            <w:pPr>
              <w:jc w:val="center"/>
              <w:ind w:right="363"/>
              <w:spacing w:after="0"/>
              <w:rPr>
                <w:sz w:val="20"/>
                <w:szCs w:val="20"/>
                <w:color w:val="auto"/>
              </w:rPr>
            </w:pPr>
            <w:r>
              <w:rPr>
                <w:rFonts w:ascii="Arial" w:cs="Arial" w:eastAsia="Arial" w:hAnsi="Arial"/>
                <w:sz w:val="15"/>
                <w:szCs w:val="15"/>
                <w:b w:val="1"/>
                <w:bCs w:val="1"/>
                <w:color w:val="auto"/>
              </w:rPr>
              <w:t>Price</w:t>
            </w:r>
          </w:p>
        </w:tc>
        <w:tc>
          <w:tcPr>
            <w:tcW w:w="2060" w:type="dxa"/>
            <w:vAlign w:val="bottom"/>
          </w:tcPr>
          <w:p>
            <w:pPr>
              <w:jc w:val="center"/>
              <w:ind w:right="23"/>
              <w:spacing w:after="0"/>
              <w:rPr>
                <w:sz w:val="20"/>
                <w:szCs w:val="20"/>
                <w:color w:val="auto"/>
              </w:rPr>
            </w:pPr>
            <w:r>
              <w:rPr>
                <w:rFonts w:ascii="Arial" w:cs="Arial" w:eastAsia="Arial" w:hAnsi="Arial"/>
                <w:sz w:val="15"/>
                <w:szCs w:val="15"/>
                <w:b w:val="1"/>
                <w:bCs w:val="1"/>
                <w:color w:val="auto"/>
              </w:rPr>
              <w:t>Part of Publicly</w:t>
            </w:r>
          </w:p>
        </w:tc>
        <w:tc>
          <w:tcPr>
            <w:tcW w:w="1600" w:type="dxa"/>
            <w:vAlign w:val="bottom"/>
            <w:gridSpan w:val="2"/>
          </w:tcPr>
          <w:p>
            <w:pPr>
              <w:jc w:val="center"/>
              <w:ind w:left="3"/>
              <w:spacing w:after="0"/>
              <w:rPr>
                <w:sz w:val="20"/>
                <w:szCs w:val="20"/>
                <w:color w:val="auto"/>
              </w:rPr>
            </w:pPr>
            <w:r>
              <w:rPr>
                <w:rFonts w:ascii="Arial" w:cs="Arial" w:eastAsia="Arial" w:hAnsi="Arial"/>
                <w:sz w:val="15"/>
                <w:szCs w:val="15"/>
                <w:b w:val="1"/>
                <w:bCs w:val="1"/>
                <w:color w:val="auto"/>
              </w:rPr>
              <w:t>yet be Purchased</w:t>
            </w:r>
          </w:p>
        </w:tc>
      </w:tr>
      <w:tr>
        <w:trPr>
          <w:trHeight w:val="195"/>
        </w:trPr>
        <w:tc>
          <w:tcPr>
            <w:tcW w:w="2320" w:type="dxa"/>
            <w:vAlign w:val="bottom"/>
          </w:tcPr>
          <w:p>
            <w:pPr>
              <w:spacing w:after="0"/>
              <w:rPr>
                <w:sz w:val="16"/>
                <w:szCs w:val="16"/>
                <w:color w:val="auto"/>
              </w:rPr>
            </w:pPr>
          </w:p>
        </w:tc>
        <w:tc>
          <w:tcPr>
            <w:tcW w:w="1640" w:type="dxa"/>
            <w:vAlign w:val="bottom"/>
          </w:tcPr>
          <w:p>
            <w:pPr>
              <w:jc w:val="center"/>
              <w:ind w:left="103"/>
              <w:spacing w:after="0"/>
              <w:rPr>
                <w:sz w:val="20"/>
                <w:szCs w:val="20"/>
                <w:color w:val="auto"/>
              </w:rPr>
            </w:pPr>
            <w:r>
              <w:rPr>
                <w:rFonts w:ascii="Arial" w:cs="Arial" w:eastAsia="Arial" w:hAnsi="Arial"/>
                <w:sz w:val="15"/>
                <w:szCs w:val="15"/>
                <w:b w:val="1"/>
                <w:bCs w:val="1"/>
                <w:color w:val="auto"/>
              </w:rPr>
              <w:t>of Shares</w:t>
            </w:r>
          </w:p>
        </w:tc>
        <w:tc>
          <w:tcPr>
            <w:tcW w:w="340" w:type="dxa"/>
            <w:vAlign w:val="bottom"/>
          </w:tcPr>
          <w:p>
            <w:pPr>
              <w:spacing w:after="0"/>
              <w:rPr>
                <w:sz w:val="16"/>
                <w:szCs w:val="16"/>
                <w:color w:val="auto"/>
              </w:rPr>
            </w:pPr>
          </w:p>
        </w:tc>
        <w:tc>
          <w:tcPr>
            <w:tcW w:w="1140" w:type="dxa"/>
            <w:vAlign w:val="bottom"/>
          </w:tcPr>
          <w:p>
            <w:pPr>
              <w:jc w:val="center"/>
              <w:ind w:right="363"/>
              <w:spacing w:after="0"/>
              <w:rPr>
                <w:sz w:val="20"/>
                <w:szCs w:val="20"/>
                <w:color w:val="auto"/>
              </w:rPr>
            </w:pPr>
            <w:r>
              <w:rPr>
                <w:rFonts w:ascii="Arial" w:cs="Arial" w:eastAsia="Arial" w:hAnsi="Arial"/>
                <w:sz w:val="15"/>
                <w:szCs w:val="15"/>
                <w:b w:val="1"/>
                <w:bCs w:val="1"/>
                <w:color w:val="auto"/>
              </w:rPr>
              <w:t>Paid Per</w:t>
            </w:r>
          </w:p>
        </w:tc>
        <w:tc>
          <w:tcPr>
            <w:tcW w:w="2060" w:type="dxa"/>
            <w:vAlign w:val="bottom"/>
          </w:tcPr>
          <w:p>
            <w:pPr>
              <w:jc w:val="center"/>
              <w:ind w:right="3"/>
              <w:spacing w:after="0"/>
              <w:rPr>
                <w:sz w:val="20"/>
                <w:szCs w:val="20"/>
                <w:color w:val="auto"/>
              </w:rPr>
            </w:pPr>
            <w:r>
              <w:rPr>
                <w:rFonts w:ascii="Arial" w:cs="Arial" w:eastAsia="Arial" w:hAnsi="Arial"/>
                <w:sz w:val="15"/>
                <w:szCs w:val="15"/>
                <w:b w:val="1"/>
                <w:bCs w:val="1"/>
                <w:color w:val="auto"/>
              </w:rPr>
              <w:t>Announced</w:t>
            </w:r>
          </w:p>
        </w:tc>
        <w:tc>
          <w:tcPr>
            <w:tcW w:w="280" w:type="dxa"/>
            <w:vAlign w:val="bottom"/>
          </w:tcPr>
          <w:p>
            <w:pPr>
              <w:spacing w:after="0"/>
              <w:rPr>
                <w:sz w:val="16"/>
                <w:szCs w:val="16"/>
                <w:color w:val="auto"/>
              </w:rPr>
            </w:pPr>
          </w:p>
        </w:tc>
        <w:tc>
          <w:tcPr>
            <w:tcW w:w="1320" w:type="dxa"/>
            <w:vAlign w:val="bottom"/>
          </w:tcPr>
          <w:p>
            <w:pPr>
              <w:jc w:val="center"/>
              <w:ind w:right="123"/>
              <w:spacing w:after="0"/>
              <w:rPr>
                <w:sz w:val="20"/>
                <w:szCs w:val="20"/>
                <w:color w:val="auto"/>
              </w:rPr>
            </w:pPr>
            <w:r>
              <w:rPr>
                <w:rFonts w:ascii="Arial" w:cs="Arial" w:eastAsia="Arial" w:hAnsi="Arial"/>
                <w:sz w:val="15"/>
                <w:szCs w:val="15"/>
                <w:b w:val="1"/>
                <w:bCs w:val="1"/>
                <w:color w:val="auto"/>
              </w:rPr>
              <w:t>Under the</w:t>
            </w:r>
          </w:p>
        </w:tc>
      </w:tr>
      <w:tr>
        <w:trPr>
          <w:trHeight w:val="194"/>
        </w:trPr>
        <w:tc>
          <w:tcPr>
            <w:tcW w:w="23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Date Purchased</w:t>
            </w:r>
          </w:p>
        </w:tc>
        <w:tc>
          <w:tcPr>
            <w:tcW w:w="1640" w:type="dxa"/>
            <w:vAlign w:val="bottom"/>
            <w:tcBorders>
              <w:bottom w:val="single" w:sz="8" w:color="auto"/>
            </w:tcBorders>
          </w:tcPr>
          <w:p>
            <w:pPr>
              <w:jc w:val="center"/>
              <w:ind w:left="123"/>
              <w:spacing w:after="0"/>
              <w:rPr>
                <w:sz w:val="20"/>
                <w:szCs w:val="20"/>
                <w:color w:val="auto"/>
              </w:rPr>
            </w:pPr>
            <w:r>
              <w:rPr>
                <w:rFonts w:ascii="Arial" w:cs="Arial" w:eastAsia="Arial" w:hAnsi="Arial"/>
                <w:sz w:val="15"/>
                <w:szCs w:val="15"/>
                <w:b w:val="1"/>
                <w:bCs w:val="1"/>
                <w:color w:val="auto"/>
              </w:rPr>
              <w:t xml:space="preserve">Purchased </w:t>
            </w:r>
            <w:r>
              <w:rPr>
                <w:rFonts w:ascii="Arial" w:cs="Arial" w:eastAsia="Arial" w:hAnsi="Arial"/>
                <w:sz w:val="8"/>
                <w:szCs w:val="8"/>
                <w:color w:val="auto"/>
              </w:rPr>
              <w:t>(1)</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83"/>
              <w:spacing w:after="0"/>
              <w:rPr>
                <w:sz w:val="20"/>
                <w:szCs w:val="20"/>
                <w:color w:val="auto"/>
              </w:rPr>
            </w:pPr>
            <w:r>
              <w:rPr>
                <w:rFonts w:ascii="Arial" w:cs="Arial" w:eastAsia="Arial" w:hAnsi="Arial"/>
                <w:sz w:val="15"/>
                <w:szCs w:val="15"/>
                <w:b w:val="1"/>
                <w:bCs w:val="1"/>
                <w:color w:val="auto"/>
              </w:rPr>
              <w:t xml:space="preserve">Share </w:t>
            </w:r>
            <w:r>
              <w:rPr>
                <w:rFonts w:ascii="Arial" w:cs="Arial" w:eastAsia="Arial" w:hAnsi="Arial"/>
                <w:sz w:val="8"/>
                <w:szCs w:val="8"/>
                <w:color w:val="auto"/>
              </w:rPr>
              <w:t>(1)</w:t>
            </w:r>
          </w:p>
        </w:tc>
        <w:tc>
          <w:tcPr>
            <w:tcW w:w="2060" w:type="dxa"/>
            <w:vAlign w:val="bottom"/>
            <w:tcBorders>
              <w:bottom w:val="single" w:sz="8" w:color="auto"/>
            </w:tcBorders>
          </w:tcPr>
          <w:p>
            <w:pPr>
              <w:jc w:val="center"/>
              <w:ind w:right="3"/>
              <w:spacing w:after="0"/>
              <w:rPr>
                <w:sz w:val="20"/>
                <w:szCs w:val="20"/>
                <w:color w:val="auto"/>
              </w:rPr>
            </w:pPr>
            <w:r>
              <w:rPr>
                <w:rFonts w:ascii="Arial" w:cs="Arial" w:eastAsia="Arial" w:hAnsi="Arial"/>
                <w:sz w:val="15"/>
                <w:szCs w:val="15"/>
                <w:b w:val="1"/>
                <w:bCs w:val="1"/>
                <w:color w:val="auto"/>
              </w:rPr>
              <w:t xml:space="preserve">Program </w:t>
            </w:r>
            <w:r>
              <w:rPr>
                <w:rFonts w:ascii="Arial" w:cs="Arial" w:eastAsia="Arial" w:hAnsi="Arial"/>
                <w:sz w:val="8"/>
                <w:szCs w:val="8"/>
                <w:color w:val="auto"/>
              </w:rPr>
              <w:t>(2)</w:t>
            </w: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43"/>
              <w:spacing w:after="0"/>
              <w:rPr>
                <w:sz w:val="20"/>
                <w:szCs w:val="20"/>
                <w:color w:val="auto"/>
              </w:rPr>
            </w:pPr>
            <w:r>
              <w:rPr>
                <w:rFonts w:ascii="Arial" w:cs="Arial" w:eastAsia="Arial" w:hAnsi="Arial"/>
                <w:sz w:val="15"/>
                <w:szCs w:val="15"/>
                <w:b w:val="1"/>
                <w:bCs w:val="1"/>
                <w:color w:val="auto"/>
              </w:rPr>
              <w:t xml:space="preserve">Program </w:t>
            </w:r>
            <w:r>
              <w:rPr>
                <w:rFonts w:ascii="Arial" w:cs="Arial" w:eastAsia="Arial" w:hAnsi="Arial"/>
                <w:sz w:val="8"/>
                <w:szCs w:val="8"/>
                <w:color w:val="auto"/>
              </w:rPr>
              <w:t>(2)</w:t>
            </w:r>
          </w:p>
        </w:tc>
      </w:tr>
      <w:tr>
        <w:trPr>
          <w:trHeight w:val="187"/>
        </w:trPr>
        <w:tc>
          <w:tcPr>
            <w:tcW w:w="2320" w:type="dxa"/>
            <w:vAlign w:val="bottom"/>
            <w:shd w:val="clear" w:color="auto" w:fill="CCEEFF"/>
          </w:tcPr>
          <w:p>
            <w:pPr>
              <w:spacing w:after="0"/>
              <w:rPr>
                <w:sz w:val="20"/>
                <w:szCs w:val="20"/>
                <w:color w:val="auto"/>
              </w:rPr>
            </w:pPr>
            <w:r>
              <w:rPr>
                <w:rFonts w:ascii="Arial" w:cs="Arial" w:eastAsia="Arial" w:hAnsi="Arial"/>
                <w:sz w:val="15"/>
                <w:szCs w:val="15"/>
                <w:color w:val="auto"/>
              </w:rPr>
              <w:t>February 4 - March 3, 2018</w:t>
            </w:r>
          </w:p>
        </w:tc>
        <w:tc>
          <w:tcPr>
            <w:tcW w:w="16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14,200</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44.74</w:t>
            </w:r>
          </w:p>
        </w:tc>
        <w:tc>
          <w:tcPr>
            <w:tcW w:w="20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14,200</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757,828,494</w:t>
            </w:r>
          </w:p>
        </w:tc>
      </w:tr>
      <w:tr>
        <w:trPr>
          <w:trHeight w:val="207"/>
        </w:trPr>
        <w:tc>
          <w:tcPr>
            <w:tcW w:w="2320" w:type="dxa"/>
            <w:vAlign w:val="bottom"/>
          </w:tcPr>
          <w:p>
            <w:pPr>
              <w:spacing w:after="0"/>
              <w:rPr>
                <w:sz w:val="20"/>
                <w:szCs w:val="20"/>
                <w:color w:val="auto"/>
              </w:rPr>
            </w:pPr>
            <w:r>
              <w:rPr>
                <w:rFonts w:ascii="Arial" w:cs="Arial" w:eastAsia="Arial" w:hAnsi="Arial"/>
                <w:sz w:val="15"/>
                <w:szCs w:val="15"/>
                <w:color w:val="auto"/>
              </w:rPr>
              <w:t>March 4 - April 7, 2018</w:t>
            </w:r>
          </w:p>
        </w:tc>
        <w:tc>
          <w:tcPr>
            <w:tcW w:w="1640" w:type="dxa"/>
            <w:vAlign w:val="bottom"/>
          </w:tcPr>
          <w:p>
            <w:pPr>
              <w:jc w:val="right"/>
              <w:ind w:right="123"/>
              <w:spacing w:after="0"/>
              <w:rPr>
                <w:sz w:val="20"/>
                <w:szCs w:val="20"/>
                <w:color w:val="auto"/>
              </w:rPr>
            </w:pPr>
            <w:r>
              <w:rPr>
                <w:rFonts w:ascii="Arial" w:cs="Arial" w:eastAsia="Arial" w:hAnsi="Arial"/>
                <w:sz w:val="15"/>
                <w:szCs w:val="15"/>
                <w:color w:val="auto"/>
              </w:rPr>
              <w:t>2,232,984</w:t>
            </w:r>
          </w:p>
        </w:tc>
        <w:tc>
          <w:tcPr>
            <w:tcW w:w="340" w:type="dxa"/>
            <w:vAlign w:val="bottom"/>
          </w:tcPr>
          <w:p>
            <w:pPr>
              <w:spacing w:after="0"/>
              <w:rPr>
                <w:sz w:val="17"/>
                <w:szCs w:val="17"/>
                <w:color w:val="auto"/>
              </w:rPr>
            </w:pPr>
          </w:p>
        </w:tc>
        <w:tc>
          <w:tcPr>
            <w:tcW w:w="1140" w:type="dxa"/>
            <w:vAlign w:val="bottom"/>
          </w:tcPr>
          <w:p>
            <w:pPr>
              <w:jc w:val="right"/>
              <w:ind w:right="123"/>
              <w:spacing w:after="0"/>
              <w:rPr>
                <w:sz w:val="20"/>
                <w:szCs w:val="20"/>
                <w:color w:val="auto"/>
              </w:rPr>
            </w:pPr>
            <w:r>
              <w:rPr>
                <w:rFonts w:ascii="Arial" w:cs="Arial" w:eastAsia="Arial" w:hAnsi="Arial"/>
                <w:sz w:val="15"/>
                <w:szCs w:val="15"/>
                <w:color w:val="auto"/>
              </w:rPr>
              <w:t>43.10</w:t>
            </w:r>
          </w:p>
        </w:tc>
        <w:tc>
          <w:tcPr>
            <w:tcW w:w="2060" w:type="dxa"/>
            <w:vAlign w:val="bottom"/>
          </w:tcPr>
          <w:p>
            <w:pPr>
              <w:jc w:val="right"/>
              <w:ind w:right="103"/>
              <w:spacing w:after="0"/>
              <w:rPr>
                <w:sz w:val="20"/>
                <w:szCs w:val="20"/>
                <w:color w:val="auto"/>
              </w:rPr>
            </w:pPr>
            <w:r>
              <w:rPr>
                <w:rFonts w:ascii="Arial" w:cs="Arial" w:eastAsia="Arial" w:hAnsi="Arial"/>
                <w:sz w:val="15"/>
                <w:szCs w:val="15"/>
                <w:color w:val="auto"/>
              </w:rPr>
              <w:t>2,202,605</w:t>
            </w:r>
          </w:p>
        </w:tc>
        <w:tc>
          <w:tcPr>
            <w:tcW w:w="2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662,907,107</w:t>
            </w:r>
          </w:p>
        </w:tc>
      </w:tr>
      <w:tr>
        <w:trPr>
          <w:trHeight w:val="207"/>
        </w:trPr>
        <w:tc>
          <w:tcPr>
            <w:tcW w:w="2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April 8 - May 5, 2018</w:t>
            </w:r>
          </w:p>
        </w:tc>
        <w:tc>
          <w:tcPr>
            <w:tcW w:w="164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400,036</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42.18</w:t>
            </w:r>
          </w:p>
        </w:tc>
        <w:tc>
          <w:tcPr>
            <w:tcW w:w="20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400,000</w:t>
            </w:r>
          </w:p>
        </w:tc>
        <w:tc>
          <w:tcPr>
            <w:tcW w:w="2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646,034,376</w:t>
            </w:r>
          </w:p>
        </w:tc>
      </w:tr>
      <w:tr>
        <w:trPr>
          <w:trHeight w:val="187"/>
        </w:trPr>
        <w:tc>
          <w:tcPr>
            <w:tcW w:w="2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2,647,220</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42.97</w:t>
            </w:r>
          </w:p>
        </w:tc>
        <w:tc>
          <w:tcPr>
            <w:tcW w:w="20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2,616,805</w:t>
            </w: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bl>
    <w:p>
      <w:pPr>
        <w:spacing w:after="0" w:line="85" w:lineRule="exact"/>
        <w:rPr>
          <w:sz w:val="20"/>
          <w:szCs w:val="20"/>
          <w:color w:val="auto"/>
        </w:rPr>
      </w:pPr>
    </w:p>
    <w:p>
      <w:pPr>
        <w:jc w:val="both"/>
        <w:ind w:left="760" w:right="40" w:hanging="562"/>
        <w:spacing w:after="0" w:line="239" w:lineRule="auto"/>
        <w:tabs>
          <w:tab w:leader="none" w:pos="760" w:val="left"/>
        </w:tabs>
        <w:numPr>
          <w:ilvl w:val="0"/>
          <w:numId w:val="8"/>
        </w:numPr>
        <w:rPr>
          <w:rFonts w:ascii="Arial" w:cs="Arial" w:eastAsia="Arial" w:hAnsi="Arial"/>
          <w:sz w:val="11"/>
          <w:szCs w:val="11"/>
          <w:color w:val="auto"/>
        </w:rPr>
      </w:pPr>
      <w:r>
        <w:rPr>
          <w:rFonts w:ascii="Arial" w:cs="Arial" w:eastAsia="Arial" w:hAnsi="Arial"/>
          <w:sz w:val="12"/>
          <w:szCs w:val="12"/>
          <w:color w:val="auto"/>
        </w:rPr>
        <w:t>These columns also reflect shares acquired in satisfaction of the tax withholding obligations of holders of restricted stock awards and restricted stock units which vested during the quarter, and shares repurchased pursuant to Rule 10b5-1 under the Securities Exchange Act of 1934. The calculation of the average price paid per share includes all fees, commissions, and other costs associated with the repurchase of such shares.</w:t>
      </w:r>
    </w:p>
    <w:p>
      <w:pPr>
        <w:spacing w:after="0" w:line="232" w:lineRule="exact"/>
        <w:rPr>
          <w:rFonts w:ascii="Arial" w:cs="Arial" w:eastAsia="Arial" w:hAnsi="Arial"/>
          <w:sz w:val="11"/>
          <w:szCs w:val="11"/>
          <w:color w:val="auto"/>
        </w:rPr>
      </w:pPr>
    </w:p>
    <w:p>
      <w:pPr>
        <w:ind w:left="760" w:hanging="562"/>
        <w:spacing w:after="0"/>
        <w:tabs>
          <w:tab w:leader="none" w:pos="760" w:val="left"/>
        </w:tabs>
        <w:numPr>
          <w:ilvl w:val="0"/>
          <w:numId w:val="8"/>
        </w:numPr>
        <w:rPr>
          <w:rFonts w:ascii="Arial" w:cs="Arial" w:eastAsia="Arial" w:hAnsi="Arial"/>
          <w:sz w:val="11"/>
          <w:szCs w:val="11"/>
          <w:color w:val="auto"/>
        </w:rPr>
      </w:pPr>
      <w:r>
        <w:rPr>
          <w:rFonts w:ascii="Arial" w:cs="Arial" w:eastAsia="Arial" w:hAnsi="Arial"/>
          <w:sz w:val="12"/>
          <w:szCs w:val="12"/>
          <w:color w:val="auto"/>
        </w:rPr>
        <w:t>On February 14, 2017, the Board of Directors approved a 3-year, $1.2 billion share repurchase program extending through January 2020.</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00" w:type="dxa"/>
            <w:vAlign w:val="bottom"/>
          </w:tcPr>
          <w:p>
            <w:pPr>
              <w:ind w:left="200"/>
              <w:spacing w:after="0"/>
              <w:rPr>
                <w:sz w:val="20"/>
                <w:szCs w:val="20"/>
                <w:color w:val="auto"/>
              </w:rPr>
            </w:pPr>
            <w:r>
              <w:rPr>
                <w:rFonts w:ascii="Arial" w:cs="Arial" w:eastAsia="Arial" w:hAnsi="Arial"/>
                <w:sz w:val="15"/>
                <w:szCs w:val="15"/>
                <w:b w:val="1"/>
                <w:bCs w:val="1"/>
                <w:i w:val="1"/>
                <w:iCs w:val="1"/>
                <w:color w:val="auto"/>
              </w:rPr>
              <w:t>Item 6. Exhibits</w:t>
            </w:r>
          </w:p>
        </w:tc>
        <w:tc>
          <w:tcPr>
            <w:tcW w:w="540" w:type="dxa"/>
            <w:vAlign w:val="bottom"/>
          </w:tcPr>
          <w:p>
            <w:pPr>
              <w:spacing w:after="0"/>
              <w:rPr>
                <w:sz w:val="17"/>
                <w:szCs w:val="17"/>
                <w:color w:val="auto"/>
              </w:rPr>
            </w:pPr>
          </w:p>
        </w:tc>
        <w:tc>
          <w:tcPr>
            <w:tcW w:w="6480" w:type="dxa"/>
            <w:vAlign w:val="bottom"/>
          </w:tcPr>
          <w:p>
            <w:pPr>
              <w:spacing w:after="0"/>
              <w:rPr>
                <w:sz w:val="17"/>
                <w:szCs w:val="17"/>
                <w:color w:val="auto"/>
              </w:rPr>
            </w:pPr>
          </w:p>
        </w:tc>
      </w:tr>
      <w:tr>
        <w:trPr>
          <w:trHeight w:val="307"/>
        </w:trPr>
        <w:tc>
          <w:tcPr>
            <w:tcW w:w="2100" w:type="dxa"/>
            <w:vAlign w:val="bottom"/>
          </w:tcPr>
          <w:p>
            <w:pPr>
              <w:ind w:left="420"/>
              <w:spacing w:after="0"/>
              <w:rPr>
                <w:sz w:val="20"/>
                <w:szCs w:val="20"/>
                <w:color w:val="auto"/>
              </w:rPr>
            </w:pPr>
            <w:r>
              <w:rPr>
                <w:rFonts w:ascii="Arial" w:cs="Arial" w:eastAsia="Arial" w:hAnsi="Arial"/>
                <w:sz w:val="15"/>
                <w:szCs w:val="15"/>
                <w:color w:val="auto"/>
              </w:rPr>
              <w:t>(a)</w:t>
            </w:r>
          </w:p>
        </w:tc>
        <w:tc>
          <w:tcPr>
            <w:tcW w:w="7020" w:type="dxa"/>
            <w:vAlign w:val="bottom"/>
            <w:gridSpan w:val="2"/>
          </w:tcPr>
          <w:p>
            <w:pPr>
              <w:spacing w:after="0"/>
              <w:rPr>
                <w:sz w:val="20"/>
                <w:szCs w:val="20"/>
                <w:color w:val="auto"/>
              </w:rPr>
            </w:pPr>
            <w:r>
              <w:rPr>
                <w:rFonts w:ascii="Arial" w:cs="Arial" w:eastAsia="Arial" w:hAnsi="Arial"/>
                <w:sz w:val="15"/>
                <w:szCs w:val="15"/>
                <w:color w:val="auto"/>
              </w:rPr>
              <w:t>Exhibits</w:t>
            </w:r>
          </w:p>
        </w:tc>
      </w:tr>
      <w:tr>
        <w:trPr>
          <w:trHeight w:val="20"/>
        </w:trPr>
        <w:tc>
          <w:tcPr>
            <w:tcW w:w="2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r>
      <w:tr>
        <w:trPr>
          <w:trHeight w:val="208"/>
        </w:trPr>
        <w:tc>
          <w:tcPr>
            <w:tcW w:w="210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5"/>
                <w:szCs w:val="15"/>
                <w:color w:val="auto"/>
              </w:rPr>
              <w:t>The exhibits that are in this report immediately follow the index.</w:t>
            </w:r>
          </w:p>
        </w:tc>
      </w:tr>
      <w:tr>
        <w:trPr>
          <w:trHeight w:val="572"/>
        </w:trPr>
        <w:tc>
          <w:tcPr>
            <w:tcW w:w="2100" w:type="dxa"/>
            <w:vAlign w:val="bottom"/>
          </w:tcPr>
          <w:p>
            <w:pPr>
              <w:spacing w:after="0"/>
              <w:rPr>
                <w:sz w:val="24"/>
                <w:szCs w:val="24"/>
                <w:color w:val="auto"/>
              </w:rPr>
            </w:pPr>
          </w:p>
        </w:tc>
        <w:tc>
          <w:tcPr>
            <w:tcW w:w="7020" w:type="dxa"/>
            <w:vAlign w:val="bottom"/>
            <w:gridSpan w:val="2"/>
          </w:tcPr>
          <w:p>
            <w:pPr>
              <w:jc w:val="right"/>
              <w:ind w:right="4480"/>
              <w:spacing w:after="0"/>
              <w:rPr>
                <w:sz w:val="20"/>
                <w:szCs w:val="20"/>
                <w:color w:val="auto"/>
              </w:rPr>
            </w:pPr>
            <w:r>
              <w:rPr>
                <w:rFonts w:ascii="Arial" w:cs="Arial" w:eastAsia="Arial" w:hAnsi="Arial"/>
                <w:sz w:val="15"/>
                <w:szCs w:val="15"/>
                <w:color w:val="auto"/>
              </w:rPr>
              <w:t>24</w:t>
            </w:r>
          </w:p>
        </w:tc>
      </w:tr>
      <w:tr>
        <w:trPr>
          <w:trHeight w:val="88"/>
        </w:trPr>
        <w:tc>
          <w:tcPr>
            <w:tcW w:w="21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6480" w:type="dxa"/>
            <w:vAlign w:val="bottom"/>
            <w:tcBorders>
              <w:bottom w:val="single" w:sz="8" w:color="9A9A9A"/>
            </w:tcBorders>
          </w:tcPr>
          <w:p>
            <w:pPr>
              <w:spacing w:after="0"/>
              <w:rPr>
                <w:sz w:val="7"/>
                <w:szCs w:val="7"/>
                <w:color w:val="auto"/>
              </w:rPr>
            </w:pPr>
          </w:p>
        </w:tc>
      </w:tr>
      <w:tr>
        <w:trPr>
          <w:trHeight w:val="20"/>
        </w:trPr>
        <w:tc>
          <w:tcPr>
            <w:tcW w:w="210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64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5775325</wp:posOffset>
            </wp:positionH>
            <wp:positionV relativeFrom="paragraph">
              <wp:posOffset>-34925</wp:posOffset>
            </wp:positionV>
            <wp:extent cx="33020" cy="482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-34925</wp:posOffset>
            </wp:positionV>
            <wp:extent cx="33020" cy="482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9120"/>
          </w:cols>
          <w:pgMar w:left="1400" w:top="311" w:right="137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5"/>
          <w:szCs w:val="15"/>
          <w:b w:val="1"/>
          <w:bCs w:val="1"/>
          <w:color w:val="auto"/>
        </w:rPr>
        <w:t>SIGNATURE</w:t>
      </w:r>
    </w:p>
    <w:p>
      <w:pPr>
        <w:spacing w:after="0" w:line="186" w:lineRule="exact"/>
        <w:rPr>
          <w:sz w:val="20"/>
          <w:szCs w:val="20"/>
          <w:color w:val="auto"/>
        </w:rPr>
      </w:pPr>
    </w:p>
    <w:p>
      <w:pPr>
        <w:spacing w:after="0" w:line="254" w:lineRule="auto"/>
        <w:rPr>
          <w:sz w:val="20"/>
          <w:szCs w:val="20"/>
          <w:color w:val="auto"/>
        </w:rPr>
      </w:pPr>
      <w:r>
        <w:rPr>
          <w:rFonts w:ascii="Arial" w:cs="Arial" w:eastAsia="Arial" w:hAnsi="Arial"/>
          <w:sz w:val="15"/>
          <w:szCs w:val="15"/>
          <w:color w:val="auto"/>
        </w:rPr>
        <w:t>Pursuant to the requirements of the Securities Exchange Act of 1934, the Company has duly caused this report to be signed on its behalf by the undersigned thereunto duly authorized.</w:t>
      </w:r>
    </w:p>
    <w:p>
      <w:pPr>
        <w:spacing w:after="0" w:line="389" w:lineRule="exact"/>
        <w:rPr>
          <w:sz w:val="20"/>
          <w:szCs w:val="20"/>
          <w:color w:val="auto"/>
        </w:rPr>
      </w:pPr>
    </w:p>
    <w:p>
      <w:pPr>
        <w:spacing w:after="0"/>
        <w:tabs>
          <w:tab w:leader="none" w:pos="4540" w:val="left"/>
        </w:tabs>
        <w:rPr>
          <w:sz w:val="20"/>
          <w:szCs w:val="20"/>
          <w:color w:val="auto"/>
        </w:rPr>
      </w:pPr>
      <w:r>
        <w:rPr>
          <w:rFonts w:ascii="Arial" w:cs="Arial" w:eastAsia="Arial" w:hAnsi="Arial"/>
          <w:sz w:val="15"/>
          <w:szCs w:val="15"/>
          <w:color w:val="auto"/>
        </w:rPr>
        <w:t>Date: June 6, 2018</w:t>
      </w:r>
      <w:r>
        <w:rPr>
          <w:sz w:val="20"/>
          <w:szCs w:val="20"/>
          <w:color w:val="auto"/>
        </w:rPr>
        <w:tab/>
      </w:r>
      <w:r>
        <w:rPr>
          <w:rFonts w:ascii="Arial" w:cs="Arial" w:eastAsia="Arial" w:hAnsi="Arial"/>
          <w:sz w:val="15"/>
          <w:szCs w:val="15"/>
          <w:color w:val="auto"/>
        </w:rPr>
        <w:t>FOOT LOCKER, INC.</w:t>
      </w:r>
    </w:p>
    <w:p>
      <w:pPr>
        <w:spacing w:after="0" w:line="200" w:lineRule="exact"/>
        <w:rPr>
          <w:sz w:val="20"/>
          <w:szCs w:val="20"/>
          <w:color w:val="auto"/>
        </w:rPr>
      </w:pPr>
    </w:p>
    <w:p>
      <w:pPr>
        <w:spacing w:after="0" w:line="321" w:lineRule="exact"/>
        <w:rPr>
          <w:sz w:val="20"/>
          <w:szCs w:val="20"/>
          <w:color w:val="auto"/>
        </w:rPr>
      </w:pPr>
    </w:p>
    <w:p>
      <w:pPr>
        <w:ind w:left="4560"/>
        <w:spacing w:after="0"/>
        <w:rPr>
          <w:sz w:val="20"/>
          <w:szCs w:val="20"/>
          <w:color w:val="auto"/>
        </w:rPr>
      </w:pPr>
      <w:r>
        <w:rPr>
          <w:rFonts w:ascii="Arial" w:cs="Arial" w:eastAsia="Arial" w:hAnsi="Arial"/>
          <w:sz w:val="15"/>
          <w:szCs w:val="15"/>
          <w:color w:val="auto"/>
        </w:rPr>
        <w:t>/s/ 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1905</wp:posOffset>
            </wp:positionV>
            <wp:extent cx="288861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88615" cy="7620"/>
                    </a:xfrm>
                    <a:prstGeom prst="rect">
                      <a:avLst/>
                    </a:prstGeom>
                    <a:noFill/>
                  </pic:spPr>
                </pic:pic>
              </a:graphicData>
            </a:graphic>
          </wp:anchor>
        </w:drawing>
      </w:r>
    </w:p>
    <w:p>
      <w:pPr>
        <w:spacing w:after="0" w:line="39" w:lineRule="exact"/>
        <w:rPr>
          <w:sz w:val="20"/>
          <w:szCs w:val="20"/>
          <w:color w:val="auto"/>
        </w:rPr>
      </w:pPr>
    </w:p>
    <w:p>
      <w:pPr>
        <w:ind w:left="4560"/>
        <w:spacing w:after="0"/>
        <w:rPr>
          <w:sz w:val="20"/>
          <w:szCs w:val="20"/>
          <w:color w:val="auto"/>
        </w:rPr>
      </w:pPr>
      <w:r>
        <w:rPr>
          <w:rFonts w:ascii="Arial" w:cs="Arial" w:eastAsia="Arial" w:hAnsi="Arial"/>
          <w:sz w:val="15"/>
          <w:szCs w:val="15"/>
          <w:color w:val="auto"/>
        </w:rPr>
        <w:t>LAUREN B. PETERS</w:t>
      </w:r>
    </w:p>
    <w:p>
      <w:pPr>
        <w:spacing w:after="0" w:line="22" w:lineRule="exact"/>
        <w:rPr>
          <w:sz w:val="20"/>
          <w:szCs w:val="20"/>
          <w:color w:val="auto"/>
        </w:rPr>
      </w:pPr>
    </w:p>
    <w:p>
      <w:pPr>
        <w:ind w:left="4560"/>
        <w:spacing w:after="0"/>
        <w:rPr>
          <w:sz w:val="20"/>
          <w:szCs w:val="20"/>
          <w:color w:val="auto"/>
        </w:rPr>
      </w:pPr>
      <w:r>
        <w:rPr>
          <w:rFonts w:ascii="Arial" w:cs="Arial" w:eastAsia="Arial" w:hAnsi="Arial"/>
          <w:sz w:val="15"/>
          <w:szCs w:val="15"/>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505" w:right="1399" w:bottom="1440" w:gutter="0" w:footer="0" w:header="0"/>
        </w:sectPr>
      </w:pPr>
    </w:p>
    <w:bookmarkStart w:id="27" w:name="page28"/>
    <w:bookmarkEnd w:id="27"/>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140"/>
        <w:spacing w:after="0"/>
        <w:rPr>
          <w:sz w:val="20"/>
          <w:szCs w:val="20"/>
          <w:color w:val="auto"/>
        </w:rPr>
      </w:pPr>
      <w:r>
        <w:rPr>
          <w:rFonts w:ascii="Arial" w:cs="Arial" w:eastAsia="Arial" w:hAnsi="Arial"/>
          <w:sz w:val="15"/>
          <w:szCs w:val="15"/>
          <w:b w:val="1"/>
          <w:bCs w:val="1"/>
          <w:u w:val="single" w:color="auto"/>
          <w:color w:val="auto"/>
        </w:rPr>
        <w:t>Exhibit No.</w:t>
      </w:r>
    </w:p>
    <w:p>
      <w:pPr>
        <w:spacing w:after="0" w:line="162" w:lineRule="exact"/>
        <w:rPr>
          <w:sz w:val="20"/>
          <w:szCs w:val="20"/>
          <w:color w:val="auto"/>
        </w:rPr>
      </w:pPr>
    </w:p>
    <w:p>
      <w:pPr>
        <w:jc w:val="center"/>
        <w:ind w:left="140"/>
        <w:spacing w:after="0"/>
        <w:rPr>
          <w:sz w:val="20"/>
          <w:szCs w:val="20"/>
          <w:color w:val="auto"/>
        </w:rPr>
      </w:pPr>
      <w:r>
        <w:rPr>
          <w:rFonts w:ascii="Arial" w:cs="Arial" w:eastAsia="Arial" w:hAnsi="Arial"/>
          <w:sz w:val="15"/>
          <w:szCs w:val="15"/>
          <w:color w:val="auto"/>
        </w:rPr>
        <w:t>10.1†</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5"/>
          <w:szCs w:val="15"/>
          <w:color w:val="auto"/>
        </w:rPr>
        <w:t>10.2†</w:t>
      </w:r>
    </w:p>
    <w:p>
      <w:pPr>
        <w:spacing w:after="0" w:line="20" w:lineRule="exact"/>
        <w:rPr>
          <w:sz w:val="20"/>
          <w:szCs w:val="20"/>
          <w:color w:val="auto"/>
        </w:rPr>
      </w:pPr>
      <w:r>
        <w:rPr>
          <w:sz w:val="20"/>
          <w:szCs w:val="20"/>
          <w:color w:val="auto"/>
        </w:rPr>
        <w:br w:type="column"/>
      </w:r>
    </w:p>
    <w:p>
      <w:pPr>
        <w:ind w:left="2660"/>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ind w:left="2660"/>
        <w:spacing w:after="0"/>
        <w:rPr>
          <w:sz w:val="20"/>
          <w:szCs w:val="20"/>
          <w:color w:val="auto"/>
        </w:rPr>
      </w:pPr>
      <w:r>
        <w:rPr>
          <w:rFonts w:ascii="Arial" w:cs="Arial" w:eastAsia="Arial" w:hAnsi="Arial"/>
          <w:sz w:val="15"/>
          <w:szCs w:val="15"/>
          <w:b w:val="1"/>
          <w:bCs w:val="1"/>
          <w:color w:val="auto"/>
        </w:rPr>
        <w:t>INDEX OF EXHIBITS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Description</w:t>
      </w:r>
    </w:p>
    <w:p>
      <w:pPr>
        <w:spacing w:after="0" w:line="77" w:lineRule="exact"/>
        <w:rPr>
          <w:sz w:val="20"/>
          <w:szCs w:val="20"/>
          <w:color w:val="auto"/>
        </w:rPr>
      </w:pPr>
    </w:p>
    <w:p>
      <w:pPr>
        <w:ind w:right="220"/>
        <w:spacing w:after="0" w:line="254" w:lineRule="auto"/>
        <w:rPr>
          <w:rFonts w:ascii="Arial" w:cs="Arial" w:eastAsia="Arial" w:hAnsi="Arial"/>
          <w:sz w:val="15"/>
          <w:szCs w:val="15"/>
          <w:u w:val="single" w:color="auto"/>
          <w:color w:val="0000EE"/>
        </w:rPr>
      </w:pPr>
      <w:hyperlink r:id="rId55">
        <w:r>
          <w:rPr>
            <w:rFonts w:ascii="Arial" w:cs="Arial" w:eastAsia="Arial" w:hAnsi="Arial"/>
            <w:sz w:val="15"/>
            <w:szCs w:val="15"/>
            <w:u w:val="single" w:color="auto"/>
            <w:color w:val="0000EE"/>
          </w:rPr>
          <w:t>Foot Locker Executive Incentive Cash Compensation Plan (incorporated herein by reference to Exhibit 10.1 to the</w:t>
        </w:r>
      </w:hyperlink>
      <w:r>
        <w:rPr>
          <w:rFonts w:ascii="Arial" w:cs="Arial" w:eastAsia="Arial" w:hAnsi="Arial"/>
          <w:sz w:val="15"/>
          <w:szCs w:val="15"/>
          <w:u w:val="single" w:color="auto"/>
          <w:color w:val="0000EE"/>
        </w:rPr>
        <w:t xml:space="preserve"> </w:t>
      </w:r>
      <w:hyperlink r:id="rId55">
        <w:r>
          <w:rPr>
            <w:rFonts w:ascii="Arial" w:cs="Arial" w:eastAsia="Arial" w:hAnsi="Arial"/>
            <w:sz w:val="15"/>
            <w:szCs w:val="15"/>
            <w:u w:val="single" w:color="auto"/>
            <w:color w:val="0000EE"/>
          </w:rPr>
          <w:t>Current Report on Form 8-K dated March 28, 2018 filed on April 3,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-227965</wp:posOffset>
            </wp:positionV>
            <wp:extent cx="5777230" cy="2470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5777230" cy="247015"/>
                    </a:xfrm>
                    <a:prstGeom prst="rect">
                      <a:avLst/>
                    </a:prstGeom>
                    <a:noFill/>
                  </pic:spPr>
                </pic:pic>
              </a:graphicData>
            </a:graphic>
          </wp:anchor>
        </w:drawing>
      </w:r>
    </w:p>
    <w:p>
      <w:pPr>
        <w:spacing w:after="0" w:line="4" w:lineRule="exact"/>
        <w:rPr>
          <w:sz w:val="20"/>
          <w:szCs w:val="20"/>
          <w:color w:val="auto"/>
        </w:rPr>
      </w:pPr>
    </w:p>
    <w:p>
      <w:pPr>
        <w:ind w:right="40"/>
        <w:spacing w:after="0" w:line="253" w:lineRule="auto"/>
        <w:rPr>
          <w:rFonts w:ascii="Arial" w:cs="Arial" w:eastAsia="Arial" w:hAnsi="Arial"/>
          <w:sz w:val="15"/>
          <w:szCs w:val="15"/>
          <w:u w:val="single" w:color="auto"/>
          <w:color w:val="0000EE"/>
        </w:rPr>
      </w:pPr>
      <w:hyperlink r:id="rId57">
        <w:r>
          <w:rPr>
            <w:rFonts w:ascii="Arial" w:cs="Arial" w:eastAsia="Arial" w:hAnsi="Arial"/>
            <w:sz w:val="15"/>
            <w:szCs w:val="15"/>
            <w:u w:val="single" w:color="auto"/>
            <w:color w:val="0000EE"/>
          </w:rPr>
          <w:t>Form of Accelerate Future Growth Award Agreement (incorporated herein by reference to Exhibit 10.1 to the Current</w:t>
        </w:r>
      </w:hyperlink>
      <w:r>
        <w:rPr>
          <w:rFonts w:ascii="Arial" w:cs="Arial" w:eastAsia="Arial" w:hAnsi="Arial"/>
          <w:sz w:val="15"/>
          <w:szCs w:val="15"/>
          <w:u w:val="single" w:color="auto"/>
          <w:color w:val="0000EE"/>
        </w:rPr>
        <w:t xml:space="preserve"> </w:t>
      </w:r>
      <w:hyperlink r:id="rId57">
        <w:r>
          <w:rPr>
            <w:rFonts w:ascii="Arial" w:cs="Arial" w:eastAsia="Arial" w:hAnsi="Arial"/>
            <w:sz w:val="15"/>
            <w:szCs w:val="15"/>
            <w:u w:val="single" w:color="auto"/>
            <w:color w:val="0000EE"/>
          </w:rPr>
          <w:t>Report on Form 8-K dated April 12, 2018 filed on April 18, 2018).</w:t>
        </w:r>
      </w:hyperlink>
    </w:p>
    <w:p>
      <w:pPr>
        <w:spacing w:after="0" w:line="1" w:lineRule="exact"/>
        <w:rPr>
          <w:sz w:val="20"/>
          <w:szCs w:val="20"/>
          <w:color w:val="auto"/>
        </w:rPr>
      </w:pPr>
    </w:p>
    <w:p>
      <w:pPr>
        <w:sectPr>
          <w:pgSz w:w="11900" w:h="16838" w:orient="portrait"/>
          <w:cols w:equalWidth="0" w:num="2">
            <w:col w:w="940" w:space="200"/>
            <w:col w:w="7960"/>
          </w:cols>
          <w:pgMar w:left="1400" w:top="311" w:right="1399" w:bottom="1440" w:gutter="0" w:footer="0" w:header="0"/>
        </w:sectPr>
      </w:pPr>
    </w:p>
    <w:p>
      <w:pPr>
        <w:ind w:left="420"/>
        <w:spacing w:after="0"/>
        <w:rPr>
          <w:sz w:val="20"/>
          <w:szCs w:val="20"/>
          <w:color w:val="auto"/>
        </w:rPr>
      </w:pPr>
      <w:r>
        <w:rPr>
          <w:rFonts w:ascii="Arial" w:cs="Arial" w:eastAsia="Arial" w:hAnsi="Arial"/>
          <w:sz w:val="15"/>
          <w:szCs w:val="15"/>
          <w:color w:val="auto"/>
        </w:rPr>
        <w:t>12*</w:t>
      </w:r>
    </w:p>
    <w:p>
      <w:pPr>
        <w:spacing w:after="0" w:line="10" w:lineRule="exact"/>
        <w:rPr>
          <w:sz w:val="20"/>
          <w:szCs w:val="20"/>
          <w:color w:val="auto"/>
        </w:rPr>
      </w:pPr>
    </w:p>
    <w:p>
      <w:pPr>
        <w:ind w:left="420"/>
        <w:spacing w:after="0"/>
        <w:rPr>
          <w:sz w:val="20"/>
          <w:szCs w:val="20"/>
          <w:color w:val="auto"/>
        </w:rPr>
      </w:pPr>
      <w:r>
        <w:rPr>
          <w:rFonts w:ascii="Arial" w:cs="Arial" w:eastAsia="Arial" w:hAnsi="Arial"/>
          <w:sz w:val="15"/>
          <w:szCs w:val="15"/>
          <w:color w:val="auto"/>
        </w:rPr>
        <w:t>15*</w:t>
      </w:r>
    </w:p>
    <w:p>
      <w:pPr>
        <w:spacing w:after="0" w:line="9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31.1*</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5"/>
          <w:szCs w:val="15"/>
          <w:color w:val="auto"/>
        </w:rPr>
        <w:t>31.2*</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br w:type="column"/>
      </w:r>
    </w:p>
    <w:p>
      <w:pPr>
        <w:spacing w:after="0"/>
        <w:rPr>
          <w:rFonts w:ascii="Arial" w:cs="Arial" w:eastAsia="Arial" w:hAnsi="Arial"/>
          <w:sz w:val="15"/>
          <w:szCs w:val="15"/>
          <w:u w:val="single" w:color="auto"/>
          <w:color w:val="0000EE"/>
        </w:rPr>
      </w:pPr>
      <w:hyperlink w:anchor="page29">
        <w:r>
          <w:rPr>
            <w:rFonts w:ascii="Arial" w:cs="Arial" w:eastAsia="Arial" w:hAnsi="Arial"/>
            <w:sz w:val="15"/>
            <w:szCs w:val="15"/>
            <w:u w:val="single" w:color="auto"/>
            <w:color w:val="0000EE"/>
          </w:rPr>
          <w:t>Computation of Ratio of Earnings to Fixed Charges.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-105410</wp:posOffset>
            </wp:positionV>
            <wp:extent cx="5777230" cy="1155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5777230" cy="115570"/>
                    </a:xfrm>
                    <a:prstGeom prst="rect">
                      <a:avLst/>
                    </a:prstGeom>
                    <a:noFill/>
                  </pic:spPr>
                </pic:pic>
              </a:graphicData>
            </a:graphic>
          </wp:anchor>
        </w:drawing>
      </w:r>
    </w:p>
    <w:p>
      <w:pPr>
        <w:spacing w:after="0"/>
        <w:rPr>
          <w:rFonts w:ascii="Arial" w:cs="Arial" w:eastAsia="Arial" w:hAnsi="Arial"/>
          <w:sz w:val="15"/>
          <w:szCs w:val="15"/>
          <w:u w:val="single" w:color="auto"/>
          <w:color w:val="0000EE"/>
        </w:rPr>
      </w:pPr>
      <w:hyperlink w:anchor="page30">
        <w:r>
          <w:rPr>
            <w:rFonts w:ascii="Arial" w:cs="Arial" w:eastAsia="Arial" w:hAnsi="Arial"/>
            <w:sz w:val="15"/>
            <w:szCs w:val="15"/>
            <w:u w:val="single" w:color="auto"/>
            <w:color w:val="0000EE"/>
          </w:rPr>
          <w:t>Accountants’ Acknowledgement.</w:t>
        </w:r>
      </w:hyperlink>
    </w:p>
    <w:p>
      <w:pPr>
        <w:spacing w:after="0" w:line="10" w:lineRule="exact"/>
        <w:rPr>
          <w:sz w:val="20"/>
          <w:szCs w:val="20"/>
          <w:color w:val="auto"/>
        </w:rPr>
      </w:pPr>
    </w:p>
    <w:p>
      <w:pPr>
        <w:ind w:right="60"/>
        <w:spacing w:after="0" w:line="245" w:lineRule="auto"/>
        <w:rPr>
          <w:rFonts w:ascii="Arial" w:cs="Arial" w:eastAsia="Arial" w:hAnsi="Arial"/>
          <w:sz w:val="15"/>
          <w:szCs w:val="15"/>
          <w:u w:val="single" w:color="auto"/>
          <w:color w:val="0000EE"/>
        </w:rPr>
      </w:pPr>
      <w:hyperlink w:anchor="page31">
        <w:r>
          <w:rPr>
            <w:rFonts w:ascii="Arial" w:cs="Arial" w:eastAsia="Arial" w:hAnsi="Arial"/>
            <w:sz w:val="15"/>
            <w:szCs w:val="15"/>
            <w:u w:val="single" w:color="auto"/>
            <w:color w:val="0000EE"/>
          </w:rPr>
          <w:t>Certification of Chief Executive Officer Pursuant to Rule 13a-14(a) or 15d-14(a), as adopted pursuant to Section 302</w:t>
        </w:r>
      </w:hyperlink>
      <w:r>
        <w:rPr>
          <w:rFonts w:ascii="Arial" w:cs="Arial" w:eastAsia="Arial" w:hAnsi="Arial"/>
          <w:sz w:val="15"/>
          <w:szCs w:val="15"/>
          <w:u w:val="single" w:color="auto"/>
          <w:color w:val="0000EE"/>
        </w:rPr>
        <w:t xml:space="preserve"> </w:t>
      </w:r>
      <w:hyperlink w:anchor="page31">
        <w:r>
          <w:rPr>
            <w:rFonts w:ascii="Arial" w:cs="Arial" w:eastAsia="Arial" w:hAnsi="Arial"/>
            <w:sz w:val="15"/>
            <w:szCs w:val="15"/>
            <w:u w:val="single" w:color="auto"/>
            <w:color w:val="0000EE"/>
          </w:rPr>
          <w:t>of 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-219710</wp:posOffset>
            </wp:positionV>
            <wp:extent cx="5777230" cy="2241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5777230" cy="224155"/>
                    </a:xfrm>
                    <a:prstGeom prst="rect">
                      <a:avLst/>
                    </a:prstGeom>
                    <a:noFill/>
                  </pic:spPr>
                </pic:pic>
              </a:graphicData>
            </a:graphic>
          </wp:anchor>
        </w:drawing>
      </w:r>
    </w:p>
    <w:p>
      <w:pPr>
        <w:ind w:right="120"/>
        <w:spacing w:after="0" w:line="245" w:lineRule="auto"/>
        <w:rPr>
          <w:rFonts w:ascii="Arial" w:cs="Arial" w:eastAsia="Arial" w:hAnsi="Arial"/>
          <w:sz w:val="15"/>
          <w:szCs w:val="15"/>
          <w:u w:val="single" w:color="auto"/>
          <w:color w:val="0000EE"/>
        </w:rPr>
      </w:pPr>
      <w:hyperlink w:anchor="page32">
        <w:r>
          <w:rPr>
            <w:rFonts w:ascii="Arial" w:cs="Arial" w:eastAsia="Arial" w:hAnsi="Arial"/>
            <w:sz w:val="15"/>
            <w:szCs w:val="15"/>
            <w:u w:val="single" w:color="auto"/>
            <w:color w:val="0000EE"/>
          </w:rPr>
          <w:t>Certification of Chief Financial Officer Pursuant to Rule 13a-14(a) or 15d-14(a), as adopted pursuant to Section 302</w:t>
        </w:r>
      </w:hyperlink>
      <w:r>
        <w:rPr>
          <w:rFonts w:ascii="Arial" w:cs="Arial" w:eastAsia="Arial" w:hAnsi="Arial"/>
          <w:sz w:val="15"/>
          <w:szCs w:val="15"/>
          <w:u w:val="single" w:color="auto"/>
          <w:color w:val="0000EE"/>
        </w:rPr>
        <w:t xml:space="preserve"> </w:t>
      </w:r>
      <w:hyperlink w:anchor="page32">
        <w:r>
          <w:rPr>
            <w:rFonts w:ascii="Arial" w:cs="Arial" w:eastAsia="Arial" w:hAnsi="Arial"/>
            <w:sz w:val="15"/>
            <w:szCs w:val="15"/>
            <w:u w:val="single" w:color="auto"/>
            <w:color w:val="0000EE"/>
          </w:rPr>
          <w:t>of the Sarbanes-Oxley Act of 2002.</w:t>
        </w:r>
      </w:hyperlink>
    </w:p>
    <w:p>
      <w:pPr>
        <w:spacing w:after="0" w:line="1" w:lineRule="exact"/>
        <w:rPr>
          <w:sz w:val="20"/>
          <w:szCs w:val="20"/>
          <w:color w:val="auto"/>
        </w:rPr>
      </w:pPr>
    </w:p>
    <w:p>
      <w:pPr>
        <w:ind w:right="200"/>
        <w:spacing w:after="0" w:line="223" w:lineRule="auto"/>
        <w:rPr>
          <w:rFonts w:ascii="Arial" w:cs="Arial" w:eastAsia="Arial" w:hAnsi="Arial"/>
          <w:sz w:val="15"/>
          <w:szCs w:val="15"/>
          <w:color w:val="0000EE"/>
        </w:rPr>
      </w:pPr>
      <w:hyperlink w:anchor="page33">
        <w:r>
          <w:rPr>
            <w:rFonts w:ascii="Arial" w:cs="Arial" w:eastAsia="Arial" w:hAnsi="Arial"/>
            <w:sz w:val="15"/>
            <w:szCs w:val="15"/>
            <w:u w:val="single" w:color="auto"/>
            <w:color w:val="0000EE"/>
          </w:rPr>
          <w:t>Certification of Chief Executive Officer and Chief Financial Officer Pursuant to 18 U.S.C. Section 1350, as adopted</w:t>
        </w:r>
      </w:hyperlink>
      <w:r>
        <w:rPr>
          <w:rFonts w:ascii="Arial" w:cs="Arial" w:eastAsia="Arial" w:hAnsi="Arial"/>
          <w:sz w:val="15"/>
          <w:szCs w:val="15"/>
          <w:u w:val="single" w:color="auto"/>
          <w:color w:val="0000EE"/>
        </w:rPr>
        <w:t xml:space="preserve"> </w:t>
      </w:r>
      <w:hyperlink w:anchor="page33">
        <w:r>
          <w:rPr>
            <w:rFonts w:ascii="Arial" w:cs="Arial" w:eastAsia="Arial" w:hAnsi="Arial"/>
            <w:sz w:val="15"/>
            <w:szCs w:val="15"/>
            <w:color w:val="0000EE"/>
          </w:rPr>
          <w:t>pursuant to Section 906 of 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-199390</wp:posOffset>
            </wp:positionV>
            <wp:extent cx="5777230" cy="2241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5777230" cy="2241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720" w:space="420"/>
            <w:col w:w="7960"/>
          </w:cols>
          <w:pgMar w:left="1400" w:top="311" w:right="139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1140" w:type="dxa"/>
            <w:vAlign w:val="bottom"/>
          </w:tcPr>
          <w:p>
            <w:pPr>
              <w:jc w:val="center"/>
              <w:ind w:right="3"/>
              <w:spacing w:after="0" w:line="163" w:lineRule="exact"/>
              <w:rPr>
                <w:sz w:val="20"/>
                <w:szCs w:val="20"/>
                <w:color w:val="auto"/>
              </w:rPr>
            </w:pPr>
            <w:r>
              <w:rPr>
                <w:rFonts w:ascii="Arial" w:cs="Arial" w:eastAsia="Arial" w:hAnsi="Arial"/>
                <w:sz w:val="15"/>
                <w:szCs w:val="15"/>
                <w:color w:val="auto"/>
                <w:w w:val="97"/>
              </w:rPr>
              <w:t>99*</w:t>
            </w:r>
          </w:p>
        </w:tc>
        <w:tc>
          <w:tcPr>
            <w:tcW w:w="3980" w:type="dxa"/>
            <w:vAlign w:val="bottom"/>
            <w:tcBorders>
              <w:top w:val="single" w:sz="8" w:color="0000EE"/>
              <w:bottom w:val="single" w:sz="8" w:color="0000EE"/>
            </w:tcBorders>
          </w:tcPr>
          <w:p>
            <w:pPr>
              <w:spacing w:after="0" w:line="163" w:lineRule="exact"/>
              <w:rPr>
                <w:rFonts w:ascii="Arial" w:cs="Arial" w:eastAsia="Arial" w:hAnsi="Arial"/>
                <w:sz w:val="15"/>
                <w:szCs w:val="15"/>
                <w:color w:val="0000EE"/>
              </w:rPr>
            </w:pPr>
            <w:hyperlink w:anchor="page34">
              <w:r>
                <w:rPr>
                  <w:rFonts w:ascii="Arial" w:cs="Arial" w:eastAsia="Arial" w:hAnsi="Arial"/>
                  <w:sz w:val="15"/>
                  <w:szCs w:val="15"/>
                  <w:color w:val="0000EE"/>
                </w:rPr>
                <w:t>Report of Independent Registered Public Accounting Firm.</w:t>
              </w:r>
            </w:hyperlink>
          </w:p>
        </w:tc>
        <w:tc>
          <w:tcPr>
            <w:tcW w:w="80" w:type="dxa"/>
            <w:vAlign w:val="bottom"/>
            <w:tcBorders>
              <w:top w:val="single" w:sz="8" w:color="0000EE"/>
            </w:tcBorders>
          </w:tcPr>
          <w:p>
            <w:pPr>
              <w:spacing w:after="0"/>
              <w:rPr>
                <w:sz w:val="14"/>
                <w:szCs w:val="14"/>
                <w:color w:val="auto"/>
              </w:rPr>
            </w:pPr>
          </w:p>
        </w:tc>
        <w:tc>
          <w:tcPr>
            <w:tcW w:w="3900" w:type="dxa"/>
            <w:vAlign w:val="bottom"/>
          </w:tcPr>
          <w:p>
            <w:pPr>
              <w:spacing w:after="0"/>
              <w:rPr>
                <w:sz w:val="14"/>
                <w:szCs w:val="14"/>
                <w:color w:val="auto"/>
              </w:rPr>
            </w:pPr>
          </w:p>
        </w:tc>
      </w:tr>
      <w:tr>
        <w:trPr>
          <w:trHeight w:val="191"/>
        </w:trPr>
        <w:tc>
          <w:tcPr>
            <w:tcW w:w="1140" w:type="dxa"/>
            <w:vAlign w:val="bottom"/>
            <w:shd w:val="clear" w:color="auto" w:fill="CCEEFF"/>
          </w:tcPr>
          <w:p>
            <w:pPr>
              <w:jc w:val="center"/>
              <w:ind w:right="3"/>
              <w:spacing w:after="0"/>
              <w:rPr>
                <w:sz w:val="20"/>
                <w:szCs w:val="20"/>
                <w:color w:val="auto"/>
              </w:rPr>
            </w:pPr>
            <w:r>
              <w:rPr>
                <w:rFonts w:ascii="Arial" w:cs="Arial" w:eastAsia="Arial" w:hAnsi="Arial"/>
                <w:sz w:val="15"/>
                <w:szCs w:val="15"/>
                <w:color w:val="auto"/>
              </w:rPr>
              <w:t>101.INS*</w:t>
            </w:r>
          </w:p>
        </w:tc>
        <w:tc>
          <w:tcPr>
            <w:tcW w:w="79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XBRL Instance Document.</w:t>
            </w:r>
          </w:p>
        </w:tc>
      </w:tr>
      <w:tr>
        <w:trPr>
          <w:trHeight w:val="182"/>
        </w:trPr>
        <w:tc>
          <w:tcPr>
            <w:tcW w:w="1140" w:type="dxa"/>
            <w:vAlign w:val="bottom"/>
          </w:tcPr>
          <w:p>
            <w:pPr>
              <w:jc w:val="center"/>
              <w:spacing w:after="0"/>
              <w:rPr>
                <w:sz w:val="20"/>
                <w:szCs w:val="20"/>
                <w:color w:val="auto"/>
              </w:rPr>
            </w:pPr>
            <w:r>
              <w:rPr>
                <w:rFonts w:ascii="Arial" w:cs="Arial" w:eastAsia="Arial" w:hAnsi="Arial"/>
                <w:sz w:val="15"/>
                <w:szCs w:val="15"/>
                <w:color w:val="auto"/>
              </w:rPr>
              <w:t>101.SCH*</w:t>
            </w:r>
          </w:p>
        </w:tc>
        <w:tc>
          <w:tcPr>
            <w:tcW w:w="7960" w:type="dxa"/>
            <w:vAlign w:val="bottom"/>
            <w:gridSpan w:val="3"/>
          </w:tcPr>
          <w:p>
            <w:pPr>
              <w:spacing w:after="0"/>
              <w:rPr>
                <w:sz w:val="20"/>
                <w:szCs w:val="20"/>
                <w:color w:val="auto"/>
              </w:rPr>
            </w:pPr>
            <w:r>
              <w:rPr>
                <w:rFonts w:ascii="Arial" w:cs="Arial" w:eastAsia="Arial" w:hAnsi="Arial"/>
                <w:sz w:val="15"/>
                <w:szCs w:val="15"/>
                <w:color w:val="auto"/>
              </w:rPr>
              <w:t>XBRL Taxonomy Extension Schema.</w:t>
            </w:r>
          </w:p>
        </w:tc>
      </w:tr>
      <w:tr>
        <w:trPr>
          <w:trHeight w:val="182"/>
        </w:trPr>
        <w:tc>
          <w:tcPr>
            <w:tcW w:w="1140" w:type="dxa"/>
            <w:vAlign w:val="bottom"/>
            <w:shd w:val="clear" w:color="auto" w:fill="CCEEFF"/>
          </w:tcPr>
          <w:p>
            <w:pPr>
              <w:jc w:val="center"/>
              <w:ind w:right="3"/>
              <w:spacing w:after="0"/>
              <w:rPr>
                <w:sz w:val="20"/>
                <w:szCs w:val="20"/>
                <w:color w:val="auto"/>
              </w:rPr>
            </w:pPr>
            <w:r>
              <w:rPr>
                <w:rFonts w:ascii="Arial" w:cs="Arial" w:eastAsia="Arial" w:hAnsi="Arial"/>
                <w:sz w:val="15"/>
                <w:szCs w:val="15"/>
                <w:color w:val="auto"/>
              </w:rPr>
              <w:t>101.CAL*</w:t>
            </w:r>
          </w:p>
        </w:tc>
        <w:tc>
          <w:tcPr>
            <w:tcW w:w="79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XBRL Taxonomy Extension Calculation Linkbase.</w:t>
            </w:r>
          </w:p>
        </w:tc>
      </w:tr>
      <w:tr>
        <w:trPr>
          <w:trHeight w:val="182"/>
        </w:trPr>
        <w:tc>
          <w:tcPr>
            <w:tcW w:w="1140" w:type="dxa"/>
            <w:vAlign w:val="bottom"/>
          </w:tcPr>
          <w:p>
            <w:pPr>
              <w:jc w:val="center"/>
              <w:ind w:right="3"/>
              <w:spacing w:after="0"/>
              <w:rPr>
                <w:sz w:val="20"/>
                <w:szCs w:val="20"/>
                <w:color w:val="auto"/>
              </w:rPr>
            </w:pPr>
            <w:r>
              <w:rPr>
                <w:rFonts w:ascii="Arial" w:cs="Arial" w:eastAsia="Arial" w:hAnsi="Arial"/>
                <w:sz w:val="15"/>
                <w:szCs w:val="15"/>
                <w:color w:val="auto"/>
              </w:rPr>
              <w:t>101.DEF*</w:t>
            </w:r>
          </w:p>
        </w:tc>
        <w:tc>
          <w:tcPr>
            <w:tcW w:w="7960" w:type="dxa"/>
            <w:vAlign w:val="bottom"/>
            <w:gridSpan w:val="3"/>
          </w:tcPr>
          <w:p>
            <w:pPr>
              <w:spacing w:after="0"/>
              <w:rPr>
                <w:sz w:val="20"/>
                <w:szCs w:val="20"/>
                <w:color w:val="auto"/>
              </w:rPr>
            </w:pPr>
            <w:r>
              <w:rPr>
                <w:rFonts w:ascii="Arial" w:cs="Arial" w:eastAsia="Arial" w:hAnsi="Arial"/>
                <w:sz w:val="15"/>
                <w:szCs w:val="15"/>
                <w:color w:val="auto"/>
              </w:rPr>
              <w:t>XBRL Taxonomy Extension Definition Linkbase.</w:t>
            </w:r>
          </w:p>
        </w:tc>
      </w:tr>
      <w:tr>
        <w:trPr>
          <w:trHeight w:val="182"/>
        </w:trPr>
        <w:tc>
          <w:tcPr>
            <w:tcW w:w="1140" w:type="dxa"/>
            <w:vAlign w:val="bottom"/>
            <w:shd w:val="clear" w:color="auto" w:fill="CCEEFF"/>
          </w:tcPr>
          <w:p>
            <w:pPr>
              <w:jc w:val="center"/>
              <w:ind w:right="3"/>
              <w:spacing w:after="0"/>
              <w:rPr>
                <w:sz w:val="20"/>
                <w:szCs w:val="20"/>
                <w:color w:val="auto"/>
              </w:rPr>
            </w:pPr>
            <w:r>
              <w:rPr>
                <w:rFonts w:ascii="Arial" w:cs="Arial" w:eastAsia="Arial" w:hAnsi="Arial"/>
                <w:sz w:val="15"/>
                <w:szCs w:val="15"/>
                <w:color w:val="auto"/>
              </w:rPr>
              <w:t>101.LAB*</w:t>
            </w:r>
          </w:p>
        </w:tc>
        <w:tc>
          <w:tcPr>
            <w:tcW w:w="79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XBRL Taxonomy Extension Label Linkbase.</w:t>
            </w:r>
          </w:p>
        </w:tc>
      </w:tr>
      <w:tr>
        <w:trPr>
          <w:trHeight w:val="182"/>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101.PRE*</w:t>
            </w:r>
          </w:p>
        </w:tc>
        <w:tc>
          <w:tcPr>
            <w:tcW w:w="7960" w:type="dxa"/>
            <w:vAlign w:val="bottom"/>
            <w:tcBorders>
              <w:bottom w:val="single" w:sz="8" w:color="auto"/>
            </w:tcBorders>
            <w:gridSpan w:val="3"/>
          </w:tcPr>
          <w:p>
            <w:pPr>
              <w:spacing w:after="0"/>
              <w:rPr>
                <w:sz w:val="20"/>
                <w:szCs w:val="20"/>
                <w:color w:val="auto"/>
              </w:rPr>
            </w:pPr>
            <w:r>
              <w:rPr>
                <w:rFonts w:ascii="Arial" w:cs="Arial" w:eastAsia="Arial" w:hAnsi="Arial"/>
                <w:sz w:val="15"/>
                <w:szCs w:val="15"/>
                <w:color w:val="auto"/>
              </w:rPr>
              <w:t>XBRL Taxonomy Extension Presentation Linkbase.</w:t>
            </w:r>
          </w:p>
        </w:tc>
      </w:tr>
    </w:tbl>
    <w:p>
      <w:pPr>
        <w:spacing w:after="0" w:line="201" w:lineRule="exact"/>
        <w:rPr>
          <w:sz w:val="20"/>
          <w:szCs w:val="20"/>
          <w:color w:val="auto"/>
        </w:rPr>
      </w:pPr>
    </w:p>
    <w:p>
      <w:pPr>
        <w:ind w:left="1140" w:hanging="649"/>
        <w:spacing w:after="0"/>
        <w:tabs>
          <w:tab w:leader="none" w:pos="1140" w:val="left"/>
        </w:tabs>
        <w:numPr>
          <w:ilvl w:val="0"/>
          <w:numId w:val="9"/>
        </w:numPr>
        <w:rPr>
          <w:rFonts w:ascii="Arial" w:cs="Arial" w:eastAsia="Arial" w:hAnsi="Arial"/>
          <w:sz w:val="15"/>
          <w:szCs w:val="15"/>
          <w:color w:val="auto"/>
        </w:rPr>
      </w:pPr>
      <w:r>
        <w:rPr>
          <w:rFonts w:ascii="Arial" w:cs="Arial" w:eastAsia="Arial" w:hAnsi="Arial"/>
          <w:sz w:val="15"/>
          <w:szCs w:val="15"/>
          <w:color w:val="auto"/>
        </w:rPr>
        <w:t>Management contract or compensatory plan or arrangement.</w:t>
      </w:r>
    </w:p>
    <w:p>
      <w:pPr>
        <w:spacing w:after="0" w:line="34" w:lineRule="exact"/>
        <w:rPr>
          <w:sz w:val="20"/>
          <w:szCs w:val="20"/>
          <w:color w:val="auto"/>
        </w:rPr>
      </w:pPr>
    </w:p>
    <w:p>
      <w:pPr>
        <w:ind w:left="1140" w:hanging="636"/>
        <w:spacing w:after="0"/>
        <w:tabs>
          <w:tab w:leader="none" w:pos="11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Filed herewith.</w:t>
      </w:r>
    </w:p>
    <w:p>
      <w:pPr>
        <w:spacing w:after="0" w:line="34" w:lineRule="exact"/>
        <w:rPr>
          <w:sz w:val="20"/>
          <w:szCs w:val="20"/>
          <w:color w:val="auto"/>
        </w:rPr>
      </w:pPr>
    </w:p>
    <w:p>
      <w:pPr>
        <w:ind w:left="1140" w:hanging="666"/>
        <w:spacing w:after="0"/>
        <w:tabs>
          <w:tab w:leader="none" w:pos="11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Furnished herewith.</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311" w:right="1399" w:bottom="1440" w:gutter="0" w:footer="0" w:header="0"/>
          <w:type w:val="continuous"/>
        </w:sectPr>
      </w:pPr>
    </w:p>
    <w:bookmarkStart w:id="28" w:name="page29"/>
    <w:bookmarkEnd w:id="28"/>
    <w:p>
      <w:pPr>
        <w:ind w:left="8380"/>
        <w:spacing w:after="0"/>
        <w:rPr>
          <w:sz w:val="20"/>
          <w:szCs w:val="20"/>
          <w:color w:val="auto"/>
        </w:rPr>
      </w:pPr>
      <w:r>
        <w:rPr>
          <w:rFonts w:ascii="Arial" w:cs="Arial" w:eastAsia="Arial" w:hAnsi="Arial"/>
          <w:sz w:val="15"/>
          <w:szCs w:val="15"/>
          <w:b w:val="1"/>
          <w:bCs w:val="1"/>
          <w:color w:val="auto"/>
        </w:rPr>
        <w:t>Exhibit 12</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FOOT LOCKER, INC.</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COMPUTATION OF RATIO OF EARNINGS TO FIXED CHARGES</w:t>
      </w:r>
    </w:p>
    <w:p>
      <w:pPr>
        <w:jc w:val="center"/>
        <w:ind w:right="20"/>
        <w:spacing w:after="0" w:line="236" w:lineRule="auto"/>
        <w:rPr>
          <w:sz w:val="20"/>
          <w:szCs w:val="20"/>
          <w:color w:val="auto"/>
        </w:rPr>
      </w:pPr>
      <w:r>
        <w:rPr>
          <w:rFonts w:ascii="Arial" w:cs="Arial" w:eastAsia="Arial" w:hAnsi="Arial"/>
          <w:sz w:val="15"/>
          <w:szCs w:val="15"/>
          <w:b w:val="1"/>
          <w:bCs w:val="1"/>
          <w:color w:val="auto"/>
        </w:rPr>
        <w:t>(Unaudited)</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 in millions)</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9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ind w:left="140"/>
              <w:spacing w:after="0"/>
              <w:rPr>
                <w:sz w:val="20"/>
                <w:szCs w:val="20"/>
                <w:color w:val="auto"/>
              </w:rPr>
            </w:pPr>
            <w:r>
              <w:rPr>
                <w:rFonts w:ascii="Arial" w:cs="Arial" w:eastAsia="Arial" w:hAnsi="Arial"/>
                <w:sz w:val="15"/>
                <w:szCs w:val="15"/>
                <w:b w:val="1"/>
                <w:bCs w:val="1"/>
                <w:color w:val="auto"/>
              </w:rPr>
              <w:t>Thirteen weeks ended</w:t>
            </w: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jc w:val="right"/>
              <w:ind w:right="463"/>
              <w:spacing w:after="0"/>
              <w:rPr>
                <w:sz w:val="20"/>
                <w:szCs w:val="20"/>
                <w:color w:val="auto"/>
              </w:rPr>
            </w:pPr>
            <w:r>
              <w:rPr>
                <w:rFonts w:ascii="Arial" w:cs="Arial" w:eastAsia="Arial" w:hAnsi="Arial"/>
                <w:sz w:val="15"/>
                <w:szCs w:val="15"/>
                <w:b w:val="1"/>
                <w:bCs w:val="1"/>
                <w:color w:val="auto"/>
              </w:rPr>
              <w:t>Fiscal Year Ended</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jc w:val="right"/>
              <w:ind w:right="63"/>
              <w:spacing w:after="0" w:line="151" w:lineRule="exact"/>
              <w:rPr>
                <w:sz w:val="20"/>
                <w:szCs w:val="20"/>
                <w:color w:val="auto"/>
              </w:rPr>
            </w:pPr>
            <w:r>
              <w:rPr>
                <w:rFonts w:ascii="Arial" w:cs="Arial" w:eastAsia="Arial" w:hAnsi="Arial"/>
                <w:sz w:val="15"/>
                <w:szCs w:val="15"/>
                <w:b w:val="1"/>
                <w:bCs w:val="1"/>
                <w:color w:val="auto"/>
              </w:rPr>
              <w:t>May 5,</w:t>
            </w:r>
          </w:p>
        </w:tc>
        <w:tc>
          <w:tcPr>
            <w:tcW w:w="180" w:type="dxa"/>
            <w:vAlign w:val="bottom"/>
          </w:tcPr>
          <w:p>
            <w:pPr>
              <w:spacing w:after="0"/>
              <w:rPr>
                <w:sz w:val="13"/>
                <w:szCs w:val="13"/>
                <w:color w:val="auto"/>
              </w:rPr>
            </w:pPr>
          </w:p>
        </w:tc>
        <w:tc>
          <w:tcPr>
            <w:tcW w:w="760" w:type="dxa"/>
            <w:vAlign w:val="bottom"/>
          </w:tcPr>
          <w:p>
            <w:pPr>
              <w:jc w:val="right"/>
              <w:ind w:right="83"/>
              <w:spacing w:after="0" w:line="151" w:lineRule="exact"/>
              <w:rPr>
                <w:sz w:val="20"/>
                <w:szCs w:val="20"/>
                <w:color w:val="auto"/>
              </w:rPr>
            </w:pPr>
            <w:r>
              <w:rPr>
                <w:rFonts w:ascii="Arial" w:cs="Arial" w:eastAsia="Arial" w:hAnsi="Arial"/>
                <w:sz w:val="15"/>
                <w:szCs w:val="15"/>
                <w:b w:val="1"/>
                <w:bCs w:val="1"/>
                <w:color w:val="auto"/>
              </w:rPr>
              <w:t>Apr. 29,</w:t>
            </w:r>
          </w:p>
        </w:tc>
        <w:tc>
          <w:tcPr>
            <w:tcW w:w="260" w:type="dxa"/>
            <w:vAlign w:val="bottom"/>
          </w:tcPr>
          <w:p>
            <w:pPr>
              <w:spacing w:after="0"/>
              <w:rPr>
                <w:sz w:val="13"/>
                <w:szCs w:val="13"/>
                <w:color w:val="auto"/>
              </w:rPr>
            </w:pPr>
          </w:p>
        </w:tc>
        <w:tc>
          <w:tcPr>
            <w:tcW w:w="620" w:type="dxa"/>
            <w:vAlign w:val="bottom"/>
          </w:tcPr>
          <w:p>
            <w:pPr>
              <w:jc w:val="right"/>
              <w:ind w:right="23"/>
              <w:spacing w:after="0" w:line="151" w:lineRule="exact"/>
              <w:rPr>
                <w:sz w:val="20"/>
                <w:szCs w:val="20"/>
                <w:color w:val="auto"/>
              </w:rPr>
            </w:pPr>
            <w:r>
              <w:rPr>
                <w:rFonts w:ascii="Arial" w:cs="Arial" w:eastAsia="Arial" w:hAnsi="Arial"/>
                <w:sz w:val="15"/>
                <w:szCs w:val="15"/>
                <w:b w:val="1"/>
                <w:bCs w:val="1"/>
                <w:color w:val="auto"/>
              </w:rPr>
              <w:t>Feb. 3,</w:t>
            </w:r>
          </w:p>
        </w:tc>
        <w:tc>
          <w:tcPr>
            <w:tcW w:w="180" w:type="dxa"/>
            <w:vAlign w:val="bottom"/>
          </w:tcPr>
          <w:p>
            <w:pPr>
              <w:spacing w:after="0"/>
              <w:rPr>
                <w:sz w:val="13"/>
                <w:szCs w:val="13"/>
                <w:color w:val="auto"/>
              </w:rPr>
            </w:pPr>
          </w:p>
        </w:tc>
        <w:tc>
          <w:tcPr>
            <w:tcW w:w="640" w:type="dxa"/>
            <w:vAlign w:val="bottom"/>
          </w:tcPr>
          <w:p>
            <w:pPr>
              <w:jc w:val="right"/>
              <w:spacing w:after="0" w:line="151" w:lineRule="exact"/>
              <w:rPr>
                <w:sz w:val="20"/>
                <w:szCs w:val="20"/>
                <w:color w:val="auto"/>
              </w:rPr>
            </w:pPr>
            <w:r>
              <w:rPr>
                <w:rFonts w:ascii="Arial" w:cs="Arial" w:eastAsia="Arial" w:hAnsi="Arial"/>
                <w:sz w:val="15"/>
                <w:szCs w:val="15"/>
                <w:b w:val="1"/>
                <w:bCs w:val="1"/>
                <w:color w:val="auto"/>
              </w:rPr>
              <w:t>Jan. 28,</w:t>
            </w:r>
          </w:p>
        </w:tc>
        <w:tc>
          <w:tcPr>
            <w:tcW w:w="180" w:type="dxa"/>
            <w:vAlign w:val="bottom"/>
          </w:tcPr>
          <w:p>
            <w:pPr>
              <w:spacing w:after="0"/>
              <w:rPr>
                <w:sz w:val="13"/>
                <w:szCs w:val="13"/>
                <w:color w:val="auto"/>
              </w:rPr>
            </w:pPr>
          </w:p>
        </w:tc>
        <w:tc>
          <w:tcPr>
            <w:tcW w:w="660" w:type="dxa"/>
            <w:vAlign w:val="bottom"/>
          </w:tcPr>
          <w:p>
            <w:pPr>
              <w:jc w:val="right"/>
              <w:ind w:right="3"/>
              <w:spacing w:after="0" w:line="151" w:lineRule="exact"/>
              <w:rPr>
                <w:sz w:val="20"/>
                <w:szCs w:val="20"/>
                <w:color w:val="auto"/>
              </w:rPr>
            </w:pPr>
            <w:r>
              <w:rPr>
                <w:rFonts w:ascii="Arial" w:cs="Arial" w:eastAsia="Arial" w:hAnsi="Arial"/>
                <w:sz w:val="15"/>
                <w:szCs w:val="15"/>
                <w:b w:val="1"/>
                <w:bCs w:val="1"/>
                <w:color w:val="auto"/>
              </w:rPr>
              <w:t>Jan. 30,</w:t>
            </w:r>
          </w:p>
        </w:tc>
        <w:tc>
          <w:tcPr>
            <w:tcW w:w="180" w:type="dxa"/>
            <w:vAlign w:val="bottom"/>
          </w:tcPr>
          <w:p>
            <w:pPr>
              <w:spacing w:after="0"/>
              <w:rPr>
                <w:sz w:val="13"/>
                <w:szCs w:val="13"/>
                <w:color w:val="auto"/>
              </w:rPr>
            </w:pPr>
          </w:p>
        </w:tc>
        <w:tc>
          <w:tcPr>
            <w:tcW w:w="700" w:type="dxa"/>
            <w:vAlign w:val="bottom"/>
          </w:tcPr>
          <w:p>
            <w:pPr>
              <w:jc w:val="right"/>
              <w:ind w:right="23"/>
              <w:spacing w:after="0" w:line="151" w:lineRule="exact"/>
              <w:rPr>
                <w:sz w:val="20"/>
                <w:szCs w:val="20"/>
                <w:color w:val="auto"/>
              </w:rPr>
            </w:pPr>
            <w:r>
              <w:rPr>
                <w:rFonts w:ascii="Arial" w:cs="Arial" w:eastAsia="Arial" w:hAnsi="Arial"/>
                <w:sz w:val="15"/>
                <w:szCs w:val="15"/>
                <w:b w:val="1"/>
                <w:bCs w:val="1"/>
                <w:color w:val="auto"/>
              </w:rPr>
              <w:t>Jan. 31,</w:t>
            </w:r>
          </w:p>
        </w:tc>
        <w:tc>
          <w:tcPr>
            <w:tcW w:w="180" w:type="dxa"/>
            <w:vAlign w:val="bottom"/>
          </w:tcPr>
          <w:p>
            <w:pPr>
              <w:spacing w:after="0"/>
              <w:rPr>
                <w:sz w:val="13"/>
                <w:szCs w:val="13"/>
                <w:color w:val="auto"/>
              </w:rPr>
            </w:pPr>
          </w:p>
        </w:tc>
        <w:tc>
          <w:tcPr>
            <w:tcW w:w="620" w:type="dxa"/>
            <w:vAlign w:val="bottom"/>
          </w:tcPr>
          <w:p>
            <w:pPr>
              <w:jc w:val="right"/>
              <w:ind w:right="3"/>
              <w:spacing w:after="0" w:line="151" w:lineRule="exact"/>
              <w:rPr>
                <w:sz w:val="20"/>
                <w:szCs w:val="20"/>
                <w:color w:val="auto"/>
              </w:rPr>
            </w:pPr>
            <w:r>
              <w:rPr>
                <w:rFonts w:ascii="Arial" w:cs="Arial" w:eastAsia="Arial" w:hAnsi="Arial"/>
                <w:sz w:val="15"/>
                <w:szCs w:val="15"/>
                <w:b w:val="1"/>
                <w:bCs w:val="1"/>
                <w:color w:val="auto"/>
              </w:rPr>
              <w:t>Feb. 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9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2018</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2017</w:t>
            </w:r>
          </w:p>
        </w:tc>
        <w:tc>
          <w:tcPr>
            <w:tcW w:w="2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2018</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2017</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2016</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2015</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2014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980" w:type="dxa"/>
            <w:vAlign w:val="bottom"/>
            <w:shd w:val="clear" w:color="auto" w:fill="CCEEFF"/>
          </w:tcPr>
          <w:p>
            <w:pPr>
              <w:spacing w:after="0"/>
              <w:rPr>
                <w:sz w:val="20"/>
                <w:szCs w:val="20"/>
                <w:color w:val="auto"/>
              </w:rPr>
            </w:pPr>
            <w:r>
              <w:rPr>
                <w:rFonts w:ascii="Arial" w:cs="Arial" w:eastAsia="Arial" w:hAnsi="Arial"/>
                <w:sz w:val="15"/>
                <w:szCs w:val="15"/>
                <w:color w:val="auto"/>
              </w:rPr>
              <w:t>NET EARNINGS</w:t>
            </w: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980" w:type="dxa"/>
            <w:vAlign w:val="bottom"/>
          </w:tcPr>
          <w:p>
            <w:pPr>
              <w:spacing w:after="0"/>
              <w:rPr>
                <w:sz w:val="20"/>
                <w:szCs w:val="20"/>
                <w:color w:val="auto"/>
              </w:rPr>
            </w:pPr>
            <w:r>
              <w:rPr>
                <w:rFonts w:ascii="Arial" w:cs="Arial" w:eastAsia="Arial" w:hAnsi="Arial"/>
                <w:sz w:val="15"/>
                <w:szCs w:val="15"/>
                <w:color w:val="auto"/>
              </w:rPr>
              <w:t>Net income</w:t>
            </w:r>
          </w:p>
        </w:tc>
        <w:tc>
          <w:tcPr>
            <w:tcW w:w="280" w:type="dxa"/>
            <w:vAlign w:val="bottom"/>
          </w:tcPr>
          <w:p>
            <w:pPr>
              <w:ind w:left="140"/>
              <w:spacing w:after="0"/>
              <w:rPr>
                <w:sz w:val="20"/>
                <w:szCs w:val="20"/>
                <w:color w:val="auto"/>
              </w:rPr>
            </w:pPr>
            <w:r>
              <w:rPr>
                <w:rFonts w:ascii="Arial" w:cs="Arial" w:eastAsia="Arial" w:hAnsi="Arial"/>
                <w:sz w:val="15"/>
                <w:szCs w:val="15"/>
                <w:b w:val="1"/>
                <w:bCs w:val="1"/>
                <w:color w:val="auto"/>
              </w:rPr>
              <w:t>$</w:t>
            </w: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165</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180</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284</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664</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541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520</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429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980" w:type="dxa"/>
            <w:vAlign w:val="bottom"/>
            <w:shd w:val="clear" w:color="auto" w:fill="CCEEFF"/>
          </w:tcPr>
          <w:p>
            <w:pPr>
              <w:spacing w:after="0"/>
              <w:rPr>
                <w:sz w:val="20"/>
                <w:szCs w:val="20"/>
                <w:color w:val="auto"/>
              </w:rPr>
            </w:pPr>
            <w:r>
              <w:rPr>
                <w:rFonts w:ascii="Arial" w:cs="Arial" w:eastAsia="Arial" w:hAnsi="Arial"/>
                <w:sz w:val="15"/>
                <w:szCs w:val="15"/>
                <w:color w:val="auto"/>
              </w:rPr>
              <w:t>Income tax expense</w:t>
            </w: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64</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89</w:t>
            </w: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294</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340</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296</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289</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980" w:type="dxa"/>
            <w:vAlign w:val="bottom"/>
          </w:tcPr>
          <w:p>
            <w:pPr>
              <w:spacing w:after="0"/>
              <w:rPr>
                <w:sz w:val="20"/>
                <w:szCs w:val="20"/>
                <w:color w:val="auto"/>
              </w:rPr>
            </w:pPr>
            <w:r>
              <w:rPr>
                <w:rFonts w:ascii="Arial" w:cs="Arial" w:eastAsia="Arial" w:hAnsi="Arial"/>
                <w:sz w:val="15"/>
                <w:szCs w:val="15"/>
                <w:color w:val="auto"/>
              </w:rPr>
              <w:t>Interest expense, excluding capitalized</w:t>
            </w:r>
          </w:p>
        </w:tc>
        <w:tc>
          <w:tcPr>
            <w:tcW w:w="2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3</w:t>
            </w: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80" w:type="dxa"/>
            <w:vAlign w:val="bottom"/>
          </w:tcPr>
          <w:p>
            <w:pPr>
              <w:ind w:left="80"/>
              <w:spacing w:after="0"/>
              <w:rPr>
                <w:sz w:val="20"/>
                <w:szCs w:val="20"/>
                <w:color w:val="auto"/>
              </w:rPr>
            </w:pPr>
            <w:r>
              <w:rPr>
                <w:rFonts w:ascii="Arial" w:cs="Arial" w:eastAsia="Arial" w:hAnsi="Arial"/>
                <w:sz w:val="15"/>
                <w:szCs w:val="15"/>
                <w:color w:val="auto"/>
              </w:rPr>
              <w:t>interest</w:t>
            </w:r>
          </w:p>
        </w:tc>
        <w:tc>
          <w:tcPr>
            <w:tcW w:w="2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3</w:t>
            </w:r>
          </w:p>
        </w:tc>
        <w:tc>
          <w:tcPr>
            <w:tcW w:w="2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12</w:t>
            </w: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11</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11</w:t>
            </w: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11</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4"/>
        </w:trPr>
        <w:tc>
          <w:tcPr>
            <w:tcW w:w="2980" w:type="dxa"/>
            <w:vAlign w:val="bottom"/>
            <w:shd w:val="clear" w:color="auto" w:fill="CCEEFF"/>
          </w:tcPr>
          <w:p>
            <w:pPr>
              <w:spacing w:after="0"/>
              <w:rPr>
                <w:sz w:val="20"/>
                <w:szCs w:val="20"/>
                <w:color w:val="auto"/>
              </w:rPr>
            </w:pPr>
            <w:r>
              <w:rPr>
                <w:rFonts w:ascii="Arial" w:cs="Arial" w:eastAsia="Arial" w:hAnsi="Arial"/>
                <w:sz w:val="15"/>
                <w:szCs w:val="15"/>
                <w:color w:val="auto"/>
              </w:rPr>
              <w:t>Portion of rents deemed representative of</w:t>
            </w:r>
          </w:p>
        </w:tc>
        <w:tc>
          <w:tcPr>
            <w:tcW w:w="280" w:type="dxa"/>
            <w:vAlign w:val="bottom"/>
            <w:shd w:val="clear" w:color="auto" w:fill="CCEEFF"/>
          </w:tcPr>
          <w:p>
            <w:pPr>
              <w:spacing w:after="0"/>
              <w:rPr>
                <w:sz w:val="24"/>
                <w:szCs w:val="2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72</w:t>
            </w: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9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5"/>
                <w:szCs w:val="15"/>
                <w:color w:val="auto"/>
              </w:rPr>
              <w:t>the interest factor (1/3)</w:t>
            </w:r>
          </w:p>
        </w:tc>
        <w:tc>
          <w:tcPr>
            <w:tcW w:w="2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67</w:t>
            </w:r>
          </w:p>
        </w:tc>
        <w:tc>
          <w:tcPr>
            <w:tcW w:w="2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287</w:t>
            </w: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269</w:t>
            </w: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252</w:t>
            </w:r>
          </w:p>
        </w:tc>
        <w:tc>
          <w:tcPr>
            <w:tcW w:w="1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249</w:t>
            </w: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9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ind w:left="140"/>
              <w:spacing w:after="0"/>
              <w:rPr>
                <w:sz w:val="20"/>
                <w:szCs w:val="20"/>
                <w:color w:val="auto"/>
              </w:rPr>
            </w:pPr>
            <w:r>
              <w:rPr>
                <w:rFonts w:ascii="Arial" w:cs="Arial" w:eastAsia="Arial" w:hAnsi="Arial"/>
                <w:sz w:val="15"/>
                <w:szCs w:val="15"/>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304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339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1,284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980" w:type="dxa"/>
            <w:vAlign w:val="bottom"/>
            <w:shd w:val="clear" w:color="auto" w:fill="CCEEFF"/>
          </w:tcPr>
          <w:p>
            <w:pPr>
              <w:spacing w:after="0"/>
              <w:rPr>
                <w:sz w:val="20"/>
                <w:szCs w:val="20"/>
                <w:color w:val="auto"/>
              </w:rPr>
            </w:pPr>
            <w:r>
              <w:rPr>
                <w:rFonts w:ascii="Arial" w:cs="Arial" w:eastAsia="Arial" w:hAnsi="Arial"/>
                <w:sz w:val="15"/>
                <w:szCs w:val="15"/>
                <w:color w:val="auto"/>
              </w:rPr>
              <w:t>FIXED CHARGES</w:t>
            </w: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980" w:type="dxa"/>
            <w:vAlign w:val="bottom"/>
          </w:tcPr>
          <w:p>
            <w:pPr>
              <w:spacing w:after="0"/>
              <w:rPr>
                <w:sz w:val="20"/>
                <w:szCs w:val="20"/>
                <w:color w:val="auto"/>
              </w:rPr>
            </w:pPr>
            <w:r>
              <w:rPr>
                <w:rFonts w:ascii="Arial" w:cs="Arial" w:eastAsia="Arial" w:hAnsi="Arial"/>
                <w:sz w:val="15"/>
                <w:szCs w:val="15"/>
                <w:color w:val="auto"/>
              </w:rPr>
              <w:t>Gross interest expense</w:t>
            </w:r>
          </w:p>
        </w:tc>
        <w:tc>
          <w:tcPr>
            <w:tcW w:w="280" w:type="dxa"/>
            <w:vAlign w:val="bottom"/>
          </w:tcPr>
          <w:p>
            <w:pPr>
              <w:ind w:left="140"/>
              <w:spacing w:after="0"/>
              <w:rPr>
                <w:sz w:val="20"/>
                <w:szCs w:val="20"/>
                <w:color w:val="auto"/>
              </w:rPr>
            </w:pPr>
            <w:r>
              <w:rPr>
                <w:rFonts w:ascii="Arial" w:cs="Arial" w:eastAsia="Arial" w:hAnsi="Arial"/>
                <w:sz w:val="15"/>
                <w:szCs w:val="15"/>
                <w:b w:val="1"/>
                <w:bCs w:val="1"/>
                <w:color w:val="auto"/>
              </w:rPr>
              <w:t>$</w:t>
            </w:r>
          </w:p>
        </w:tc>
        <w:tc>
          <w:tcPr>
            <w:tcW w:w="680" w:type="dxa"/>
            <w:vAlign w:val="bottom"/>
          </w:tcPr>
          <w:p>
            <w:pPr>
              <w:jc w:val="right"/>
              <w:spacing w:after="0"/>
              <w:rPr>
                <w:sz w:val="20"/>
                <w:szCs w:val="20"/>
                <w:color w:val="auto"/>
              </w:rPr>
            </w:pPr>
            <w:r>
              <w:rPr>
                <w:rFonts w:ascii="Arial" w:cs="Arial" w:eastAsia="Arial" w:hAnsi="Arial"/>
                <w:sz w:val="15"/>
                <w:szCs w:val="15"/>
                <w:b w:val="1"/>
                <w:bCs w:val="1"/>
                <w:color w:val="auto"/>
              </w:rPr>
              <w:t>3</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3</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12</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11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2980" w:type="dxa"/>
            <w:vAlign w:val="bottom"/>
            <w:shd w:val="clear" w:color="auto" w:fill="CCEEFF"/>
          </w:tcPr>
          <w:p>
            <w:pPr>
              <w:spacing w:after="0"/>
              <w:rPr>
                <w:sz w:val="20"/>
                <w:szCs w:val="20"/>
                <w:color w:val="auto"/>
              </w:rPr>
            </w:pPr>
            <w:r>
              <w:rPr>
                <w:rFonts w:ascii="Arial" w:cs="Arial" w:eastAsia="Arial" w:hAnsi="Arial"/>
                <w:sz w:val="15"/>
                <w:szCs w:val="15"/>
                <w:color w:val="auto"/>
              </w:rPr>
              <w:t>Portion of rents deemed representative of</w:t>
            </w:r>
          </w:p>
        </w:tc>
        <w:tc>
          <w:tcPr>
            <w:tcW w:w="280" w:type="dxa"/>
            <w:vAlign w:val="bottom"/>
            <w:shd w:val="clear" w:color="auto" w:fill="CCEEFF"/>
          </w:tcPr>
          <w:p>
            <w:pPr>
              <w:spacing w:after="0"/>
              <w:rPr>
                <w:sz w:val="24"/>
                <w:szCs w:val="2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72</w:t>
            </w: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9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5"/>
                <w:szCs w:val="15"/>
                <w:color w:val="auto"/>
              </w:rPr>
              <w:t>the interest factor (1/3)</w:t>
            </w:r>
          </w:p>
        </w:tc>
        <w:tc>
          <w:tcPr>
            <w:tcW w:w="2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67</w:t>
            </w:r>
          </w:p>
        </w:tc>
        <w:tc>
          <w:tcPr>
            <w:tcW w:w="2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287</w:t>
            </w: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269</w:t>
            </w: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252</w:t>
            </w:r>
          </w:p>
        </w:tc>
        <w:tc>
          <w:tcPr>
            <w:tcW w:w="1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249</w:t>
            </w: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9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ind w:left="140"/>
              <w:spacing w:after="0"/>
              <w:rPr>
                <w:sz w:val="20"/>
                <w:szCs w:val="20"/>
                <w:color w:val="auto"/>
              </w:rPr>
            </w:pPr>
            <w:r>
              <w:rPr>
                <w:rFonts w:ascii="Arial" w:cs="Arial" w:eastAsia="Arial" w:hAnsi="Arial"/>
                <w:sz w:val="15"/>
                <w:szCs w:val="15"/>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75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70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9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80" w:type="dxa"/>
            <w:vAlign w:val="bottom"/>
          </w:tcPr>
          <w:p>
            <w:pPr>
              <w:spacing w:after="0"/>
              <w:rPr>
                <w:sz w:val="20"/>
                <w:szCs w:val="20"/>
                <w:color w:val="auto"/>
              </w:rPr>
            </w:pPr>
            <w:r>
              <w:rPr>
                <w:rFonts w:ascii="Arial" w:cs="Arial" w:eastAsia="Arial" w:hAnsi="Arial"/>
                <w:sz w:val="15"/>
                <w:szCs w:val="15"/>
                <w:color w:val="auto"/>
              </w:rPr>
              <w:t>RATIO OF EARNINGS TO FIXED</w:t>
            </w:r>
          </w:p>
        </w:tc>
        <w:tc>
          <w:tcPr>
            <w:tcW w:w="28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4.1</w:t>
            </w: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98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CHARGES</w:t>
            </w:r>
          </w:p>
        </w:tc>
        <w:tc>
          <w:tcPr>
            <w:tcW w:w="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4.8</w:t>
            </w:r>
          </w:p>
        </w:tc>
        <w:tc>
          <w:tcPr>
            <w:tcW w:w="2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w:t>
            </w: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w:t>
            </w: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3"/>
        </w:trPr>
        <w:tc>
          <w:tcPr>
            <w:tcW w:w="29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8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5775325</wp:posOffset>
            </wp:positionH>
            <wp:positionV relativeFrom="paragraph">
              <wp:posOffset>-34925</wp:posOffset>
            </wp:positionV>
            <wp:extent cx="33020" cy="482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-34925</wp:posOffset>
            </wp:positionV>
            <wp:extent cx="33020" cy="482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9120"/>
          </w:cols>
          <w:pgMar w:left="1400" w:top="298" w:right="1379" w:bottom="1440" w:gutter="0" w:footer="0" w:header="0"/>
        </w:sectPr>
      </w:pPr>
    </w:p>
    <w:bookmarkStart w:id="29" w:name="page30"/>
    <w:bookmarkEnd w:id="29"/>
    <w:p>
      <w:pPr>
        <w:ind w:left="8380"/>
        <w:spacing w:after="0"/>
        <w:rPr>
          <w:sz w:val="20"/>
          <w:szCs w:val="20"/>
          <w:color w:val="auto"/>
        </w:rPr>
      </w:pPr>
      <w:r>
        <w:rPr>
          <w:rFonts w:ascii="Arial" w:cs="Arial" w:eastAsia="Arial" w:hAnsi="Arial"/>
          <w:sz w:val="15"/>
          <w:szCs w:val="15"/>
          <w:b w:val="1"/>
          <w:bCs w:val="1"/>
          <w:color w:val="auto"/>
        </w:rPr>
        <w:t>Exhibit 15</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ACCOUNTANTS’ ACKNOWLEDGEMENT</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color w:val="auto"/>
        </w:rPr>
        <w:t>The Board of Directors</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Foot Locker, Inc.:</w:t>
      </w:r>
    </w:p>
    <w:p>
      <w:pPr>
        <w:spacing w:after="0" w:line="241"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We hereby acknowledge our awareness of the use of our report dated June 6, 2018 related to our review of interim financial information in the following Registration Statements:</w:t>
      </w:r>
    </w:p>
    <w:p>
      <w:pPr>
        <w:spacing w:after="0" w:line="182" w:lineRule="exact"/>
        <w:rPr>
          <w:sz w:val="20"/>
          <w:szCs w:val="20"/>
          <w:color w:val="auto"/>
        </w:rPr>
      </w:pPr>
    </w:p>
    <w:p>
      <w:pPr>
        <w:ind w:left="320" w:hanging="202"/>
        <w:spacing w:after="0"/>
        <w:tabs>
          <w:tab w:leader="none" w:pos="3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Form S-8 No. 33-10783</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Form S-8 No. 33-91888</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Form S-8 No. 33-91886</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Form S-8 No. 33-97832</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Form S-8 No. 333-07215</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Form S-8 No. 333-21131</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Form S-8 No. 333-62425</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Form S-8 No. 333-33120</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Form S-8 No. 333-41056</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Form S-8 No. 333-41058</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Form S-8 No. 333-74688</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Form S-8 No. 333-99829</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Form S-8 No. 333-111222</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Form S-8 No. 333-121515</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Form S-8 No. 333-144044</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Form S-8 No. 333-149803</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Form S-3 No. 33-43334</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Form S-3 No. 33-86300</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Form S-3 No. 333-64930</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Form S-8 No. 333-167066</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Form S-8 No. 333-171523</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Form S-8 No. 333-190680</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Form S-8 No. 333-196899</w:t>
      </w:r>
    </w:p>
    <w:p>
      <w:pPr>
        <w:spacing w:after="0" w:line="180"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Pursuant to Rule 436(c) under the Securities Act of 1933 (the Act), such report is not considered a part of the registration statement prepared or certified by an independent registered public accounting firm or a report prepared or certified by an independent registered public accounting firm within the meaning of Sections 7 and 11 of the Act.</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5"/>
          <w:szCs w:val="15"/>
          <w:color w:val="auto"/>
        </w:rPr>
        <w:t>/s/ KPMG LLP</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New York, New York</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June 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568960</wp:posOffset>
            </wp:positionV>
            <wp:extent cx="5817870" cy="482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298" w:right="1399" w:bottom="1440" w:gutter="0" w:footer="0" w:header="0"/>
        </w:sectPr>
      </w:pPr>
    </w:p>
    <w:bookmarkStart w:id="30" w:name="page31"/>
    <w:bookmarkEnd w:id="30"/>
    <w:p>
      <w:pPr>
        <w:ind w:left="8200"/>
        <w:spacing w:after="0"/>
        <w:rPr>
          <w:sz w:val="20"/>
          <w:szCs w:val="20"/>
          <w:color w:val="auto"/>
        </w:rPr>
      </w:pPr>
      <w:r>
        <w:rPr>
          <w:rFonts w:ascii="Arial" w:cs="Arial" w:eastAsia="Arial" w:hAnsi="Arial"/>
          <w:sz w:val="15"/>
          <w:szCs w:val="15"/>
          <w:b w:val="1"/>
          <w:bCs w:val="1"/>
          <w:color w:val="auto"/>
        </w:rPr>
        <w:t>Exhibit 31.1</w:t>
      </w:r>
    </w:p>
    <w:p>
      <w:pPr>
        <w:spacing w:after="0" w:line="16" w:lineRule="exact"/>
        <w:rPr>
          <w:sz w:val="20"/>
          <w:szCs w:val="20"/>
          <w:color w:val="auto"/>
        </w:rPr>
      </w:pPr>
    </w:p>
    <w:p>
      <w:pPr>
        <w:jc w:val="center"/>
        <w:ind w:right="260"/>
        <w:spacing w:after="0"/>
        <w:rPr>
          <w:sz w:val="20"/>
          <w:szCs w:val="20"/>
          <w:color w:val="auto"/>
        </w:rPr>
      </w:pPr>
      <w:r>
        <w:rPr>
          <w:rFonts w:ascii="Arial" w:cs="Arial" w:eastAsia="Arial" w:hAnsi="Arial"/>
          <w:sz w:val="15"/>
          <w:szCs w:val="15"/>
          <w:b w:val="1"/>
          <w:bCs w:val="1"/>
          <w:color w:val="auto"/>
        </w:rPr>
        <w:t>CERTIFICATION</w:t>
      </w:r>
    </w:p>
    <w:p>
      <w:pPr>
        <w:spacing w:after="0" w:line="16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I, Richard A. Johnson, certify that:</w:t>
      </w:r>
    </w:p>
    <w:p>
      <w:pPr>
        <w:spacing w:after="0" w:line="180" w:lineRule="exact"/>
        <w:rPr>
          <w:sz w:val="20"/>
          <w:szCs w:val="20"/>
          <w:color w:val="auto"/>
        </w:rPr>
      </w:pPr>
    </w:p>
    <w:p>
      <w:pPr>
        <w:ind w:left="880" w:hanging="696"/>
        <w:spacing w:after="0"/>
        <w:tabs>
          <w:tab w:leader="none" w:pos="8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Foot Locker, Inc. (the “Registrant”);</w:t>
      </w:r>
    </w:p>
    <w:p>
      <w:pPr>
        <w:spacing w:after="0" w:line="119" w:lineRule="exact"/>
        <w:rPr>
          <w:rFonts w:ascii="Arial" w:cs="Arial" w:eastAsia="Arial" w:hAnsi="Arial"/>
          <w:sz w:val="15"/>
          <w:szCs w:val="15"/>
          <w:color w:val="auto"/>
        </w:rPr>
      </w:pPr>
    </w:p>
    <w:p>
      <w:pPr>
        <w:jc w:val="both"/>
        <w:ind w:left="880" w:hanging="696"/>
        <w:spacing w:after="0" w:line="245" w:lineRule="auto"/>
        <w:tabs>
          <w:tab w:leader="none" w:pos="8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5"/>
          <w:szCs w:val="15"/>
          <w:color w:val="auto"/>
        </w:rPr>
      </w:pPr>
    </w:p>
    <w:p>
      <w:pPr>
        <w:jc w:val="both"/>
        <w:ind w:left="880" w:hanging="696"/>
        <w:spacing w:after="0" w:line="245" w:lineRule="auto"/>
        <w:tabs>
          <w:tab w:leader="none" w:pos="8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Arial" w:cs="Arial" w:eastAsia="Arial" w:hAnsi="Arial"/>
          <w:sz w:val="15"/>
          <w:szCs w:val="15"/>
          <w:color w:val="auto"/>
        </w:rPr>
      </w:pPr>
    </w:p>
    <w:p>
      <w:pPr>
        <w:jc w:val="both"/>
        <w:ind w:left="880" w:hanging="696"/>
        <w:spacing w:after="0" w:line="245" w:lineRule="auto"/>
        <w:tabs>
          <w:tab w:leader="none" w:pos="8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8" w:lineRule="exact"/>
        <w:rPr>
          <w:rFonts w:ascii="Arial" w:cs="Arial" w:eastAsia="Arial" w:hAnsi="Arial"/>
          <w:sz w:val="15"/>
          <w:szCs w:val="15"/>
          <w:color w:val="auto"/>
        </w:rPr>
      </w:pPr>
    </w:p>
    <w:p>
      <w:pPr>
        <w:jc w:val="both"/>
        <w:ind w:left="1560" w:hanging="683"/>
        <w:spacing w:after="0" w:line="242" w:lineRule="auto"/>
        <w:tabs>
          <w:tab w:leader="none" w:pos="1560" w:val="left"/>
        </w:tabs>
        <w:numPr>
          <w:ilvl w:val="1"/>
          <w:numId w:val="13"/>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5"/>
          <w:szCs w:val="15"/>
          <w:color w:val="auto"/>
        </w:rPr>
      </w:pPr>
    </w:p>
    <w:p>
      <w:pPr>
        <w:jc w:val="both"/>
        <w:ind w:left="1560" w:hanging="683"/>
        <w:spacing w:after="0" w:line="242" w:lineRule="auto"/>
        <w:tabs>
          <w:tab w:leader="none" w:pos="1560" w:val="left"/>
        </w:tabs>
        <w:numPr>
          <w:ilvl w:val="1"/>
          <w:numId w:val="13"/>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Arial" w:cs="Arial" w:eastAsia="Arial" w:hAnsi="Arial"/>
          <w:sz w:val="15"/>
          <w:szCs w:val="15"/>
          <w:color w:val="auto"/>
        </w:rPr>
      </w:pPr>
    </w:p>
    <w:p>
      <w:pPr>
        <w:jc w:val="both"/>
        <w:ind w:left="1560" w:hanging="683"/>
        <w:spacing w:after="0" w:line="245" w:lineRule="auto"/>
        <w:tabs>
          <w:tab w:leader="none" w:pos="1560" w:val="left"/>
        </w:tabs>
        <w:numPr>
          <w:ilvl w:val="1"/>
          <w:numId w:val="1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5"/>
          <w:szCs w:val="15"/>
          <w:color w:val="auto"/>
        </w:rPr>
      </w:pPr>
    </w:p>
    <w:p>
      <w:pPr>
        <w:jc w:val="both"/>
        <w:ind w:left="1560" w:hanging="683"/>
        <w:spacing w:after="0" w:line="242" w:lineRule="auto"/>
        <w:tabs>
          <w:tab w:leader="none" w:pos="1560" w:val="left"/>
        </w:tabs>
        <w:numPr>
          <w:ilvl w:val="1"/>
          <w:numId w:val="13"/>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Arial" w:cs="Arial" w:eastAsia="Arial" w:hAnsi="Arial"/>
          <w:sz w:val="15"/>
          <w:szCs w:val="15"/>
          <w:color w:val="auto"/>
        </w:rPr>
      </w:pPr>
    </w:p>
    <w:p>
      <w:pPr>
        <w:jc w:val="both"/>
        <w:ind w:left="880" w:hanging="696"/>
        <w:spacing w:after="0" w:line="245" w:lineRule="auto"/>
        <w:tabs>
          <w:tab w:leader="none" w:pos="8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5"/>
          <w:szCs w:val="15"/>
          <w:color w:val="auto"/>
        </w:rPr>
      </w:pPr>
    </w:p>
    <w:p>
      <w:pPr>
        <w:jc w:val="both"/>
        <w:ind w:left="1560" w:hanging="683"/>
        <w:spacing w:after="0" w:line="245" w:lineRule="auto"/>
        <w:tabs>
          <w:tab w:leader="none" w:pos="1560" w:val="left"/>
        </w:tabs>
        <w:numPr>
          <w:ilvl w:val="1"/>
          <w:numId w:val="13"/>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4" w:lineRule="exact"/>
        <w:rPr>
          <w:rFonts w:ascii="Arial" w:cs="Arial" w:eastAsia="Arial" w:hAnsi="Arial"/>
          <w:sz w:val="15"/>
          <w:szCs w:val="15"/>
          <w:color w:val="auto"/>
        </w:rPr>
      </w:pPr>
    </w:p>
    <w:p>
      <w:pPr>
        <w:ind w:left="1560" w:hanging="683"/>
        <w:spacing w:after="0" w:line="254" w:lineRule="auto"/>
        <w:tabs>
          <w:tab w:leader="none" w:pos="1560" w:val="left"/>
        </w:tabs>
        <w:numPr>
          <w:ilvl w:val="1"/>
          <w:numId w:val="13"/>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1" w:lineRule="exact"/>
        <w:rPr>
          <w:sz w:val="20"/>
          <w:szCs w:val="20"/>
          <w:color w:val="auto"/>
        </w:rPr>
      </w:pPr>
    </w:p>
    <w:p>
      <w:pPr>
        <w:ind w:left="180"/>
        <w:spacing w:after="0"/>
        <w:rPr>
          <w:sz w:val="20"/>
          <w:szCs w:val="20"/>
          <w:color w:val="auto"/>
        </w:rPr>
      </w:pPr>
      <w:r>
        <w:rPr>
          <w:rFonts w:ascii="Arial" w:cs="Arial" w:eastAsia="Arial" w:hAnsi="Arial"/>
          <w:sz w:val="15"/>
          <w:szCs w:val="15"/>
          <w:color w:val="auto"/>
        </w:rPr>
        <w:t>June 6, 2018</w:t>
      </w:r>
    </w:p>
    <w:p>
      <w:pPr>
        <w:spacing w:after="0" w:line="59" w:lineRule="exact"/>
        <w:rPr>
          <w:sz w:val="20"/>
          <w:szCs w:val="20"/>
          <w:color w:val="auto"/>
        </w:rPr>
      </w:pPr>
    </w:p>
    <w:p>
      <w:pPr>
        <w:ind w:left="6840"/>
        <w:spacing w:after="0"/>
        <w:rPr>
          <w:sz w:val="20"/>
          <w:szCs w:val="20"/>
          <w:color w:val="auto"/>
        </w:rPr>
      </w:pPr>
      <w:r>
        <w:rPr>
          <w:rFonts w:ascii="Arial" w:cs="Arial" w:eastAsia="Arial" w:hAnsi="Arial"/>
          <w:sz w:val="15"/>
          <w:szCs w:val="15"/>
          <w:color w:val="auto"/>
        </w:rPr>
        <w:t>/s/ Richard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4341495</wp:posOffset>
            </wp:positionH>
            <wp:positionV relativeFrom="paragraph">
              <wp:posOffset>1905</wp:posOffset>
            </wp:positionV>
            <wp:extent cx="155257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1552575" cy="7620"/>
                    </a:xfrm>
                    <a:prstGeom prst="rect">
                      <a:avLst/>
                    </a:prstGeom>
                    <a:noFill/>
                  </pic:spPr>
                </pic:pic>
              </a:graphicData>
            </a:graphic>
          </wp:anchor>
        </w:drawing>
      </w:r>
    </w:p>
    <w:p>
      <w:pPr>
        <w:spacing w:after="0" w:line="39" w:lineRule="exact"/>
        <w:rPr>
          <w:sz w:val="20"/>
          <w:szCs w:val="20"/>
          <w:color w:val="auto"/>
        </w:rPr>
      </w:pPr>
    </w:p>
    <w:p>
      <w:pPr>
        <w:ind w:left="6840"/>
        <w:spacing w:after="0"/>
        <w:rPr>
          <w:sz w:val="20"/>
          <w:szCs w:val="20"/>
          <w:color w:val="auto"/>
        </w:rPr>
      </w:pPr>
      <w:r>
        <w:rPr>
          <w:rFonts w:ascii="Arial" w:cs="Arial" w:eastAsia="Arial" w:hAnsi="Arial"/>
          <w:sz w:val="15"/>
          <w:szCs w:val="15"/>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228600</wp:posOffset>
            </wp:positionV>
            <wp:extent cx="5817870" cy="482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280"/>
          </w:cols>
          <w:pgMar w:left="1440" w:top="298" w:right="1179" w:bottom="1440" w:gutter="0" w:footer="0" w:header="0"/>
        </w:sectPr>
      </w:pPr>
    </w:p>
    <w:bookmarkStart w:id="31" w:name="page32"/>
    <w:bookmarkEnd w:id="31"/>
    <w:p>
      <w:pPr>
        <w:jc w:val="right"/>
        <w:spacing w:after="0"/>
        <w:rPr>
          <w:sz w:val="20"/>
          <w:szCs w:val="20"/>
          <w:color w:val="auto"/>
        </w:rPr>
      </w:pPr>
      <w:r>
        <w:rPr>
          <w:rFonts w:ascii="Arial" w:cs="Arial" w:eastAsia="Arial" w:hAnsi="Arial"/>
          <w:sz w:val="15"/>
          <w:szCs w:val="15"/>
          <w:b w:val="1"/>
          <w:bCs w:val="1"/>
          <w:color w:val="auto"/>
        </w:rPr>
        <w:t>Exhibit 31.2</w:t>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CERTIFICATION</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5"/>
          <w:szCs w:val="15"/>
          <w:color w:val="auto"/>
        </w:rPr>
        <w:t>I, Lauren B. Peters, certify that:</w:t>
      </w:r>
    </w:p>
    <w:p>
      <w:pPr>
        <w:spacing w:after="0" w:line="180" w:lineRule="exact"/>
        <w:rPr>
          <w:sz w:val="20"/>
          <w:szCs w:val="20"/>
          <w:color w:val="auto"/>
        </w:rPr>
      </w:pPr>
    </w:p>
    <w:p>
      <w:pPr>
        <w:ind w:left="880" w:hanging="696"/>
        <w:spacing w:after="0"/>
        <w:tabs>
          <w:tab w:leader="none" w:pos="8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Foot Locker, Inc. (the “Registrant”);</w:t>
      </w:r>
    </w:p>
    <w:p>
      <w:pPr>
        <w:spacing w:after="0" w:line="168" w:lineRule="exact"/>
        <w:rPr>
          <w:rFonts w:ascii="Arial" w:cs="Arial" w:eastAsia="Arial" w:hAnsi="Arial"/>
          <w:sz w:val="15"/>
          <w:szCs w:val="15"/>
          <w:color w:val="auto"/>
        </w:rPr>
      </w:pPr>
    </w:p>
    <w:p>
      <w:pPr>
        <w:jc w:val="both"/>
        <w:ind w:left="880" w:hanging="696"/>
        <w:spacing w:after="0" w:line="245" w:lineRule="auto"/>
        <w:tabs>
          <w:tab w:leader="none" w:pos="8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8" w:lineRule="exact"/>
        <w:rPr>
          <w:rFonts w:ascii="Arial" w:cs="Arial" w:eastAsia="Arial" w:hAnsi="Arial"/>
          <w:sz w:val="15"/>
          <w:szCs w:val="15"/>
          <w:color w:val="auto"/>
        </w:rPr>
      </w:pPr>
    </w:p>
    <w:p>
      <w:pPr>
        <w:jc w:val="both"/>
        <w:ind w:left="880" w:hanging="696"/>
        <w:spacing w:after="0" w:line="245" w:lineRule="auto"/>
        <w:tabs>
          <w:tab w:leader="none" w:pos="8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Arial" w:cs="Arial" w:eastAsia="Arial" w:hAnsi="Arial"/>
          <w:sz w:val="15"/>
          <w:szCs w:val="15"/>
          <w:color w:val="auto"/>
        </w:rPr>
      </w:pPr>
    </w:p>
    <w:p>
      <w:pPr>
        <w:jc w:val="both"/>
        <w:ind w:left="880" w:hanging="696"/>
        <w:spacing w:after="0" w:line="245" w:lineRule="auto"/>
        <w:tabs>
          <w:tab w:leader="none" w:pos="8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74" w:lineRule="exact"/>
        <w:rPr>
          <w:rFonts w:ascii="Arial" w:cs="Arial" w:eastAsia="Arial" w:hAnsi="Arial"/>
          <w:sz w:val="15"/>
          <w:szCs w:val="15"/>
          <w:color w:val="auto"/>
        </w:rPr>
      </w:pPr>
    </w:p>
    <w:p>
      <w:pPr>
        <w:jc w:val="both"/>
        <w:ind w:left="1560" w:hanging="683"/>
        <w:spacing w:after="0" w:line="242" w:lineRule="auto"/>
        <w:tabs>
          <w:tab w:leader="none" w:pos="1560" w:val="left"/>
        </w:tabs>
        <w:numPr>
          <w:ilvl w:val="1"/>
          <w:numId w:val="14"/>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62" w:lineRule="exact"/>
        <w:rPr>
          <w:rFonts w:ascii="Arial" w:cs="Arial" w:eastAsia="Arial" w:hAnsi="Arial"/>
          <w:sz w:val="15"/>
          <w:szCs w:val="15"/>
          <w:color w:val="auto"/>
        </w:rPr>
      </w:pPr>
    </w:p>
    <w:p>
      <w:pPr>
        <w:jc w:val="both"/>
        <w:ind w:left="1560" w:hanging="683"/>
        <w:spacing w:after="0" w:line="242" w:lineRule="auto"/>
        <w:tabs>
          <w:tab w:leader="none" w:pos="1560" w:val="left"/>
        </w:tabs>
        <w:numPr>
          <w:ilvl w:val="1"/>
          <w:numId w:val="14"/>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53" w:lineRule="exact"/>
        <w:rPr>
          <w:rFonts w:ascii="Arial" w:cs="Arial" w:eastAsia="Arial" w:hAnsi="Arial"/>
          <w:sz w:val="15"/>
          <w:szCs w:val="15"/>
          <w:color w:val="auto"/>
        </w:rPr>
      </w:pPr>
    </w:p>
    <w:p>
      <w:pPr>
        <w:jc w:val="both"/>
        <w:ind w:left="1560" w:hanging="683"/>
        <w:spacing w:after="0" w:line="245" w:lineRule="auto"/>
        <w:tabs>
          <w:tab w:leader="none" w:pos="1560" w:val="left"/>
        </w:tabs>
        <w:numPr>
          <w:ilvl w:val="1"/>
          <w:numId w:val="1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47" w:lineRule="exact"/>
        <w:rPr>
          <w:rFonts w:ascii="Arial" w:cs="Arial" w:eastAsia="Arial" w:hAnsi="Arial"/>
          <w:sz w:val="15"/>
          <w:szCs w:val="15"/>
          <w:color w:val="auto"/>
        </w:rPr>
      </w:pPr>
    </w:p>
    <w:p>
      <w:pPr>
        <w:jc w:val="both"/>
        <w:ind w:left="1560" w:hanging="683"/>
        <w:spacing w:after="0" w:line="242" w:lineRule="auto"/>
        <w:tabs>
          <w:tab w:leader="none" w:pos="1560" w:val="left"/>
        </w:tabs>
        <w:numPr>
          <w:ilvl w:val="1"/>
          <w:numId w:val="14"/>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77" w:lineRule="exact"/>
        <w:rPr>
          <w:rFonts w:ascii="Arial" w:cs="Arial" w:eastAsia="Arial" w:hAnsi="Arial"/>
          <w:sz w:val="15"/>
          <w:szCs w:val="15"/>
          <w:color w:val="auto"/>
        </w:rPr>
      </w:pPr>
    </w:p>
    <w:p>
      <w:pPr>
        <w:jc w:val="both"/>
        <w:ind w:left="880" w:hanging="696"/>
        <w:spacing w:after="0" w:line="245" w:lineRule="auto"/>
        <w:tabs>
          <w:tab w:leader="none" w:pos="8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5"/>
          <w:szCs w:val="15"/>
          <w:color w:val="auto"/>
        </w:rPr>
      </w:pPr>
    </w:p>
    <w:p>
      <w:pPr>
        <w:jc w:val="both"/>
        <w:ind w:left="1560" w:hanging="683"/>
        <w:spacing w:after="0" w:line="245" w:lineRule="auto"/>
        <w:tabs>
          <w:tab w:leader="none" w:pos="1560" w:val="left"/>
        </w:tabs>
        <w:numPr>
          <w:ilvl w:val="1"/>
          <w:numId w:val="14"/>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50" w:lineRule="exact"/>
        <w:rPr>
          <w:rFonts w:ascii="Arial" w:cs="Arial" w:eastAsia="Arial" w:hAnsi="Arial"/>
          <w:sz w:val="15"/>
          <w:szCs w:val="15"/>
          <w:color w:val="auto"/>
        </w:rPr>
      </w:pPr>
    </w:p>
    <w:p>
      <w:pPr>
        <w:ind w:left="1560" w:hanging="683"/>
        <w:spacing w:after="0" w:line="254" w:lineRule="auto"/>
        <w:tabs>
          <w:tab w:leader="none" w:pos="1560" w:val="left"/>
        </w:tabs>
        <w:numPr>
          <w:ilvl w:val="1"/>
          <w:numId w:val="14"/>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5"/>
          <w:szCs w:val="15"/>
          <w:color w:val="auto"/>
        </w:rPr>
        <w:t>June 6, 2018</w:t>
      </w:r>
    </w:p>
    <w:p>
      <w:pPr>
        <w:spacing w:after="0" w:line="59" w:lineRule="exact"/>
        <w:rPr>
          <w:sz w:val="20"/>
          <w:szCs w:val="20"/>
          <w:color w:val="auto"/>
        </w:rPr>
      </w:pPr>
    </w:p>
    <w:p>
      <w:pPr>
        <w:ind w:left="6920"/>
        <w:spacing w:after="0"/>
        <w:rPr>
          <w:sz w:val="20"/>
          <w:szCs w:val="20"/>
          <w:color w:val="auto"/>
        </w:rPr>
      </w:pPr>
      <w:r>
        <w:rPr>
          <w:rFonts w:ascii="Arial" w:cs="Arial" w:eastAsia="Arial" w:hAnsi="Arial"/>
          <w:sz w:val="15"/>
          <w:szCs w:val="15"/>
          <w:color w:val="auto"/>
        </w:rPr>
        <w:t>/s/ 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4387850</wp:posOffset>
            </wp:positionH>
            <wp:positionV relativeFrom="paragraph">
              <wp:posOffset>1905</wp:posOffset>
            </wp:positionV>
            <wp:extent cx="150622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1506220" cy="7620"/>
                    </a:xfrm>
                    <a:prstGeom prst="rect">
                      <a:avLst/>
                    </a:prstGeom>
                    <a:noFill/>
                  </pic:spPr>
                </pic:pic>
              </a:graphicData>
            </a:graphic>
          </wp:anchor>
        </w:drawing>
      </w:r>
    </w:p>
    <w:p>
      <w:pPr>
        <w:spacing w:after="0" w:line="39" w:lineRule="exact"/>
        <w:rPr>
          <w:sz w:val="20"/>
          <w:szCs w:val="20"/>
          <w:color w:val="auto"/>
        </w:rPr>
      </w:pPr>
    </w:p>
    <w:p>
      <w:pPr>
        <w:ind w:left="6920"/>
        <w:spacing w:after="0"/>
        <w:rPr>
          <w:sz w:val="20"/>
          <w:szCs w:val="20"/>
          <w:color w:val="auto"/>
        </w:rPr>
      </w:pPr>
      <w:r>
        <w:rPr>
          <w:rFonts w:ascii="Arial" w:cs="Arial" w:eastAsia="Arial" w:hAnsi="Arial"/>
          <w:sz w:val="15"/>
          <w:szCs w:val="15"/>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560705</wp:posOffset>
            </wp:positionV>
            <wp:extent cx="5817870" cy="482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060"/>
          </w:cols>
          <w:pgMar w:left="1440" w:top="140" w:right="1399" w:bottom="1440" w:gutter="0" w:footer="0" w:header="0"/>
        </w:sectPr>
      </w:pPr>
    </w:p>
    <w:bookmarkStart w:id="32" w:name="page33"/>
    <w:bookmarkEnd w:id="32"/>
    <w:p>
      <w:pPr>
        <w:jc w:val="right"/>
        <w:spacing w:after="0"/>
        <w:rPr>
          <w:sz w:val="20"/>
          <w:szCs w:val="20"/>
          <w:color w:val="auto"/>
        </w:rPr>
      </w:pPr>
      <w:r>
        <w:rPr>
          <w:rFonts w:ascii="Arial" w:cs="Arial" w:eastAsia="Arial" w:hAnsi="Arial"/>
          <w:sz w:val="15"/>
          <w:szCs w:val="15"/>
          <w:b w:val="1"/>
          <w:bCs w:val="1"/>
          <w:color w:val="auto"/>
        </w:rPr>
        <w:t>Exhibit 32</w:t>
      </w:r>
    </w:p>
    <w:p>
      <w:pPr>
        <w:spacing w:after="0" w:line="168" w:lineRule="exact"/>
        <w:rPr>
          <w:sz w:val="20"/>
          <w:szCs w:val="20"/>
          <w:color w:val="auto"/>
        </w:rPr>
      </w:pPr>
    </w:p>
    <w:p>
      <w:pPr>
        <w:ind w:left="3800"/>
        <w:spacing w:after="0"/>
        <w:rPr>
          <w:sz w:val="20"/>
          <w:szCs w:val="20"/>
          <w:color w:val="auto"/>
        </w:rPr>
      </w:pPr>
      <w:r>
        <w:rPr>
          <w:rFonts w:ascii="Arial" w:cs="Arial" w:eastAsia="Arial" w:hAnsi="Arial"/>
          <w:sz w:val="15"/>
          <w:szCs w:val="15"/>
          <w:b w:val="1"/>
          <w:bCs w:val="1"/>
          <w:color w:val="auto"/>
        </w:rPr>
        <w:t>FOOT LOCKER, INC.</w:t>
      </w:r>
    </w:p>
    <w:p>
      <w:pPr>
        <w:spacing w:after="0" w:line="168" w:lineRule="exact"/>
        <w:rPr>
          <w:sz w:val="20"/>
          <w:szCs w:val="20"/>
          <w:color w:val="auto"/>
        </w:rPr>
      </w:pPr>
    </w:p>
    <w:p>
      <w:pPr>
        <w:ind w:left="3380"/>
        <w:spacing w:after="0"/>
        <w:rPr>
          <w:sz w:val="20"/>
          <w:szCs w:val="20"/>
          <w:color w:val="auto"/>
        </w:rPr>
      </w:pPr>
      <w:r>
        <w:rPr>
          <w:rFonts w:ascii="Arial" w:cs="Arial" w:eastAsia="Arial" w:hAnsi="Arial"/>
          <w:sz w:val="15"/>
          <w:szCs w:val="15"/>
          <w:b w:val="1"/>
          <w:bCs w:val="1"/>
          <w:color w:val="auto"/>
        </w:rPr>
        <w:t>CERTIFICATION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18 U.S.C. SECTION 1350</w:t>
      </w:r>
    </w:p>
    <w:p>
      <w:pPr>
        <w:jc w:val="center"/>
        <w:spacing w:after="0" w:line="236" w:lineRule="auto"/>
        <w:rPr>
          <w:sz w:val="20"/>
          <w:szCs w:val="20"/>
          <w:color w:val="auto"/>
        </w:rPr>
      </w:pPr>
      <w:r>
        <w:rPr>
          <w:rFonts w:ascii="Arial" w:cs="Arial" w:eastAsia="Arial" w:hAnsi="Arial"/>
          <w:sz w:val="15"/>
          <w:szCs w:val="15"/>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168"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In connection with the Quarterly Report on Form 10-Q of Foot Locker, Inc. (the “Registrant”) for the quarterly period ended May 5, 2018, as filed with the Securities and Exchange Commission on the date hereof (the “Report”), Richard A. Johnson, as Chief Executive Officer of the Registrant and Lauren B. Peters, as Chief Financial Officer of the Registrant, each hereby certifies, pursuant to 18 U.S.C. Section 1350, as adopted pursuant to Section 906 of the Sarbanes-Oxley Act of 2002, that:</w:t>
      </w:r>
    </w:p>
    <w:p>
      <w:pPr>
        <w:spacing w:after="0" w:line="168" w:lineRule="exact"/>
        <w:rPr>
          <w:sz w:val="20"/>
          <w:szCs w:val="20"/>
          <w:color w:val="auto"/>
        </w:rPr>
      </w:pPr>
    </w:p>
    <w:p>
      <w:pPr>
        <w:ind w:left="600" w:hanging="363"/>
        <w:spacing w:after="0"/>
        <w:tabs>
          <w:tab w:leader="none" w:pos="6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and</w:t>
      </w:r>
    </w:p>
    <w:p>
      <w:pPr>
        <w:spacing w:after="0" w:line="387" w:lineRule="exact"/>
        <w:rPr>
          <w:rFonts w:ascii="Arial" w:cs="Arial" w:eastAsia="Arial" w:hAnsi="Arial"/>
          <w:sz w:val="15"/>
          <w:szCs w:val="15"/>
          <w:color w:val="auto"/>
        </w:rPr>
      </w:pPr>
    </w:p>
    <w:p>
      <w:pPr>
        <w:ind w:left="600" w:hanging="363"/>
        <w:spacing w:after="0" w:line="254" w:lineRule="auto"/>
        <w:tabs>
          <w:tab w:leader="none" w:pos="6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color w:val="auto"/>
        </w:rPr>
        <w:t>Dated: June 6, 2018</w:t>
      </w:r>
    </w:p>
    <w:p>
      <w:pPr>
        <w:spacing w:after="0" w:line="46" w:lineRule="exact"/>
        <w:rPr>
          <w:sz w:val="20"/>
          <w:szCs w:val="20"/>
          <w:color w:val="auto"/>
        </w:rPr>
      </w:pPr>
    </w:p>
    <w:p>
      <w:pPr>
        <w:ind w:left="6700"/>
        <w:spacing w:after="0"/>
        <w:rPr>
          <w:sz w:val="20"/>
          <w:szCs w:val="20"/>
          <w:color w:val="auto"/>
        </w:rPr>
      </w:pPr>
      <w:r>
        <w:rPr>
          <w:rFonts w:ascii="Arial" w:cs="Arial" w:eastAsia="Arial" w:hAnsi="Arial"/>
          <w:sz w:val="15"/>
          <w:szCs w:val="15"/>
          <w:color w:val="auto"/>
        </w:rPr>
        <w:t>/s/ Richard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1905</wp:posOffset>
            </wp:positionV>
            <wp:extent cx="152146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1521460" cy="7620"/>
                    </a:xfrm>
                    <a:prstGeom prst="rect">
                      <a:avLst/>
                    </a:prstGeom>
                    <a:noFill/>
                  </pic:spPr>
                </pic:pic>
              </a:graphicData>
            </a:graphic>
          </wp:anchor>
        </w:drawing>
      </w:r>
    </w:p>
    <w:p>
      <w:pPr>
        <w:spacing w:after="0" w:line="26" w:lineRule="exact"/>
        <w:rPr>
          <w:sz w:val="20"/>
          <w:szCs w:val="20"/>
          <w:color w:val="auto"/>
        </w:rPr>
      </w:pPr>
    </w:p>
    <w:p>
      <w:pPr>
        <w:ind w:left="6700"/>
        <w:spacing w:after="0"/>
        <w:rPr>
          <w:sz w:val="20"/>
          <w:szCs w:val="20"/>
          <w:color w:val="auto"/>
        </w:rPr>
      </w:pPr>
      <w:r>
        <w:rPr>
          <w:rFonts w:ascii="Arial" w:cs="Arial" w:eastAsia="Arial" w:hAnsi="Arial"/>
          <w:sz w:val="15"/>
          <w:szCs w:val="15"/>
          <w:color w:val="auto"/>
        </w:rPr>
        <w:t>Richard A. Johnson</w:t>
      </w:r>
    </w:p>
    <w:p>
      <w:pPr>
        <w:spacing w:after="0" w:line="46" w:lineRule="exact"/>
        <w:rPr>
          <w:sz w:val="20"/>
          <w:szCs w:val="20"/>
          <w:color w:val="auto"/>
        </w:rPr>
      </w:pPr>
    </w:p>
    <w:p>
      <w:pPr>
        <w:ind w:left="6700"/>
        <w:spacing w:after="0"/>
        <w:rPr>
          <w:sz w:val="20"/>
          <w:szCs w:val="20"/>
          <w:color w:val="auto"/>
        </w:rPr>
      </w:pPr>
      <w:r>
        <w:rPr>
          <w:rFonts w:ascii="Arial" w:cs="Arial" w:eastAsia="Arial" w:hAnsi="Arial"/>
          <w:sz w:val="15"/>
          <w:szCs w:val="15"/>
          <w:color w:val="auto"/>
        </w:rPr>
        <w:t>Chief Executive Officer</w:t>
      </w:r>
    </w:p>
    <w:p>
      <w:pPr>
        <w:spacing w:after="0" w:line="265" w:lineRule="exact"/>
        <w:rPr>
          <w:sz w:val="20"/>
          <w:szCs w:val="20"/>
          <w:color w:val="auto"/>
        </w:rPr>
      </w:pPr>
    </w:p>
    <w:p>
      <w:pPr>
        <w:ind w:left="6700"/>
        <w:spacing w:after="0"/>
        <w:rPr>
          <w:sz w:val="20"/>
          <w:szCs w:val="20"/>
          <w:color w:val="auto"/>
        </w:rPr>
      </w:pPr>
      <w:r>
        <w:rPr>
          <w:rFonts w:ascii="Arial" w:cs="Arial" w:eastAsia="Arial" w:hAnsi="Arial"/>
          <w:sz w:val="15"/>
          <w:szCs w:val="15"/>
          <w:color w:val="auto"/>
        </w:rPr>
        <w:t>/s/ 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1905</wp:posOffset>
            </wp:positionV>
            <wp:extent cx="152146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1521460" cy="7620"/>
                    </a:xfrm>
                    <a:prstGeom prst="rect">
                      <a:avLst/>
                    </a:prstGeom>
                    <a:noFill/>
                  </pic:spPr>
                </pic:pic>
              </a:graphicData>
            </a:graphic>
          </wp:anchor>
        </w:drawing>
      </w:r>
    </w:p>
    <w:p>
      <w:pPr>
        <w:spacing w:after="0" w:line="26" w:lineRule="exact"/>
        <w:rPr>
          <w:sz w:val="20"/>
          <w:szCs w:val="20"/>
          <w:color w:val="auto"/>
        </w:rPr>
      </w:pPr>
    </w:p>
    <w:p>
      <w:pPr>
        <w:ind w:left="6700"/>
        <w:spacing w:after="0"/>
        <w:rPr>
          <w:sz w:val="20"/>
          <w:szCs w:val="20"/>
          <w:color w:val="auto"/>
        </w:rPr>
      </w:pPr>
      <w:r>
        <w:rPr>
          <w:rFonts w:ascii="Arial" w:cs="Arial" w:eastAsia="Arial" w:hAnsi="Arial"/>
          <w:sz w:val="15"/>
          <w:szCs w:val="15"/>
          <w:color w:val="auto"/>
        </w:rPr>
        <w:t>Lauren B. Peters</w:t>
      </w:r>
    </w:p>
    <w:p>
      <w:pPr>
        <w:spacing w:after="0" w:line="46" w:lineRule="exact"/>
        <w:rPr>
          <w:sz w:val="20"/>
          <w:szCs w:val="20"/>
          <w:color w:val="auto"/>
        </w:rPr>
      </w:pPr>
    </w:p>
    <w:p>
      <w:pPr>
        <w:ind w:left="6700"/>
        <w:spacing w:after="0"/>
        <w:rPr>
          <w:sz w:val="20"/>
          <w:szCs w:val="20"/>
          <w:color w:val="auto"/>
        </w:rPr>
      </w:pPr>
      <w:r>
        <w:rPr>
          <w:rFonts w:ascii="Arial" w:cs="Arial" w:eastAsia="Arial" w:hAnsi="Arial"/>
          <w:sz w:val="15"/>
          <w:szCs w:val="15"/>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The foregoing certification is being furnished solely pursuant to 18 U.S.C. § 1350 and is not being filed as part of the Report or as a separate disclosure document. Such certification will not be deemed to be incorporated by reference into any filing under the Securities Act of 1933, as amended, or the Securities Exchange Act of 1934, as amended,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777240</wp:posOffset>
            </wp:positionV>
            <wp:extent cx="5817870" cy="482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311" w:right="1399" w:bottom="1440" w:gutter="0" w:footer="0" w:header="0"/>
        </w:sectPr>
      </w:pPr>
    </w:p>
    <w:bookmarkStart w:id="33" w:name="page34"/>
    <w:bookmarkEnd w:id="33"/>
    <w:p>
      <w:pPr>
        <w:jc w:val="right"/>
        <w:spacing w:after="0"/>
        <w:rPr>
          <w:sz w:val="20"/>
          <w:szCs w:val="20"/>
          <w:color w:val="auto"/>
        </w:rPr>
      </w:pPr>
      <w:r>
        <w:rPr>
          <w:rFonts w:ascii="Arial" w:cs="Arial" w:eastAsia="Arial" w:hAnsi="Arial"/>
          <w:sz w:val="15"/>
          <w:szCs w:val="15"/>
          <w:b w:val="1"/>
          <w:bCs w:val="1"/>
          <w:color w:val="auto"/>
        </w:rPr>
        <w:t>Exhibit 99</w:t>
      </w:r>
    </w:p>
    <w:p>
      <w:pPr>
        <w:spacing w:after="0" w:line="3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color w:val="auto"/>
        </w:rPr>
        <w:t>The Board of Directors and Shareholders</w:t>
      </w:r>
    </w:p>
    <w:p>
      <w:pPr>
        <w:spacing w:after="0"/>
        <w:rPr>
          <w:sz w:val="20"/>
          <w:szCs w:val="20"/>
          <w:color w:val="auto"/>
        </w:rPr>
      </w:pPr>
      <w:r>
        <w:rPr>
          <w:rFonts w:ascii="Arial" w:cs="Arial" w:eastAsia="Arial" w:hAnsi="Arial"/>
          <w:sz w:val="15"/>
          <w:szCs w:val="15"/>
          <w:color w:val="auto"/>
        </w:rPr>
        <w:t>Foot Locker, Inc.:</w:t>
      </w:r>
    </w:p>
    <w:p>
      <w:pPr>
        <w:spacing w:after="0" w:line="278" w:lineRule="exact"/>
        <w:rPr>
          <w:sz w:val="20"/>
          <w:szCs w:val="20"/>
          <w:color w:val="auto"/>
        </w:rPr>
      </w:pPr>
    </w:p>
    <w:p>
      <w:pPr>
        <w:spacing w:after="0"/>
        <w:rPr>
          <w:sz w:val="20"/>
          <w:szCs w:val="20"/>
          <w:color w:val="auto"/>
        </w:rPr>
      </w:pPr>
      <w:r>
        <w:rPr>
          <w:rFonts w:ascii="Arial" w:cs="Arial" w:eastAsia="Arial" w:hAnsi="Arial"/>
          <w:sz w:val="15"/>
          <w:szCs w:val="15"/>
          <w:color w:val="auto"/>
        </w:rPr>
        <w:t>Results of Review of Interim Financial Information</w:t>
      </w:r>
    </w:p>
    <w:p>
      <w:pPr>
        <w:spacing w:after="0" w:line="59" w:lineRule="exact"/>
        <w:rPr>
          <w:sz w:val="20"/>
          <w:szCs w:val="20"/>
          <w:color w:val="auto"/>
        </w:rPr>
      </w:pPr>
    </w:p>
    <w:p>
      <w:pPr>
        <w:jc w:val="both"/>
        <w:spacing w:after="0" w:line="212" w:lineRule="auto"/>
        <w:rPr>
          <w:sz w:val="20"/>
          <w:szCs w:val="20"/>
          <w:color w:val="auto"/>
        </w:rPr>
      </w:pPr>
      <w:r>
        <w:rPr>
          <w:rFonts w:ascii="Arial" w:cs="Arial" w:eastAsia="Arial" w:hAnsi="Arial"/>
          <w:sz w:val="15"/>
          <w:szCs w:val="15"/>
          <w:color w:val="auto"/>
        </w:rPr>
        <w:t>We have reviewed the condensed consolidated balance sheets of Foot Locker, Inc. and subsidiaries (the Company) as of May 5, 2018 and April 29, 2017, the related condensed consolidated statements of operations and comprehensive income for the thirteen weeks ended May 5, 2018 and April 29, 2017, the related condensed consolidated statements of cash flows for the thirteen weeks ended May 5, 2018 and April 29, 2017, and the related notes (collectively, the consolidated interim financial information). Based on our reviews, we are not aware of any material modifications that should be made to the consolidated interim financial information for it to be in conformity with U.S. generally accepted accounting principles.</w:t>
      </w:r>
    </w:p>
    <w:p>
      <w:pPr>
        <w:spacing w:after="0" w:line="120" w:lineRule="exact"/>
        <w:rPr>
          <w:sz w:val="20"/>
          <w:szCs w:val="20"/>
          <w:color w:val="auto"/>
        </w:rPr>
      </w:pPr>
    </w:p>
    <w:p>
      <w:pPr>
        <w:jc w:val="both"/>
        <w:spacing w:after="0" w:line="212" w:lineRule="auto"/>
        <w:rPr>
          <w:sz w:val="20"/>
          <w:szCs w:val="20"/>
          <w:color w:val="auto"/>
        </w:rPr>
      </w:pPr>
      <w:r>
        <w:rPr>
          <w:rFonts w:ascii="Arial" w:cs="Arial" w:eastAsia="Arial" w:hAnsi="Arial"/>
          <w:sz w:val="15"/>
          <w:szCs w:val="15"/>
          <w:color w:val="auto"/>
        </w:rPr>
        <w:t>We have previously audited, in accordance with the standards of the Public Company Accounting Oversight Board (United States) (PCAOB), the consolidated balance sheet of the Company as of February 3, 2018, and the related consolidated statements of operations, comprehensive income, shareholders’ equity, and cash flows for the year then ended (not presented herein); and in our report dated March 29, 2018, we expressed an unqualified opinion on those consolidated financial statements. In our opinion, the information set forth in the accompanying condensed consolidated balance sheet as of February 3, 2018, is fairly stated, in all material respects, in relation to the consolidated balance sheet from which it has been derived.</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color w:val="auto"/>
        </w:rPr>
        <w:t>Basis for Review Results</w:t>
      </w:r>
    </w:p>
    <w:p>
      <w:pPr>
        <w:spacing w:after="0" w:line="59" w:lineRule="exact"/>
        <w:rPr>
          <w:sz w:val="20"/>
          <w:szCs w:val="20"/>
          <w:color w:val="auto"/>
        </w:rPr>
      </w:pPr>
    </w:p>
    <w:p>
      <w:pPr>
        <w:jc w:val="both"/>
        <w:spacing w:after="0" w:line="221" w:lineRule="auto"/>
        <w:rPr>
          <w:sz w:val="20"/>
          <w:szCs w:val="20"/>
          <w:color w:val="auto"/>
        </w:rPr>
      </w:pPr>
      <w:r>
        <w:rPr>
          <w:rFonts w:ascii="Arial" w:cs="Arial" w:eastAsia="Arial" w:hAnsi="Arial"/>
          <w:sz w:val="15"/>
          <w:szCs w:val="15"/>
          <w:color w:val="auto"/>
        </w:rPr>
        <w:t>This consolidated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2"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We conducted our reviews in accordance with the standards of the PCAOB. A review of consolidated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365" w:lineRule="exact"/>
        <w:rPr>
          <w:sz w:val="20"/>
          <w:szCs w:val="20"/>
          <w:color w:val="auto"/>
        </w:rPr>
      </w:pPr>
    </w:p>
    <w:p>
      <w:pPr>
        <w:spacing w:after="0"/>
        <w:rPr>
          <w:sz w:val="20"/>
          <w:szCs w:val="20"/>
          <w:color w:val="auto"/>
        </w:rPr>
      </w:pPr>
      <w:r>
        <w:rPr>
          <w:rFonts w:ascii="Arial" w:cs="Arial" w:eastAsia="Arial" w:hAnsi="Arial"/>
          <w:sz w:val="15"/>
          <w:szCs w:val="15"/>
          <w:color w:val="auto"/>
        </w:rPr>
        <w:t>/s/ KPMG LLP</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New York, New York</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June 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460375</wp:posOffset>
            </wp:positionV>
            <wp:extent cx="5817870" cy="482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sectPr>
      <w:pgSz w:w="11900" w:h="16838" w:orient="portrait"/>
      <w:cols w:equalWidth="0" w:num="1">
        <w:col w:w="9100"/>
      </w:cols>
      <w:pgMar w:left="1400" w:top="128" w:right="1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lvl w:ilvl="1">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lvl w:ilvl="1">
      <w:lvlJc w:val="left"/>
      <w:lvlText w:val="(%2)"/>
      <w:numFmt w:val="decimal"/>
      <w:start w:val="1"/>
    </w:lvl>
  </w:abstractNum>
  <w:abstractNum w:abstractNumId="3">
    <w:nsid w:val="12200854"/>
    <w:multiLevelType w:val="hybridMultilevel"/>
    <w:lvl w:ilvl="0">
      <w:lvlJc w:val="left"/>
      <w:lvlText w:val="%1."/>
      <w:numFmt w:val="decimal"/>
      <w:start w:val="4"/>
    </w:lvl>
    <w:lvl w:ilvl="1">
      <w:lvlJc w:val="left"/>
      <w:lvlText w:val="%2"/>
      <w:numFmt w:val="decimal"/>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6"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55" Type="http://schemas.openxmlformats.org/officeDocument/2006/relationships/hyperlink" Target="http://www.sec.gov/Archives/edgar/data/850209/000093041318001184/c90932_ex10-1.htm" TargetMode="External"/><Relationship Id="rId57" Type="http://schemas.openxmlformats.org/officeDocument/2006/relationships/hyperlink" Target="http://www.sec.gov/Archives/edgar/data/850209/000093041318001338/c91040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2019-12-28T21:39:44Z</dcterms:created>
  <dcterms:modified xsi:type="dcterms:W3CDTF">2019-12-28T21:39:44Z</dcterms:modified>
</cp:coreProperties>
</file>