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t>UNITED STATES</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6" w:lineRule="exact"/>
        <w:rPr>
          <w:sz w:val="24"/>
          <w:szCs w:val="24"/>
          <w:color w:val="auto"/>
        </w:rPr>
      </w:pPr>
    </w:p>
    <w:p>
      <w:pPr>
        <w:ind w:left="312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190" w:lineRule="exact"/>
        <w:rPr>
          <w:sz w:val="24"/>
          <w:szCs w:val="24"/>
          <w:color w:val="auto"/>
        </w:rPr>
      </w:pPr>
    </w:p>
    <w:p>
      <w:pPr>
        <w:ind w:left="140"/>
        <w:spacing w:after="0"/>
        <w:rPr>
          <w:sz w:val="20"/>
          <w:szCs w:val="20"/>
          <w:color w:val="auto"/>
        </w:rPr>
      </w:pPr>
      <w:r>
        <w:rPr>
          <w:rFonts w:ascii="Arial" w:cs="Arial" w:eastAsia="Arial" w:hAnsi="Arial"/>
          <w:sz w:val="15"/>
          <w:szCs w:val="15"/>
          <w:color w:val="auto"/>
        </w:rPr>
        <w:t>(Mark One)</w:t>
      </w:r>
    </w:p>
    <w:p>
      <w:pPr>
        <w:spacing w:after="0" w:line="223" w:lineRule="exact"/>
        <w:rPr>
          <w:sz w:val="24"/>
          <w:szCs w:val="24"/>
          <w:color w:val="auto"/>
        </w:rPr>
      </w:pPr>
    </w:p>
    <w:p>
      <w:pPr>
        <w:ind w:left="520" w:hanging="338"/>
        <w:spacing w:after="0"/>
        <w:tabs>
          <w:tab w:leader="none" w:pos="52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82" w:lineRule="exact"/>
        <w:rPr>
          <w:rFonts w:ascii="MS PGothic" w:cs="MS PGothic" w:eastAsia="MS PGothic" w:hAnsi="MS PGothic"/>
          <w:sz w:val="15"/>
          <w:szCs w:val="15"/>
          <w:color w:val="auto"/>
          <w:highlight w:val="black"/>
        </w:rPr>
      </w:pPr>
    </w:p>
    <w:p>
      <w:pPr>
        <w:ind w:left="3220"/>
        <w:spacing w:after="0"/>
        <w:rPr>
          <w:rFonts w:ascii="MS PGothic" w:cs="MS PGothic" w:eastAsia="MS PGothic" w:hAnsi="MS PGothic"/>
          <w:sz w:val="15"/>
          <w:szCs w:val="15"/>
          <w:color w:val="auto"/>
          <w:highlight w:val="black"/>
        </w:rPr>
      </w:pPr>
      <w:r>
        <w:rPr>
          <w:rFonts w:ascii="Arial" w:cs="Arial" w:eastAsia="Arial" w:hAnsi="Arial"/>
          <w:sz w:val="16"/>
          <w:szCs w:val="16"/>
          <w:color w:val="auto"/>
        </w:rPr>
        <w:t>For the quarterly period ended: July 29, 2017</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129" w:lineRule="exact"/>
        <w:rPr>
          <w:sz w:val="24"/>
          <w:szCs w:val="24"/>
          <w:color w:val="auto"/>
        </w:rPr>
      </w:pPr>
    </w:p>
    <w:p>
      <w:pPr>
        <w:ind w:left="440" w:hanging="295"/>
        <w:spacing w:after="0"/>
        <w:tabs>
          <w:tab w:leader="none" w:pos="44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244"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For the transition period from __________ to __________</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Commission File Number: 1-10299</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1972945</wp:posOffset>
            </wp:positionH>
            <wp:positionV relativeFrom="paragraph">
              <wp:posOffset>90805</wp:posOffset>
            </wp:positionV>
            <wp:extent cx="2193290" cy="254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3290" cy="25463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ectPr>
          <w:pgSz w:w="11900" w:h="16838" w:orient="portrait"/>
          <w:cols w:equalWidth="0" w:num="1">
            <w:col w:w="9680"/>
          </w:cols>
          <w:pgMar w:left="1120" w:top="207" w:right="1099" w:bottom="1440" w:gutter="0" w:footer="0" w:header="0"/>
        </w:sectPr>
      </w:pPr>
    </w:p>
    <w:p>
      <w:pPr>
        <w:spacing w:after="0" w:line="192" w:lineRule="exact"/>
        <w:rPr>
          <w:sz w:val="24"/>
          <w:szCs w:val="24"/>
          <w:color w:val="auto"/>
        </w:rPr>
      </w:pPr>
    </w:p>
    <w:p>
      <w:pPr>
        <w:ind w:left="2060"/>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13-3513936</w:t>
      </w:r>
    </w:p>
    <w:p>
      <w:pPr>
        <w:spacing w:after="0" w:line="29" w:lineRule="exact"/>
        <w:rPr>
          <w:sz w:val="24"/>
          <w:szCs w:val="24"/>
          <w:color w:val="auto"/>
        </w:rPr>
      </w:pPr>
    </w:p>
    <w:p>
      <w:pPr>
        <w:sectPr>
          <w:pgSz w:w="11900" w:h="16838" w:orient="portrait"/>
          <w:cols w:equalWidth="0" w:num="2">
            <w:col w:w="6120" w:space="720"/>
            <w:col w:w="2840"/>
          </w:cols>
          <w:pgMar w:left="1120" w:top="207" w:right="1099" w:bottom="1440" w:gutter="0" w:footer="0" w:header="0"/>
          <w:type w:val="continuous"/>
        </w:sectPr>
      </w:pPr>
    </w:p>
    <w:p>
      <w:pPr>
        <w:ind w:left="4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01" w:lineRule="exact"/>
        <w:rPr>
          <w:sz w:val="24"/>
          <w:szCs w:val="24"/>
          <w:color w:val="auto"/>
        </w:rPr>
      </w:pPr>
    </w:p>
    <w:p>
      <w:pPr>
        <w:sectPr>
          <w:pgSz w:w="11900" w:h="16838" w:orient="portrait"/>
          <w:cols w:equalWidth="0" w:num="2">
            <w:col w:w="5340" w:space="720"/>
            <w:col w:w="3620"/>
          </w:cols>
          <w:pgMar w:left="1120" w:top="207" w:right="1099" w:bottom="1440" w:gutter="0" w:footer="0" w:header="0"/>
          <w:type w:val="continuous"/>
        </w:sectPr>
      </w:pPr>
    </w:p>
    <w:p>
      <w:pPr>
        <w:ind w:left="3100"/>
        <w:spacing w:after="0"/>
        <w:rPr>
          <w:sz w:val="20"/>
          <w:szCs w:val="20"/>
          <w:color w:val="auto"/>
        </w:rPr>
      </w:pPr>
      <w:r>
        <w:rPr>
          <w:rFonts w:ascii="Arial" w:cs="Arial" w:eastAsia="Arial" w:hAnsi="Arial"/>
          <w:sz w:val="15"/>
          <w:szCs w:val="15"/>
          <w:b w:val="1"/>
          <w:bCs w:val="1"/>
          <w:color w:val="auto"/>
        </w:rPr>
        <w:t>330 West 34</w:t>
      </w:r>
      <w:r>
        <w:rPr>
          <w:rFonts w:ascii="Arial" w:cs="Arial" w:eastAsia="Arial" w:hAnsi="Arial"/>
          <w:sz w:val="8"/>
          <w:szCs w:val="8"/>
          <w:b w:val="1"/>
          <w:bCs w:val="1"/>
          <w:color w:val="auto"/>
        </w:rPr>
        <w:t>th</w:t>
      </w:r>
      <w:r>
        <w:rPr>
          <w:rFonts w:ascii="Arial" w:cs="Arial" w:eastAsia="Arial" w:hAnsi="Arial"/>
          <w:sz w:val="15"/>
          <w:szCs w:val="15"/>
          <w:b w:val="1"/>
          <w:bCs w:val="1"/>
          <w:color w:val="auto"/>
        </w:rPr>
        <w:t xml:space="preserve"> Street, New York, New York 10001</w:t>
      </w:r>
    </w:p>
    <w:p>
      <w:pPr>
        <w:spacing w:after="0" w:line="14" w:lineRule="exact"/>
        <w:rPr>
          <w:sz w:val="24"/>
          <w:szCs w:val="24"/>
          <w:color w:val="auto"/>
        </w:rPr>
      </w:pPr>
    </w:p>
    <w:p>
      <w:pPr>
        <w:ind w:left="3160"/>
        <w:spacing w:after="0"/>
        <w:rPr>
          <w:sz w:val="20"/>
          <w:szCs w:val="20"/>
          <w:color w:val="auto"/>
        </w:rPr>
      </w:pPr>
      <w:r>
        <w:rPr>
          <w:rFonts w:ascii="Arial" w:cs="Arial" w:eastAsia="Arial" w:hAnsi="Arial"/>
          <w:sz w:val="15"/>
          <w:szCs w:val="15"/>
          <w:color w:val="auto"/>
        </w:rPr>
        <w:t>(Address of principal executive offices, Zip Code)</w:t>
      </w:r>
    </w:p>
    <w:p>
      <w:pPr>
        <w:jc w:val="center"/>
        <w:spacing w:after="0" w:line="236" w:lineRule="auto"/>
        <w:rPr>
          <w:sz w:val="20"/>
          <w:szCs w:val="20"/>
          <w:color w:val="auto"/>
        </w:rPr>
      </w:pPr>
      <w:r>
        <w:rPr>
          <w:rFonts w:ascii="Arial" w:cs="Arial" w:eastAsia="Arial" w:hAnsi="Arial"/>
          <w:sz w:val="15"/>
          <w:szCs w:val="15"/>
          <w:b w:val="1"/>
          <w:bCs w:val="1"/>
          <w:color w:val="auto"/>
        </w:rPr>
        <w:t>(212-720-3700)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224" w:lineRule="exact"/>
        <w:rPr>
          <w:sz w:val="24"/>
          <w:szCs w:val="24"/>
          <w:color w:val="auto"/>
        </w:rPr>
      </w:pPr>
    </w:p>
    <w:p>
      <w:pPr>
        <w:jc w:val="both"/>
        <w:spacing w:after="0" w:line="183"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7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4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p>
      <w:pPr>
        <w:ind w:right="400"/>
        <w:spacing w:after="0" w:line="237"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Non-accelerated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6"/>
          <w:szCs w:val="16"/>
          <w:color w:val="auto"/>
        </w:rPr>
        <w:t>☐</w:t>
      </w:r>
    </w:p>
    <w:p>
      <w:pPr>
        <w:spacing w:after="0" w:line="348" w:lineRule="exact"/>
        <w:rPr>
          <w:sz w:val="24"/>
          <w:szCs w:val="24"/>
          <w:color w:val="auto"/>
        </w:rPr>
      </w:pPr>
    </w:p>
    <w:p>
      <w:pPr>
        <w:spacing w:after="0" w:line="19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ind w:right="760"/>
        <w:spacing w:after="0" w:line="288"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Number of shares of Common Stock outstanding as of September 5, 2017: 123,997,568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591820</wp:posOffset>
            </wp:positionV>
            <wp:extent cx="6188710" cy="48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8710" cy="48260"/>
                    </a:xfrm>
                    <a:prstGeom prst="rect">
                      <a:avLst/>
                    </a:prstGeom>
                    <a:noFill/>
                  </pic:spPr>
                </pic:pic>
              </a:graphicData>
            </a:graphic>
          </wp:anchor>
        </w:drawing>
      </w:r>
    </w:p>
    <w:p>
      <w:pPr>
        <w:sectPr>
          <w:pgSz w:w="11900" w:h="16838" w:orient="portrait"/>
          <w:cols w:equalWidth="0" w:num="1">
            <w:col w:w="9680"/>
          </w:cols>
          <w:pgMar w:left="1120" w:top="207" w:right="10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Page</w:t>
            </w:r>
          </w:p>
        </w:tc>
      </w:tr>
      <w:tr>
        <w:trPr>
          <w:trHeight w:val="153"/>
        </w:trPr>
        <w:tc>
          <w:tcPr>
            <w:tcW w:w="100" w:type="dxa"/>
            <w:vAlign w:val="bottom"/>
            <w:shd w:val="clear" w:color="auto" w:fill="CCEEFF"/>
          </w:tcPr>
          <w:p>
            <w:pPr>
              <w:spacing w:after="0"/>
              <w:rPr>
                <w:sz w:val="13"/>
                <w:szCs w:val="13"/>
                <w:color w:val="auto"/>
              </w:rPr>
            </w:pPr>
          </w:p>
        </w:tc>
        <w:tc>
          <w:tcPr>
            <w:tcW w:w="1040" w:type="dxa"/>
            <w:vAlign w:val="bottom"/>
            <w:gridSpan w:val="5"/>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PART I</w:t>
              </w:r>
            </w:hyperlink>
          </w:p>
        </w:tc>
        <w:tc>
          <w:tcPr>
            <w:tcW w:w="7480" w:type="dxa"/>
            <w:vAlign w:val="bottom"/>
            <w:gridSpan w:val="20"/>
            <w:shd w:val="clear" w:color="auto" w:fill="CCEEFF"/>
          </w:tcPr>
          <w:p>
            <w:pPr>
              <w:ind w:left="180"/>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FINANCIAL INFORMATION</w:t>
              </w:r>
            </w:hyperlink>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Financial Statements</w:t>
              </w:r>
            </w:hyperlink>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8"/>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3"/>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0000EE"/>
            </w:tcBorders>
            <w:gridSpan w:val="8"/>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Condensed Consolidated Balance Sheets</w:t>
              </w:r>
            </w:hyperlink>
          </w:p>
        </w:tc>
        <w:tc>
          <w:tcPr>
            <w:tcW w:w="3200" w:type="dxa"/>
            <w:vAlign w:val="bottom"/>
            <w:tcBorders>
              <w:bottom w:val="single" w:sz="8" w:color="CCEEFF"/>
            </w:tcBorders>
            <w:gridSpan w:val="6"/>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54" w:lineRule="exact"/>
              <w:rPr>
                <w:sz w:val="20"/>
                <w:szCs w:val="20"/>
                <w:color w:val="auto"/>
              </w:rPr>
            </w:pPr>
            <w:r>
              <w:rPr>
                <w:rFonts w:ascii="Arial" w:cs="Arial" w:eastAsia="Arial" w:hAnsi="Arial"/>
                <w:sz w:val="15"/>
                <w:szCs w:val="15"/>
                <w:color w:val="auto"/>
              </w:rPr>
              <w:t>1</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80" w:type="dxa"/>
            <w:vAlign w:val="bottom"/>
            <w:gridSpan w:val="14"/>
          </w:tcPr>
          <w:p>
            <w:pPr>
              <w:spacing w:after="0" w:line="146" w:lineRule="exact"/>
              <w:rPr>
                <w:rFonts w:ascii="Arial" w:cs="Arial" w:eastAsia="Arial" w:hAnsi="Arial"/>
                <w:sz w:val="15"/>
                <w:szCs w:val="15"/>
                <w:color w:val="0000EE"/>
              </w:rPr>
            </w:pPr>
            <w:hyperlink w:anchor="page4">
              <w:r>
                <w:rPr>
                  <w:rFonts w:ascii="Arial" w:cs="Arial" w:eastAsia="Arial" w:hAnsi="Arial"/>
                  <w:sz w:val="15"/>
                  <w:szCs w:val="15"/>
                  <w:color w:val="0000EE"/>
                </w:rPr>
                <w:t>Condensed Consolidated Statements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5">
              <w:r>
                <w:rPr>
                  <w:rFonts w:ascii="Arial" w:cs="Arial" w:eastAsia="Arial" w:hAnsi="Arial"/>
                  <w:sz w:val="15"/>
                  <w:szCs w:val="15"/>
                  <w:color w:val="0000EE"/>
                </w:rPr>
                <w:t>Condensed Consolidated Statements of Comprehensive Income</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3</w:t>
            </w:r>
          </w:p>
        </w:tc>
      </w:tr>
      <w:tr>
        <w:trPr>
          <w:trHeight w:val="146"/>
        </w:trPr>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380" w:type="dxa"/>
            <w:vAlign w:val="bottom"/>
            <w:tcBorders>
              <w:top w:val="single" w:sz="8" w:color="0000EE"/>
            </w:tcBorders>
            <w:gridSpan w:val="13"/>
          </w:tcPr>
          <w:p>
            <w:pPr>
              <w:spacing w:after="0" w:line="146" w:lineRule="exact"/>
              <w:rPr>
                <w:rFonts w:ascii="Arial" w:cs="Arial" w:eastAsia="Arial" w:hAnsi="Arial"/>
                <w:sz w:val="15"/>
                <w:szCs w:val="15"/>
                <w:color w:val="0000EE"/>
              </w:rPr>
            </w:pPr>
            <w:hyperlink w:anchor="page6">
              <w:r>
                <w:rPr>
                  <w:rFonts w:ascii="Arial" w:cs="Arial" w:eastAsia="Arial" w:hAnsi="Arial"/>
                  <w:sz w:val="15"/>
                  <w:szCs w:val="15"/>
                  <w:color w:val="0000EE"/>
                </w:rPr>
                <w:t>Condensed Consolidated Statements of Cash Flows</w:t>
              </w:r>
            </w:hyperlink>
          </w:p>
        </w:tc>
        <w:tc>
          <w:tcPr>
            <w:tcW w:w="170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gridSpan w:val="2"/>
          </w:tcPr>
          <w:p>
            <w:pPr>
              <w:jc w:val="right"/>
              <w:ind w:right="40"/>
              <w:spacing w:after="0" w:line="146" w:lineRule="exact"/>
              <w:rPr>
                <w:sz w:val="20"/>
                <w:szCs w:val="20"/>
                <w:color w:val="auto"/>
              </w:rPr>
            </w:pPr>
            <w:r>
              <w:rPr>
                <w:rFonts w:ascii="Arial" w:cs="Arial" w:eastAsia="Arial" w:hAnsi="Arial"/>
                <w:sz w:val="15"/>
                <w:szCs w:val="15"/>
                <w:color w:val="auto"/>
              </w:rPr>
              <w:t>4</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0000EE"/>
            </w:tcBorders>
            <w:gridSpan w:val="11"/>
            <w:shd w:val="clear" w:color="auto" w:fill="CCEEFF"/>
          </w:tcPr>
          <w:p>
            <w:pPr>
              <w:spacing w:after="0" w:line="146" w:lineRule="exact"/>
              <w:rPr>
                <w:rFonts w:ascii="Arial" w:cs="Arial" w:eastAsia="Arial" w:hAnsi="Arial"/>
                <w:sz w:val="15"/>
                <w:szCs w:val="15"/>
                <w:color w:val="0000EE"/>
              </w:rPr>
            </w:pPr>
            <w:hyperlink w:anchor="page7">
              <w:r>
                <w:rPr>
                  <w:rFonts w:ascii="Arial" w:cs="Arial" w:eastAsia="Arial" w:hAnsi="Arial"/>
                  <w:sz w:val="15"/>
                  <w:szCs w:val="15"/>
                  <w:color w:val="0000EE"/>
                </w:rPr>
                <w:t>Notes to Condensed Consolidated Financial Statements</w:t>
              </w:r>
            </w:hyperlink>
          </w:p>
        </w:tc>
        <w:tc>
          <w:tcPr>
            <w:tcW w:w="2220" w:type="dxa"/>
            <w:vAlign w:val="bottom"/>
            <w:tcBorders>
              <w:bottom w:val="single" w:sz="8" w:color="CCEEFF"/>
            </w:tcBorders>
            <w:gridSpan w:val="3"/>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5</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18">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18">
              <w:r>
                <w:rPr>
                  <w:rFonts w:ascii="Arial" w:cs="Arial" w:eastAsia="Arial" w:hAnsi="Arial"/>
                  <w:sz w:val="15"/>
                  <w:szCs w:val="15"/>
                  <w:color w:val="0000EE"/>
                </w:rPr>
                <w:t>Management’s Discussion and Analysis of Financial Condition and Results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16</w:t>
            </w:r>
          </w:p>
        </w:tc>
      </w:tr>
      <w:tr>
        <w:trPr>
          <w:trHeight w:val="235"/>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700" w:type="dxa"/>
            <w:vAlign w:val="bottom"/>
            <w:tcBorders>
              <w:top w:val="single" w:sz="8" w:color="0000EE"/>
            </w:tcBorders>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Item 4.</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Controls and Procedures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24</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46"/>
        </w:trPr>
        <w:tc>
          <w:tcPr>
            <w:tcW w:w="10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PART II</w:t>
              </w:r>
            </w:hyperlink>
          </w:p>
        </w:tc>
        <w:tc>
          <w:tcPr>
            <w:tcW w:w="7480" w:type="dxa"/>
            <w:vAlign w:val="bottom"/>
            <w:gridSpan w:val="20"/>
            <w:shd w:val="clear" w:color="auto" w:fill="CCEEFF"/>
          </w:tcPr>
          <w:p>
            <w:pPr>
              <w:ind w:left="180"/>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OTHER INFORMATION</w:t>
              </w:r>
            </w:hyperlink>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Legal Proceedings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24</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46"/>
        </w:trPr>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Item 1A.</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Risk Factors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24</w:t>
            </w: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Unregistered Sales of Equity Securities and Use of Proceeds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24</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Item 6.</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Exhibits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24</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1040" w:type="dxa"/>
            <w:vAlign w:val="bottom"/>
            <w:gridSpan w:val="5"/>
            <w:shd w:val="clear" w:color="auto" w:fill="CCEEFF"/>
          </w:tcPr>
          <w:p>
            <w:pPr>
              <w:spacing w:after="0" w:line="146" w:lineRule="exact"/>
              <w:rPr>
                <w:rFonts w:ascii="Arial" w:cs="Arial" w:eastAsia="Arial" w:hAnsi="Arial"/>
                <w:sz w:val="15"/>
                <w:szCs w:val="15"/>
                <w:color w:val="0000EE"/>
              </w:rPr>
            </w:pPr>
            <w:hyperlink w:anchor="page27">
              <w:r>
                <w:rPr>
                  <w:rFonts w:ascii="Arial" w:cs="Arial" w:eastAsia="Arial" w:hAnsi="Arial"/>
                  <w:sz w:val="15"/>
                  <w:szCs w:val="15"/>
                  <w:color w:val="0000EE"/>
                </w:rPr>
                <w:t>SIGNATURE</w:t>
              </w:r>
            </w:hyperlink>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25</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gridSpan w:val="2"/>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2440" w:type="dxa"/>
            <w:vAlign w:val="bottom"/>
            <w:gridSpan w:val="11"/>
            <w:shd w:val="clear" w:color="auto" w:fill="CCEEFF"/>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INDEX OF EXHIBITS</w:t>
              </w:r>
            </w:hyperlink>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1545"/>
        </w:trPr>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70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5953125</wp:posOffset>
            </wp:positionH>
            <wp:positionV relativeFrom="paragraph">
              <wp:posOffset>-34925</wp:posOffset>
            </wp:positionV>
            <wp:extent cx="33020" cy="4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-34925</wp:posOffset>
            </wp:positionV>
            <wp:extent cx="33020" cy="48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680"/>
          </w:cols>
          <w:pgMar w:left="1120" w:top="115" w:right="109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PART I - 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jc w:val="center"/>
        <w:spacing w:after="0"/>
        <w:rPr>
          <w:sz w:val="20"/>
          <w:szCs w:val="20"/>
          <w:color w:val="auto"/>
        </w:rPr>
      </w:pPr>
      <w:r>
        <w:rPr>
          <w:rFonts w:ascii="Arial" w:cs="Arial" w:eastAsia="Arial" w:hAnsi="Arial"/>
          <w:sz w:val="15"/>
          <w:szCs w:val="15"/>
          <w:color w:val="auto"/>
        </w:rPr>
        <w:t>($ in millions, except shares)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20" w:type="dxa"/>
            <w:vAlign w:val="bottom"/>
          </w:tcPr>
          <w:p>
            <w:pPr>
              <w:jc w:val="center"/>
              <w:ind w:right="363"/>
              <w:spacing w:after="0"/>
              <w:rPr>
                <w:sz w:val="20"/>
                <w:szCs w:val="20"/>
                <w:color w:val="auto"/>
              </w:rPr>
            </w:pPr>
            <w:r>
              <w:rPr>
                <w:rFonts w:ascii="Arial" w:cs="Arial" w:eastAsia="Arial" w:hAnsi="Arial"/>
                <w:sz w:val="15"/>
                <w:szCs w:val="15"/>
                <w:b w:val="1"/>
                <w:bCs w:val="1"/>
                <w:color w:val="auto"/>
              </w:rPr>
              <w:t>July 29,</w:t>
            </w:r>
          </w:p>
        </w:tc>
        <w:tc>
          <w:tcPr>
            <w:tcW w:w="320" w:type="dxa"/>
            <w:vAlign w:val="bottom"/>
          </w:tcPr>
          <w:p>
            <w:pPr>
              <w:spacing w:after="0"/>
              <w:rPr>
                <w:sz w:val="15"/>
                <w:szCs w:val="15"/>
                <w:color w:val="auto"/>
              </w:rPr>
            </w:pPr>
          </w:p>
        </w:tc>
        <w:tc>
          <w:tcPr>
            <w:tcW w:w="1120" w:type="dxa"/>
            <w:vAlign w:val="bottom"/>
          </w:tcPr>
          <w:p>
            <w:pPr>
              <w:jc w:val="center"/>
              <w:ind w:right="363"/>
              <w:spacing w:after="0"/>
              <w:rPr>
                <w:sz w:val="20"/>
                <w:szCs w:val="20"/>
                <w:color w:val="auto"/>
              </w:rPr>
            </w:pPr>
            <w:r>
              <w:rPr>
                <w:rFonts w:ascii="Arial" w:cs="Arial" w:eastAsia="Arial" w:hAnsi="Arial"/>
                <w:sz w:val="15"/>
                <w:szCs w:val="15"/>
                <w:b w:val="1"/>
                <w:bCs w:val="1"/>
                <w:color w:val="auto"/>
              </w:rPr>
              <w:t>July 30,</w:t>
            </w:r>
          </w:p>
        </w:tc>
        <w:tc>
          <w:tcPr>
            <w:tcW w:w="1260" w:type="dxa"/>
            <w:vAlign w:val="bottom"/>
            <w:gridSpan w:val="2"/>
          </w:tcPr>
          <w:p>
            <w:pPr>
              <w:jc w:val="right"/>
              <w:ind w:right="103"/>
              <w:spacing w:after="0"/>
              <w:rPr>
                <w:sz w:val="20"/>
                <w:szCs w:val="20"/>
                <w:color w:val="auto"/>
              </w:rPr>
            </w:pPr>
            <w:r>
              <w:rPr>
                <w:rFonts w:ascii="Arial" w:cs="Arial" w:eastAsia="Arial" w:hAnsi="Arial"/>
                <w:sz w:val="15"/>
                <w:szCs w:val="15"/>
                <w:b w:val="1"/>
                <w:bCs w:val="1"/>
                <w:color w:val="auto"/>
              </w:rPr>
              <w:t>January 28,</w:t>
            </w:r>
          </w:p>
        </w:tc>
        <w:tc>
          <w:tcPr>
            <w:tcW w:w="0" w:type="dxa"/>
            <w:vAlign w:val="bottom"/>
          </w:tcPr>
          <w:p>
            <w:pPr>
              <w:spacing w:after="0"/>
              <w:rPr>
                <w:sz w:val="1"/>
                <w:szCs w:val="1"/>
                <w:color w:val="auto"/>
              </w:rPr>
            </w:pPr>
          </w:p>
        </w:tc>
      </w:tr>
      <w:tr>
        <w:trPr>
          <w:trHeight w:val="194"/>
        </w:trPr>
        <w:tc>
          <w:tcPr>
            <w:tcW w:w="3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3"/>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63"/>
              <w:spacing w:after="0"/>
              <w:rPr>
                <w:sz w:val="20"/>
                <w:szCs w:val="20"/>
                <w:color w:val="auto"/>
              </w:rPr>
            </w:pPr>
            <w:r>
              <w:rPr>
                <w:rFonts w:ascii="Arial" w:cs="Arial" w:eastAsia="Arial" w:hAnsi="Arial"/>
                <w:sz w:val="15"/>
                <w:szCs w:val="15"/>
                <w:b w:val="1"/>
                <w:bCs w:val="1"/>
                <w:color w:val="auto"/>
              </w:rPr>
              <w:t>2016</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2960" w:type="dxa"/>
            <w:vAlign w:val="bottom"/>
            <w:gridSpan w:val="2"/>
          </w:tcPr>
          <w:p>
            <w:pPr>
              <w:jc w:val="center"/>
              <w:ind w:left="1343"/>
              <w:spacing w:after="0"/>
              <w:rPr>
                <w:sz w:val="20"/>
                <w:szCs w:val="20"/>
                <w:color w:val="auto"/>
              </w:rPr>
            </w:pPr>
            <w:r>
              <w:rPr>
                <w:rFonts w:ascii="Arial" w:cs="Arial" w:eastAsia="Arial" w:hAnsi="Arial"/>
                <w:sz w:val="15"/>
                <w:szCs w:val="15"/>
                <w:b w:val="1"/>
                <w:bCs w:val="1"/>
                <w:color w:val="auto"/>
              </w:rPr>
              <w:t>(Unaudited)</w:t>
            </w:r>
          </w:p>
        </w:tc>
        <w:tc>
          <w:tcPr>
            <w:tcW w:w="1440" w:type="dxa"/>
            <w:vAlign w:val="bottom"/>
            <w:gridSpan w:val="2"/>
          </w:tcPr>
          <w:p>
            <w:pPr>
              <w:jc w:val="center"/>
              <w:ind w:right="43"/>
              <w:spacing w:after="0"/>
              <w:rPr>
                <w:sz w:val="20"/>
                <w:szCs w:val="20"/>
                <w:color w:val="auto"/>
              </w:rPr>
            </w:pPr>
            <w:r>
              <w:rPr>
                <w:rFonts w:ascii="Arial" w:cs="Arial" w:eastAsia="Arial" w:hAnsi="Arial"/>
                <w:sz w:val="15"/>
                <w:szCs w:val="15"/>
                <w:b w:val="1"/>
                <w:bCs w:val="1"/>
                <w:color w:val="auto"/>
              </w:rPr>
              <w:t>(Unaudited)</w:t>
            </w:r>
          </w:p>
        </w:tc>
        <w:tc>
          <w:tcPr>
            <w:tcW w:w="380" w:type="dxa"/>
            <w:vAlign w:val="bottom"/>
          </w:tcPr>
          <w:p>
            <w:pPr>
              <w:spacing w:after="0"/>
              <w:rPr>
                <w:sz w:val="16"/>
                <w:szCs w:val="16"/>
                <w:color w:val="auto"/>
              </w:rPr>
            </w:pPr>
          </w:p>
        </w:tc>
        <w:tc>
          <w:tcPr>
            <w:tcW w:w="880" w:type="dxa"/>
            <w:vAlign w:val="bottom"/>
          </w:tcPr>
          <w:p>
            <w:pPr>
              <w:jc w:val="right"/>
              <w:ind w:right="50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Current assets: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Cash and cash equivalents</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1,043</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945</w:t>
            </w:r>
          </w:p>
        </w:tc>
        <w:tc>
          <w:tcPr>
            <w:tcW w:w="3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1,046</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Merchandise inventories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1,290</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1,339</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1,307</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Other current assets</w:t>
            </w:r>
          </w:p>
        </w:tc>
        <w:tc>
          <w:tcPr>
            <w:tcW w:w="18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311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301</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2,644</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2,585</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2,633</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184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821</w:t>
            </w:r>
          </w:p>
        </w:tc>
        <w:tc>
          <w:tcPr>
            <w:tcW w:w="32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726</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765</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Deferred taxes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167</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174</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Goodwill</w:t>
            </w:r>
          </w:p>
        </w:tc>
        <w:tc>
          <w:tcPr>
            <w:tcW w:w="184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158</w:t>
            </w:r>
          </w:p>
        </w:tc>
        <w:tc>
          <w:tcPr>
            <w:tcW w:w="32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156</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Other intangible assets, net</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45</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44</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assets</w:t>
            </w:r>
          </w:p>
        </w:tc>
        <w:tc>
          <w:tcPr>
            <w:tcW w:w="18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111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77</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3,946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3,762</w:t>
            </w:r>
          </w:p>
        </w:tc>
        <w:tc>
          <w:tcPr>
            <w:tcW w:w="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3,840</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Accounts payable</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162</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348</w:t>
            </w:r>
          </w:p>
        </w:tc>
        <w:tc>
          <w:tcPr>
            <w:tcW w:w="3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Accrued and other liabilities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308</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326</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Current portion of capital lease obligations</w:t>
            </w:r>
          </w:p>
        </w:tc>
        <w:tc>
          <w:tcPr>
            <w:tcW w:w="18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470</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675</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w:t>
            </w:r>
          </w:p>
        </w:tc>
        <w:tc>
          <w:tcPr>
            <w:tcW w:w="0" w:type="dxa"/>
            <w:vAlign w:val="bottom"/>
          </w:tcPr>
          <w:p>
            <w:pPr>
              <w:spacing w:after="0"/>
              <w:rPr>
                <w:sz w:val="1"/>
                <w:szCs w:val="1"/>
                <w:color w:val="auto"/>
              </w:rPr>
            </w:pPr>
          </w:p>
        </w:tc>
      </w:tr>
      <w:tr>
        <w:trPr>
          <w:trHeight w:val="207"/>
        </w:trPr>
        <w:tc>
          <w:tcPr>
            <w:tcW w:w="5280" w:type="dxa"/>
            <w:vAlign w:val="bottom"/>
            <w:gridSpan w:val="2"/>
          </w:tcPr>
          <w:p>
            <w:pPr>
              <w:spacing w:after="0"/>
              <w:rPr>
                <w:sz w:val="20"/>
                <w:szCs w:val="20"/>
                <w:color w:val="auto"/>
              </w:rPr>
            </w:pPr>
            <w:r>
              <w:rPr>
                <w:rFonts w:ascii="Arial" w:cs="Arial" w:eastAsia="Arial" w:hAnsi="Arial"/>
                <w:sz w:val="15"/>
                <w:szCs w:val="15"/>
                <w:color w:val="auto"/>
              </w:rPr>
              <w:t>Long-term debt and obligations under capital leases</w:t>
            </w: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126</w:t>
            </w:r>
          </w:p>
        </w:tc>
        <w:tc>
          <w:tcPr>
            <w:tcW w:w="32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128</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18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456</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381</w:t>
            </w: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20"/>
                <w:szCs w:val="20"/>
                <w:color w:val="auto"/>
              </w:rPr>
            </w:pPr>
            <w:r>
              <w:rPr>
                <w:rFonts w:ascii="Arial" w:cs="Arial" w:eastAsia="Arial" w:hAnsi="Arial"/>
                <w:sz w:val="15"/>
                <w:szCs w:val="15"/>
                <w:color w:val="auto"/>
              </w:rPr>
              <w:t>Total liabilities</w:t>
            </w:r>
          </w:p>
        </w:tc>
        <w:tc>
          <w:tcPr>
            <w:tcW w:w="1840" w:type="dxa"/>
            <w:vAlign w:val="bottom"/>
          </w:tcPr>
          <w:p>
            <w:pPr>
              <w:spacing w:after="0"/>
              <w:rPr>
                <w:sz w:val="16"/>
                <w:szCs w:val="16"/>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1,052</w:t>
            </w:r>
          </w:p>
        </w:tc>
        <w:tc>
          <w:tcPr>
            <w:tcW w:w="320" w:type="dxa"/>
            <w:vAlign w:val="bottom"/>
          </w:tcPr>
          <w:p>
            <w:pPr>
              <w:spacing w:after="0"/>
              <w:rPr>
                <w:sz w:val="16"/>
                <w:szCs w:val="16"/>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1,184</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1,130</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3440" w:type="dxa"/>
            <w:vAlign w:val="bottom"/>
          </w:tcPr>
          <w:p>
            <w:pPr>
              <w:ind w:left="100"/>
              <w:spacing w:after="0"/>
              <w:rPr>
                <w:sz w:val="20"/>
                <w:szCs w:val="20"/>
                <w:color w:val="auto"/>
              </w:rPr>
            </w:pPr>
            <w:r>
              <w:rPr>
                <w:rFonts w:ascii="Arial" w:cs="Arial" w:eastAsia="Arial" w:hAnsi="Arial"/>
                <w:sz w:val="15"/>
                <w:szCs w:val="15"/>
                <w:color w:val="auto"/>
              </w:rPr>
              <w:t>Common stock and paid-in capital: 133,134,411;</w:t>
            </w:r>
          </w:p>
        </w:tc>
        <w:tc>
          <w:tcPr>
            <w:tcW w:w="1840" w:type="dxa"/>
            <w:vAlign w:val="bottom"/>
          </w:tcPr>
          <w:p>
            <w:pPr>
              <w:jc w:val="right"/>
              <w:ind w:right="523"/>
              <w:spacing w:after="0"/>
              <w:rPr>
                <w:sz w:val="20"/>
                <w:szCs w:val="20"/>
                <w:color w:val="auto"/>
              </w:rPr>
            </w:pPr>
            <w:r>
              <w:rPr>
                <w:rFonts w:ascii="Arial" w:cs="Arial" w:eastAsia="Arial" w:hAnsi="Arial"/>
                <w:sz w:val="15"/>
                <w:szCs w:val="15"/>
                <w:color w:val="auto"/>
              </w:rPr>
              <w:t>174,250,091; and</w:t>
            </w:r>
          </w:p>
        </w:tc>
        <w:tc>
          <w:tcPr>
            <w:tcW w:w="112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916</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20"/>
              <w:spacing w:after="0"/>
              <w:rPr>
                <w:sz w:val="20"/>
                <w:szCs w:val="20"/>
                <w:color w:val="auto"/>
              </w:rPr>
            </w:pPr>
            <w:r>
              <w:rPr>
                <w:rFonts w:ascii="Arial" w:cs="Arial" w:eastAsia="Arial" w:hAnsi="Arial"/>
                <w:sz w:val="15"/>
                <w:szCs w:val="15"/>
                <w:color w:val="auto"/>
              </w:rPr>
              <w:t>132,616,087 shares outstanding, respectively</w:t>
            </w:r>
          </w:p>
        </w:tc>
        <w:tc>
          <w:tcPr>
            <w:tcW w:w="18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1,147</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900</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Retained earnings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2,403</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3,426</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2,254</w:t>
            </w: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Accumulated other comprehensive loss</w:t>
            </w:r>
          </w:p>
        </w:tc>
        <w:tc>
          <w:tcPr>
            <w:tcW w:w="184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Arial" w:cs="Arial" w:eastAsia="Arial" w:hAnsi="Arial"/>
                <w:sz w:val="15"/>
                <w:szCs w:val="15"/>
                <w:b w:val="1"/>
                <w:bCs w:val="1"/>
                <w:color w:val="auto"/>
              </w:rPr>
              <w:t>(284)</w:t>
            </w: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(343)</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26"/>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Less: Treasury stock at cost: 2,034,408; 41,174,061; and 1,120,466</w:t>
            </w:r>
          </w:p>
        </w:tc>
        <w:tc>
          <w:tcPr>
            <w:tcW w:w="112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(141)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shares, respectively</w:t>
            </w:r>
          </w:p>
        </w:tc>
        <w:tc>
          <w:tcPr>
            <w:tcW w:w="18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(1,652)</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87"/>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shareholders' equity</w:t>
            </w:r>
          </w:p>
        </w:tc>
        <w:tc>
          <w:tcPr>
            <w:tcW w:w="18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2,894</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2,578</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2,710</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3,946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3,762</w:t>
            </w:r>
          </w:p>
        </w:tc>
        <w:tc>
          <w:tcPr>
            <w:tcW w:w="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both"/>
        <w:ind w:firstLine="5"/>
        <w:spacing w:after="0" w:line="239" w:lineRule="auto"/>
        <w:tabs>
          <w:tab w:leader="none" w:pos="99"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balance sheet at January 28, 2017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gridSpan w:val="3"/>
          </w:tcPr>
          <w:p>
            <w:pPr>
              <w:jc w:val="right"/>
              <w:ind w:right="507"/>
              <w:spacing w:after="0"/>
              <w:rPr>
                <w:sz w:val="20"/>
                <w:szCs w:val="20"/>
                <w:color w:val="auto"/>
              </w:rPr>
            </w:pPr>
            <w:r>
              <w:rPr>
                <w:rFonts w:ascii="Arial" w:cs="Arial" w:eastAsia="Arial" w:hAnsi="Arial"/>
                <w:sz w:val="15"/>
                <w:szCs w:val="15"/>
                <w:b w:val="1"/>
                <w:bCs w:val="1"/>
                <w:color w:val="auto"/>
              </w:rPr>
              <w:t>Thirteen weeks ended</w:t>
            </w:r>
          </w:p>
        </w:tc>
        <w:tc>
          <w:tcPr>
            <w:tcW w:w="280" w:type="dxa"/>
            <w:vAlign w:val="bottom"/>
          </w:tcPr>
          <w:p>
            <w:pPr>
              <w:spacing w:after="0"/>
              <w:rPr>
                <w:sz w:val="16"/>
                <w:szCs w:val="16"/>
                <w:color w:val="auto"/>
              </w:rPr>
            </w:pPr>
          </w:p>
        </w:tc>
        <w:tc>
          <w:tcPr>
            <w:tcW w:w="2160" w:type="dxa"/>
            <w:vAlign w:val="bottom"/>
            <w:gridSpan w:val="4"/>
          </w:tcPr>
          <w:p>
            <w:pPr>
              <w:jc w:val="right"/>
              <w:ind w:right="360"/>
              <w:spacing w:after="0"/>
              <w:rPr>
                <w:sz w:val="20"/>
                <w:szCs w:val="20"/>
                <w:color w:val="auto"/>
              </w:rPr>
            </w:pPr>
            <w:r>
              <w:rPr>
                <w:rFonts w:ascii="Arial" w:cs="Arial" w:eastAsia="Arial" w:hAnsi="Arial"/>
                <w:sz w:val="15"/>
                <w:szCs w:val="15"/>
                <w:b w:val="1"/>
                <w:bCs w:val="1"/>
                <w:color w:val="auto"/>
              </w:rPr>
              <w:t>Twenty-six weeks ended</w:t>
            </w:r>
          </w:p>
        </w:tc>
      </w:tr>
      <w:tr>
        <w:trPr>
          <w:trHeight w:val="158"/>
        </w:trPr>
        <w:tc>
          <w:tcPr>
            <w:tcW w:w="40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47"/>
              <w:spacing w:after="0" w:line="159" w:lineRule="exact"/>
              <w:rPr>
                <w:sz w:val="20"/>
                <w:szCs w:val="20"/>
                <w:color w:val="auto"/>
              </w:rPr>
            </w:pPr>
            <w:r>
              <w:rPr>
                <w:rFonts w:ascii="Arial" w:cs="Arial" w:eastAsia="Arial" w:hAnsi="Arial"/>
                <w:sz w:val="15"/>
                <w:szCs w:val="15"/>
                <w:b w:val="1"/>
                <w:bCs w:val="1"/>
                <w:color w:val="auto"/>
              </w:rPr>
              <w:t>July 29,</w:t>
            </w: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47"/>
              <w:spacing w:after="0" w:line="159" w:lineRule="exact"/>
              <w:rPr>
                <w:sz w:val="20"/>
                <w:szCs w:val="20"/>
                <w:color w:val="auto"/>
              </w:rPr>
            </w:pPr>
            <w:r>
              <w:rPr>
                <w:rFonts w:ascii="Arial" w:cs="Arial" w:eastAsia="Arial" w:hAnsi="Arial"/>
                <w:sz w:val="15"/>
                <w:szCs w:val="15"/>
                <w:b w:val="1"/>
                <w:bCs w:val="1"/>
                <w:color w:val="auto"/>
              </w:rPr>
              <w:t>July 30,</w:t>
            </w: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47"/>
              <w:spacing w:after="0" w:line="159" w:lineRule="exact"/>
              <w:rPr>
                <w:sz w:val="20"/>
                <w:szCs w:val="20"/>
                <w:color w:val="auto"/>
              </w:rPr>
            </w:pPr>
            <w:r>
              <w:rPr>
                <w:rFonts w:ascii="Arial" w:cs="Arial" w:eastAsia="Arial" w:hAnsi="Arial"/>
                <w:sz w:val="15"/>
                <w:szCs w:val="15"/>
                <w:b w:val="1"/>
                <w:bCs w:val="1"/>
                <w:color w:val="auto"/>
              </w:rPr>
              <w:t>July 29,</w:t>
            </w: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07"/>
              <w:spacing w:after="0" w:line="159" w:lineRule="exact"/>
              <w:rPr>
                <w:sz w:val="20"/>
                <w:szCs w:val="20"/>
                <w:color w:val="auto"/>
              </w:rPr>
            </w:pPr>
            <w:r>
              <w:rPr>
                <w:rFonts w:ascii="Arial" w:cs="Arial" w:eastAsia="Arial" w:hAnsi="Arial"/>
                <w:sz w:val="15"/>
                <w:szCs w:val="15"/>
                <w:b w:val="1"/>
                <w:bCs w:val="1"/>
                <w:color w:val="auto"/>
              </w:rPr>
              <w:t>July 30,</w:t>
            </w:r>
          </w:p>
        </w:tc>
        <w:tc>
          <w:tcPr>
            <w:tcW w:w="20" w:type="dxa"/>
            <w:vAlign w:val="bottom"/>
          </w:tcPr>
          <w:p>
            <w:pPr>
              <w:spacing w:after="0"/>
              <w:rPr>
                <w:sz w:val="13"/>
                <w:szCs w:val="13"/>
                <w:color w:val="auto"/>
              </w:rPr>
            </w:pPr>
          </w:p>
        </w:tc>
      </w:tr>
      <w:tr>
        <w:trPr>
          <w:trHeight w:val="187"/>
        </w:trPr>
        <w:tc>
          <w:tcPr>
            <w:tcW w:w="4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2016</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rPr>
              <w:t>1,701</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1,780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3,702</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3,767</w:t>
            </w:r>
          </w:p>
        </w:tc>
        <w:tc>
          <w:tcPr>
            <w:tcW w:w="20" w:type="dxa"/>
            <w:vAlign w:val="bottom"/>
          </w:tcPr>
          <w:p>
            <w:pPr>
              <w:spacing w:after="0"/>
              <w:rPr>
                <w:sz w:val="17"/>
                <w:szCs w:val="17"/>
                <w:color w:val="auto"/>
              </w:rPr>
            </w:pPr>
          </w:p>
        </w:tc>
      </w:tr>
      <w:tr>
        <w:trPr>
          <w:trHeight w:val="207"/>
        </w:trPr>
        <w:tc>
          <w:tcPr>
            <w:tcW w:w="4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Cost of sales</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rPr>
              <w:t>1,198</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1,193</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2,519</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2,484</w:t>
            </w:r>
          </w:p>
        </w:tc>
        <w:tc>
          <w:tcPr>
            <w:tcW w:w="20" w:type="dxa"/>
            <w:vAlign w:val="bottom"/>
          </w:tcPr>
          <w:p>
            <w:pPr>
              <w:spacing w:after="0"/>
              <w:rPr>
                <w:sz w:val="17"/>
                <w:szCs w:val="17"/>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380" w:type="dxa"/>
            <w:vAlign w:val="bottom"/>
          </w:tcPr>
          <w:p>
            <w:pPr>
              <w:spacing w:after="0"/>
              <w:rPr>
                <w:sz w:val="17"/>
                <w:szCs w:val="17"/>
                <w:color w:val="auto"/>
              </w:rPr>
            </w:pPr>
          </w:p>
        </w:tc>
        <w:tc>
          <w:tcPr>
            <w:tcW w:w="1000" w:type="dxa"/>
            <w:vAlign w:val="bottom"/>
          </w:tcPr>
          <w:p>
            <w:pPr>
              <w:jc w:val="right"/>
              <w:ind w:right="127"/>
              <w:spacing w:after="0"/>
              <w:rPr>
                <w:sz w:val="20"/>
                <w:szCs w:val="20"/>
                <w:color w:val="auto"/>
              </w:rPr>
            </w:pPr>
            <w:r>
              <w:rPr>
                <w:rFonts w:ascii="Arial" w:cs="Arial" w:eastAsia="Arial" w:hAnsi="Arial"/>
                <w:sz w:val="15"/>
                <w:szCs w:val="15"/>
                <w:b w:val="1"/>
                <w:bCs w:val="1"/>
                <w:color w:val="auto"/>
              </w:rPr>
              <w:t>339</w:t>
            </w:r>
          </w:p>
        </w:tc>
        <w:tc>
          <w:tcPr>
            <w:tcW w:w="280" w:type="dxa"/>
            <w:vAlign w:val="bottom"/>
          </w:tcPr>
          <w:p>
            <w:pPr>
              <w:spacing w:after="0"/>
              <w:rPr>
                <w:sz w:val="17"/>
                <w:szCs w:val="17"/>
                <w:color w:val="auto"/>
              </w:rPr>
            </w:pP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350</w:t>
            </w:r>
          </w:p>
        </w:tc>
        <w:tc>
          <w:tcPr>
            <w:tcW w:w="280" w:type="dxa"/>
            <w:vAlign w:val="bottom"/>
          </w:tcPr>
          <w:p>
            <w:pPr>
              <w:spacing w:after="0"/>
              <w:rPr>
                <w:sz w:val="17"/>
                <w:szCs w:val="17"/>
                <w:color w:val="auto"/>
              </w:rPr>
            </w:pPr>
          </w:p>
        </w:tc>
        <w:tc>
          <w:tcPr>
            <w:tcW w:w="1000" w:type="dxa"/>
            <w:vAlign w:val="bottom"/>
          </w:tcPr>
          <w:p>
            <w:pPr>
              <w:jc w:val="right"/>
              <w:ind w:right="107"/>
              <w:spacing w:after="0"/>
              <w:rPr>
                <w:sz w:val="20"/>
                <w:szCs w:val="20"/>
                <w:color w:val="auto"/>
              </w:rPr>
            </w:pPr>
            <w:r>
              <w:rPr>
                <w:rFonts w:ascii="Arial" w:cs="Arial" w:eastAsia="Arial" w:hAnsi="Arial"/>
                <w:sz w:val="15"/>
                <w:szCs w:val="15"/>
                <w:b w:val="1"/>
                <w:bCs w:val="1"/>
                <w:color w:val="auto"/>
              </w:rPr>
              <w:t>710</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711</w:t>
            </w:r>
          </w:p>
        </w:tc>
        <w:tc>
          <w:tcPr>
            <w:tcW w:w="20" w:type="dxa"/>
            <w:vAlign w:val="bottom"/>
          </w:tcPr>
          <w:p>
            <w:pPr>
              <w:spacing w:after="0"/>
              <w:rPr>
                <w:sz w:val="17"/>
                <w:szCs w:val="17"/>
                <w:color w:val="auto"/>
              </w:rPr>
            </w:pPr>
          </w:p>
        </w:tc>
      </w:tr>
      <w:tr>
        <w:trPr>
          <w:trHeight w:val="207"/>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rPr>
              <w:t>42</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39</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83</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20" w:type="dxa"/>
            <w:vAlign w:val="bottom"/>
          </w:tcPr>
          <w:p>
            <w:pPr>
              <w:spacing w:after="0"/>
              <w:rPr>
                <w:sz w:val="17"/>
                <w:szCs w:val="17"/>
                <w:color w:val="auto"/>
              </w:rPr>
            </w:pPr>
          </w:p>
        </w:tc>
      </w:tr>
      <w:tr>
        <w:trPr>
          <w:trHeight w:val="187"/>
        </w:trPr>
        <w:tc>
          <w:tcPr>
            <w:tcW w:w="4020" w:type="dxa"/>
            <w:vAlign w:val="bottom"/>
          </w:tcPr>
          <w:p>
            <w:pPr>
              <w:spacing w:after="0"/>
              <w:rPr>
                <w:sz w:val="20"/>
                <w:szCs w:val="20"/>
                <w:color w:val="auto"/>
              </w:rPr>
            </w:pPr>
            <w:r>
              <w:rPr>
                <w:rFonts w:ascii="Arial" w:cs="Arial" w:eastAsia="Arial" w:hAnsi="Arial"/>
                <w:sz w:val="15"/>
                <w:szCs w:val="15"/>
                <w:color w:val="auto"/>
              </w:rPr>
              <w:t>Income from operations</w:t>
            </w:r>
          </w:p>
        </w:tc>
        <w:tc>
          <w:tcPr>
            <w:tcW w:w="380" w:type="dxa"/>
            <w:vAlign w:val="bottom"/>
          </w:tcPr>
          <w:p>
            <w:pPr>
              <w:spacing w:after="0"/>
              <w:rPr>
                <w:sz w:val="16"/>
                <w:szCs w:val="16"/>
                <w:color w:val="auto"/>
              </w:rPr>
            </w:pPr>
          </w:p>
        </w:tc>
        <w:tc>
          <w:tcPr>
            <w:tcW w:w="1000" w:type="dxa"/>
            <w:vAlign w:val="bottom"/>
          </w:tcPr>
          <w:p>
            <w:pPr>
              <w:jc w:val="right"/>
              <w:ind w:right="127"/>
              <w:spacing w:after="0"/>
              <w:rPr>
                <w:sz w:val="20"/>
                <w:szCs w:val="20"/>
                <w:color w:val="auto"/>
              </w:rPr>
            </w:pPr>
            <w:r>
              <w:rPr>
                <w:rFonts w:ascii="Arial" w:cs="Arial" w:eastAsia="Arial" w:hAnsi="Arial"/>
                <w:sz w:val="15"/>
                <w:szCs w:val="15"/>
                <w:b w:val="1"/>
                <w:bCs w:val="1"/>
                <w:color w:val="auto"/>
              </w:rPr>
              <w:t>122</w:t>
            </w:r>
          </w:p>
        </w:tc>
        <w:tc>
          <w:tcPr>
            <w:tcW w:w="280" w:type="dxa"/>
            <w:vAlign w:val="bottom"/>
          </w:tcPr>
          <w:p>
            <w:pPr>
              <w:spacing w:after="0"/>
              <w:rPr>
                <w:sz w:val="16"/>
                <w:szCs w:val="16"/>
                <w:color w:val="auto"/>
              </w:rPr>
            </w:pP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198</w:t>
            </w:r>
          </w:p>
        </w:tc>
        <w:tc>
          <w:tcPr>
            <w:tcW w:w="280" w:type="dxa"/>
            <w:vAlign w:val="bottom"/>
          </w:tcPr>
          <w:p>
            <w:pPr>
              <w:spacing w:after="0"/>
              <w:rPr>
                <w:sz w:val="16"/>
                <w:szCs w:val="16"/>
                <w:color w:val="auto"/>
              </w:rPr>
            </w:pPr>
          </w:p>
        </w:tc>
        <w:tc>
          <w:tcPr>
            <w:tcW w:w="1000" w:type="dxa"/>
            <w:vAlign w:val="bottom"/>
          </w:tcPr>
          <w:p>
            <w:pPr>
              <w:jc w:val="right"/>
              <w:ind w:right="107"/>
              <w:spacing w:after="0"/>
              <w:rPr>
                <w:sz w:val="20"/>
                <w:szCs w:val="20"/>
                <w:color w:val="auto"/>
              </w:rPr>
            </w:pPr>
            <w:r>
              <w:rPr>
                <w:rFonts w:ascii="Arial" w:cs="Arial" w:eastAsia="Arial" w:hAnsi="Arial"/>
                <w:sz w:val="15"/>
                <w:szCs w:val="15"/>
                <w:b w:val="1"/>
                <w:bCs w:val="1"/>
                <w:color w:val="auto"/>
              </w:rPr>
              <w:t>390</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494</w:t>
            </w:r>
          </w:p>
        </w:tc>
        <w:tc>
          <w:tcPr>
            <w:tcW w:w="20" w:type="dxa"/>
            <w:vAlign w:val="bottom"/>
          </w:tcPr>
          <w:p>
            <w:pPr>
              <w:spacing w:after="0"/>
              <w:rPr>
                <w:sz w:val="16"/>
                <w:szCs w:val="16"/>
                <w:color w:val="auto"/>
              </w:rPr>
            </w:pPr>
          </w:p>
        </w:tc>
      </w:tr>
      <w:tr>
        <w:trPr>
          <w:trHeight w:val="207"/>
        </w:trPr>
        <w:tc>
          <w:tcPr>
            <w:tcW w:w="4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5"/>
                <w:szCs w:val="15"/>
                <w:color w:val="auto"/>
              </w:rPr>
              <w:t>Litigation charge</w:t>
            </w:r>
          </w:p>
        </w:tc>
        <w:tc>
          <w:tcPr>
            <w:tcW w:w="380" w:type="dxa"/>
            <w:vAlign w:val="bottom"/>
          </w:tcPr>
          <w:p>
            <w:pPr>
              <w:spacing w:after="0"/>
              <w:rPr>
                <w:sz w:val="17"/>
                <w:szCs w:val="17"/>
                <w:color w:val="auto"/>
              </w:rPr>
            </w:pPr>
          </w:p>
        </w:tc>
        <w:tc>
          <w:tcPr>
            <w:tcW w:w="1000" w:type="dxa"/>
            <w:vAlign w:val="bottom"/>
          </w:tcPr>
          <w:p>
            <w:pPr>
              <w:jc w:val="right"/>
              <w:ind w:right="127"/>
              <w:spacing w:after="0"/>
              <w:rPr>
                <w:sz w:val="20"/>
                <w:szCs w:val="20"/>
                <w:color w:val="auto"/>
              </w:rPr>
            </w:pPr>
            <w:r>
              <w:rPr>
                <w:rFonts w:ascii="Arial" w:cs="Arial" w:eastAsia="Arial" w:hAnsi="Arial"/>
                <w:sz w:val="15"/>
                <w:szCs w:val="15"/>
                <w:b w:val="1"/>
                <w:bCs w:val="1"/>
                <w:color w:val="auto"/>
              </w:rPr>
              <w:t>50</w:t>
            </w:r>
          </w:p>
        </w:tc>
        <w:tc>
          <w:tcPr>
            <w:tcW w:w="280" w:type="dxa"/>
            <w:vAlign w:val="bottom"/>
          </w:tcPr>
          <w:p>
            <w:pPr>
              <w:spacing w:after="0"/>
              <w:rPr>
                <w:sz w:val="17"/>
                <w:szCs w:val="17"/>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00" w:type="dxa"/>
            <w:vAlign w:val="bottom"/>
          </w:tcPr>
          <w:p>
            <w:pPr>
              <w:jc w:val="right"/>
              <w:ind w:right="107"/>
              <w:spacing w:after="0"/>
              <w:rPr>
                <w:sz w:val="20"/>
                <w:szCs w:val="20"/>
                <w:color w:val="auto"/>
              </w:rPr>
            </w:pPr>
            <w:r>
              <w:rPr>
                <w:rFonts w:ascii="Arial" w:cs="Arial" w:eastAsia="Arial" w:hAnsi="Arial"/>
                <w:sz w:val="15"/>
                <w:szCs w:val="15"/>
                <w:b w:val="1"/>
                <w:bCs w:val="1"/>
                <w:color w:val="auto"/>
              </w:rPr>
              <w:t>50</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 expense, net</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rPr>
              <w:t>(1)</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rPr>
              <w:t>(1)</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5"/>
                <w:szCs w:val="15"/>
                <w:color w:val="auto"/>
              </w:rPr>
              <w:t>Other income</w:t>
            </w:r>
          </w:p>
        </w:tc>
        <w:tc>
          <w:tcPr>
            <w:tcW w:w="380" w:type="dxa"/>
            <w:vAlign w:val="bottom"/>
          </w:tcPr>
          <w:p>
            <w:pPr>
              <w:spacing w:after="0"/>
              <w:rPr>
                <w:sz w:val="17"/>
                <w:szCs w:val="17"/>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7"/>
                <w:szCs w:val="17"/>
                <w:color w:val="auto"/>
              </w:rPr>
            </w:pPr>
          </w:p>
        </w:tc>
        <w:tc>
          <w:tcPr>
            <w:tcW w:w="1000" w:type="dxa"/>
            <w:vAlign w:val="bottom"/>
          </w:tcPr>
          <w:p>
            <w:pPr>
              <w:jc w:val="right"/>
              <w:ind w:right="67"/>
              <w:spacing w:after="0"/>
              <w:rPr>
                <w:sz w:val="20"/>
                <w:szCs w:val="20"/>
                <w:color w:val="auto"/>
              </w:rPr>
            </w:pPr>
            <w:r>
              <w:rPr>
                <w:rFonts w:ascii="Arial" w:cs="Arial" w:eastAsia="Arial" w:hAnsi="Arial"/>
                <w:sz w:val="15"/>
                <w:szCs w:val="15"/>
                <w:b w:val="1"/>
                <w:bCs w:val="1"/>
                <w:color w:val="auto"/>
              </w:rPr>
              <w:t>(1)</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r>
      <w:tr>
        <w:trPr>
          <w:trHeight w:val="187"/>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3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rPr>
              <w:t>73</w:t>
            </w: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198</w:t>
            </w: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342</w:t>
            </w: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20" w:type="dxa"/>
            <w:vAlign w:val="bottom"/>
          </w:tcPr>
          <w:p>
            <w:pPr>
              <w:spacing w:after="0"/>
              <w:rPr>
                <w:sz w:val="16"/>
                <w:szCs w:val="16"/>
                <w:color w:val="auto"/>
              </w:rPr>
            </w:pPr>
          </w:p>
        </w:tc>
      </w:tr>
      <w:tr>
        <w:trPr>
          <w:trHeight w:val="207"/>
        </w:trPr>
        <w:tc>
          <w:tcPr>
            <w:tcW w:w="40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Income tax expense</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22</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71</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rPr>
              <w:t>111</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w:t>
            </w:r>
          </w:p>
        </w:tc>
        <w:tc>
          <w:tcPr>
            <w:tcW w:w="20" w:type="dxa"/>
            <w:vAlign w:val="bottom"/>
          </w:tcPr>
          <w:p>
            <w:pPr>
              <w:spacing w:after="0"/>
              <w:rPr>
                <w:sz w:val="17"/>
                <w:szCs w:val="17"/>
                <w:color w:val="auto"/>
              </w:rPr>
            </w:pPr>
          </w:p>
        </w:tc>
      </w:tr>
      <w:tr>
        <w:trPr>
          <w:trHeight w:val="179"/>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rPr>
              <w:t>51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127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231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w:t>
            </w:r>
          </w:p>
        </w:tc>
        <w:tc>
          <w:tcPr>
            <w:tcW w:w="20" w:type="dxa"/>
            <w:vAlign w:val="bottom"/>
          </w:tcPr>
          <w:p>
            <w:pPr>
              <w:spacing w:after="0"/>
              <w:rPr>
                <w:sz w:val="15"/>
                <w:szCs w:val="15"/>
                <w:color w:val="auto"/>
              </w:rPr>
            </w:pPr>
          </w:p>
        </w:tc>
      </w:tr>
      <w:tr>
        <w:trPr>
          <w:trHeight w:val="195"/>
        </w:trPr>
        <w:tc>
          <w:tcPr>
            <w:tcW w:w="4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020" w:type="dxa"/>
            <w:vAlign w:val="bottom"/>
            <w:shd w:val="clear" w:color="auto" w:fill="CCEEFF"/>
          </w:tcPr>
          <w:p>
            <w:pPr>
              <w:ind w:left="80"/>
              <w:spacing w:after="0"/>
              <w:rPr>
                <w:sz w:val="20"/>
                <w:szCs w:val="20"/>
                <w:color w:val="auto"/>
              </w:rPr>
            </w:pPr>
            <w:r>
              <w:rPr>
                <w:rFonts w:ascii="Arial" w:cs="Arial" w:eastAsia="Arial" w:hAnsi="Arial"/>
                <w:sz w:val="15"/>
                <w:szCs w:val="15"/>
                <w:color w:val="auto"/>
              </w:rPr>
              <w:t>Basic earnings per share</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rPr>
              <w:t>0.39</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0.94</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1.76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20" w:type="dxa"/>
            <w:vAlign w:val="bottom"/>
          </w:tcPr>
          <w:p>
            <w:pPr>
              <w:spacing w:after="0"/>
              <w:rPr>
                <w:sz w:val="17"/>
                <w:szCs w:val="17"/>
                <w:color w:val="auto"/>
              </w:rPr>
            </w:pPr>
          </w:p>
        </w:tc>
      </w:tr>
      <w:tr>
        <w:trPr>
          <w:trHeight w:val="207"/>
        </w:trPr>
        <w:tc>
          <w:tcPr>
            <w:tcW w:w="4020" w:type="dxa"/>
            <w:vAlign w:val="bottom"/>
          </w:tcPr>
          <w:p>
            <w:pPr>
              <w:ind w:left="80"/>
              <w:spacing w:after="0"/>
              <w:rPr>
                <w:sz w:val="20"/>
                <w:szCs w:val="20"/>
                <w:color w:val="auto"/>
              </w:rPr>
            </w:pPr>
            <w:r>
              <w:rPr>
                <w:rFonts w:ascii="Arial" w:cs="Arial" w:eastAsia="Arial" w:hAnsi="Arial"/>
                <w:sz w:val="15"/>
                <w:szCs w:val="15"/>
                <w:color w:val="auto"/>
              </w:rPr>
              <w:t>Weighted-average shares outstanding</w:t>
            </w:r>
          </w:p>
        </w:tc>
        <w:tc>
          <w:tcPr>
            <w:tcW w:w="380" w:type="dxa"/>
            <w:vAlign w:val="bottom"/>
          </w:tcPr>
          <w:p>
            <w:pPr>
              <w:spacing w:after="0"/>
              <w:rPr>
                <w:sz w:val="17"/>
                <w:szCs w:val="17"/>
                <w:color w:val="auto"/>
              </w:rPr>
            </w:pPr>
          </w:p>
        </w:tc>
        <w:tc>
          <w:tcPr>
            <w:tcW w:w="1000" w:type="dxa"/>
            <w:vAlign w:val="bottom"/>
          </w:tcPr>
          <w:p>
            <w:pPr>
              <w:jc w:val="right"/>
              <w:ind w:right="127"/>
              <w:spacing w:after="0"/>
              <w:rPr>
                <w:sz w:val="20"/>
                <w:szCs w:val="20"/>
                <w:color w:val="auto"/>
              </w:rPr>
            </w:pPr>
            <w:r>
              <w:rPr>
                <w:rFonts w:ascii="Arial" w:cs="Arial" w:eastAsia="Arial" w:hAnsi="Arial"/>
                <w:sz w:val="15"/>
                <w:szCs w:val="15"/>
                <w:b w:val="1"/>
                <w:bCs w:val="1"/>
                <w:color w:val="auto"/>
              </w:rPr>
              <w:t>131.3</w:t>
            </w:r>
          </w:p>
        </w:tc>
        <w:tc>
          <w:tcPr>
            <w:tcW w:w="280" w:type="dxa"/>
            <w:vAlign w:val="bottom"/>
          </w:tcPr>
          <w:p>
            <w:pPr>
              <w:spacing w:after="0"/>
              <w:rPr>
                <w:sz w:val="17"/>
                <w:szCs w:val="17"/>
                <w:color w:val="auto"/>
              </w:rPr>
            </w:pP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134.4</w:t>
            </w:r>
          </w:p>
        </w:tc>
        <w:tc>
          <w:tcPr>
            <w:tcW w:w="280" w:type="dxa"/>
            <w:vAlign w:val="bottom"/>
          </w:tcPr>
          <w:p>
            <w:pPr>
              <w:spacing w:after="0"/>
              <w:rPr>
                <w:sz w:val="17"/>
                <w:szCs w:val="17"/>
                <w:color w:val="auto"/>
              </w:rPr>
            </w:pPr>
          </w:p>
        </w:tc>
        <w:tc>
          <w:tcPr>
            <w:tcW w:w="1000" w:type="dxa"/>
            <w:vAlign w:val="bottom"/>
          </w:tcPr>
          <w:p>
            <w:pPr>
              <w:jc w:val="right"/>
              <w:ind w:right="107"/>
              <w:spacing w:after="0"/>
              <w:rPr>
                <w:sz w:val="20"/>
                <w:szCs w:val="20"/>
                <w:color w:val="auto"/>
              </w:rPr>
            </w:pPr>
            <w:r>
              <w:rPr>
                <w:rFonts w:ascii="Arial" w:cs="Arial" w:eastAsia="Arial" w:hAnsi="Arial"/>
                <w:sz w:val="15"/>
                <w:szCs w:val="15"/>
                <w:b w:val="1"/>
                <w:bCs w:val="1"/>
                <w:color w:val="auto"/>
              </w:rPr>
              <w:t>131.3</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135.4</w:t>
            </w:r>
          </w:p>
        </w:tc>
        <w:tc>
          <w:tcPr>
            <w:tcW w:w="20" w:type="dxa"/>
            <w:vAlign w:val="bottom"/>
          </w:tcPr>
          <w:p>
            <w:pPr>
              <w:spacing w:after="0"/>
              <w:rPr>
                <w:sz w:val="17"/>
                <w:szCs w:val="17"/>
                <w:color w:val="auto"/>
              </w:rPr>
            </w:pPr>
          </w:p>
        </w:tc>
      </w:tr>
      <w:tr>
        <w:trPr>
          <w:trHeight w:val="207"/>
        </w:trPr>
        <w:tc>
          <w:tcPr>
            <w:tcW w:w="4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4020" w:type="dxa"/>
            <w:vAlign w:val="bottom"/>
          </w:tcPr>
          <w:p>
            <w:pPr>
              <w:ind w:left="80"/>
              <w:spacing w:after="0"/>
              <w:rPr>
                <w:sz w:val="20"/>
                <w:szCs w:val="20"/>
                <w:color w:val="auto"/>
              </w:rPr>
            </w:pPr>
            <w:r>
              <w:rPr>
                <w:rFonts w:ascii="Arial" w:cs="Arial" w:eastAsia="Arial" w:hAnsi="Arial"/>
                <w:sz w:val="15"/>
                <w:szCs w:val="15"/>
                <w:color w:val="auto"/>
              </w:rPr>
              <w:t>Diluted earnings per share</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27"/>
              <w:spacing w:after="0"/>
              <w:rPr>
                <w:sz w:val="20"/>
                <w:szCs w:val="20"/>
                <w:color w:val="auto"/>
              </w:rPr>
            </w:pPr>
            <w:r>
              <w:rPr>
                <w:rFonts w:ascii="Arial" w:cs="Arial" w:eastAsia="Arial" w:hAnsi="Arial"/>
                <w:sz w:val="15"/>
                <w:szCs w:val="15"/>
                <w:b w:val="1"/>
                <w:bCs w:val="1"/>
                <w:color w:val="auto"/>
              </w:rPr>
              <w:t>0.39</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27"/>
              <w:spacing w:after="0"/>
              <w:rPr>
                <w:sz w:val="20"/>
                <w:szCs w:val="20"/>
                <w:color w:val="auto"/>
              </w:rPr>
            </w:pPr>
            <w:r>
              <w:rPr>
                <w:rFonts w:ascii="Arial" w:cs="Arial" w:eastAsia="Arial" w:hAnsi="Arial"/>
                <w:sz w:val="15"/>
                <w:szCs w:val="15"/>
                <w:color w:val="auto"/>
              </w:rPr>
              <w:t>0.94</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07"/>
              <w:spacing w:after="0"/>
              <w:rPr>
                <w:sz w:val="20"/>
                <w:szCs w:val="20"/>
                <w:color w:val="auto"/>
              </w:rPr>
            </w:pPr>
            <w:r>
              <w:rPr>
                <w:rFonts w:ascii="Arial" w:cs="Arial" w:eastAsia="Arial" w:hAnsi="Arial"/>
                <w:sz w:val="15"/>
                <w:szCs w:val="15"/>
                <w:b w:val="1"/>
                <w:bCs w:val="1"/>
                <w:color w:val="auto"/>
              </w:rPr>
              <w:t>1.74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2.33</w:t>
            </w:r>
          </w:p>
        </w:tc>
        <w:tc>
          <w:tcPr>
            <w:tcW w:w="20" w:type="dxa"/>
            <w:vAlign w:val="bottom"/>
          </w:tcPr>
          <w:p>
            <w:pPr>
              <w:spacing w:after="0"/>
              <w:rPr>
                <w:sz w:val="16"/>
                <w:szCs w:val="16"/>
                <w:color w:val="auto"/>
              </w:rPr>
            </w:pPr>
          </w:p>
        </w:tc>
      </w:tr>
      <w:tr>
        <w:trPr>
          <w:trHeight w:val="377"/>
        </w:trPr>
        <w:tc>
          <w:tcPr>
            <w:tcW w:w="40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Weighted-average shares outstanding, assuming dilution</w:t>
            </w: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rPr>
              <w:t>132.0</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135.5</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132.3</w:t>
            </w: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136.6</w:t>
            </w:r>
          </w:p>
        </w:tc>
        <w:tc>
          <w:tcPr>
            <w:tcW w:w="20" w:type="dxa"/>
            <w:vAlign w:val="bottom"/>
          </w:tcPr>
          <w:p>
            <w:pPr>
              <w:spacing w:after="0"/>
              <w:rPr>
                <w:sz w:val="24"/>
                <w:szCs w:val="24"/>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rPr>
              <w:t>Thirteen weeks ended</w:t>
            </w: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5"/>
                <w:szCs w:val="15"/>
                <w:b w:val="1"/>
                <w:bCs w:val="1"/>
                <w:color w:val="auto"/>
              </w:rPr>
              <w:t>Twenty-six weeks ended</w:t>
            </w: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03"/>
              <w:spacing w:after="0" w:line="151" w:lineRule="exact"/>
              <w:rPr>
                <w:sz w:val="20"/>
                <w:szCs w:val="20"/>
                <w:color w:val="auto"/>
              </w:rPr>
            </w:pPr>
            <w:r>
              <w:rPr>
                <w:rFonts w:ascii="Arial" w:cs="Arial" w:eastAsia="Arial" w:hAnsi="Arial"/>
                <w:sz w:val="15"/>
                <w:szCs w:val="15"/>
                <w:b w:val="1"/>
                <w:bCs w:val="1"/>
                <w:color w:val="auto"/>
              </w:rPr>
              <w:t>July 29,</w:t>
            </w:r>
          </w:p>
        </w:tc>
        <w:tc>
          <w:tcPr>
            <w:tcW w:w="260" w:type="dxa"/>
            <w:vAlign w:val="bottom"/>
          </w:tcPr>
          <w:p>
            <w:pPr>
              <w:spacing w:after="0"/>
              <w:rPr>
                <w:sz w:val="13"/>
                <w:szCs w:val="13"/>
                <w:color w:val="auto"/>
              </w:rPr>
            </w:pPr>
          </w:p>
        </w:tc>
        <w:tc>
          <w:tcPr>
            <w:tcW w:w="980" w:type="dxa"/>
            <w:vAlign w:val="bottom"/>
          </w:tcPr>
          <w:p>
            <w:pPr>
              <w:jc w:val="right"/>
              <w:ind w:right="303"/>
              <w:spacing w:after="0" w:line="151" w:lineRule="exact"/>
              <w:rPr>
                <w:sz w:val="20"/>
                <w:szCs w:val="20"/>
                <w:color w:val="auto"/>
              </w:rPr>
            </w:pPr>
            <w:r>
              <w:rPr>
                <w:rFonts w:ascii="Arial" w:cs="Arial" w:eastAsia="Arial" w:hAnsi="Arial"/>
                <w:sz w:val="15"/>
                <w:szCs w:val="15"/>
                <w:b w:val="1"/>
                <w:bCs w:val="1"/>
                <w:color w:val="auto"/>
              </w:rPr>
              <w:t>July 30,</w:t>
            </w:r>
          </w:p>
        </w:tc>
        <w:tc>
          <w:tcPr>
            <w:tcW w:w="260" w:type="dxa"/>
            <w:vAlign w:val="bottom"/>
          </w:tcPr>
          <w:p>
            <w:pPr>
              <w:spacing w:after="0"/>
              <w:rPr>
                <w:sz w:val="13"/>
                <w:szCs w:val="13"/>
                <w:color w:val="auto"/>
              </w:rPr>
            </w:pPr>
          </w:p>
        </w:tc>
        <w:tc>
          <w:tcPr>
            <w:tcW w:w="940" w:type="dxa"/>
            <w:vAlign w:val="bottom"/>
          </w:tcPr>
          <w:p>
            <w:pPr>
              <w:jc w:val="right"/>
              <w:ind w:right="283"/>
              <w:spacing w:after="0" w:line="151" w:lineRule="exact"/>
              <w:rPr>
                <w:sz w:val="20"/>
                <w:szCs w:val="20"/>
                <w:color w:val="auto"/>
              </w:rPr>
            </w:pPr>
            <w:r>
              <w:rPr>
                <w:rFonts w:ascii="Arial" w:cs="Arial" w:eastAsia="Arial" w:hAnsi="Arial"/>
                <w:sz w:val="15"/>
                <w:szCs w:val="15"/>
                <w:b w:val="1"/>
                <w:bCs w:val="1"/>
                <w:color w:val="auto"/>
              </w:rPr>
              <w:t>July 29,</w:t>
            </w:r>
          </w:p>
        </w:tc>
        <w:tc>
          <w:tcPr>
            <w:tcW w:w="280" w:type="dxa"/>
            <w:vAlign w:val="bottom"/>
          </w:tcPr>
          <w:p>
            <w:pPr>
              <w:spacing w:after="0"/>
              <w:rPr>
                <w:sz w:val="13"/>
                <w:szCs w:val="13"/>
                <w:color w:val="auto"/>
              </w:rPr>
            </w:pPr>
          </w:p>
        </w:tc>
        <w:tc>
          <w:tcPr>
            <w:tcW w:w="820" w:type="dxa"/>
            <w:vAlign w:val="bottom"/>
          </w:tcPr>
          <w:p>
            <w:pPr>
              <w:jc w:val="right"/>
              <w:ind w:right="163"/>
              <w:spacing w:after="0" w:line="151" w:lineRule="exact"/>
              <w:rPr>
                <w:sz w:val="20"/>
                <w:szCs w:val="20"/>
                <w:color w:val="auto"/>
              </w:rPr>
            </w:pPr>
            <w:r>
              <w:rPr>
                <w:rFonts w:ascii="Arial" w:cs="Arial" w:eastAsia="Arial" w:hAnsi="Arial"/>
                <w:sz w:val="15"/>
                <w:szCs w:val="15"/>
                <w:b w:val="1"/>
                <w:bCs w:val="1"/>
                <w:color w:val="auto"/>
              </w:rPr>
              <w:t>July 30,</w:t>
            </w:r>
          </w:p>
        </w:tc>
        <w:tc>
          <w:tcPr>
            <w:tcW w:w="0" w:type="dxa"/>
            <w:vAlign w:val="bottom"/>
          </w:tcPr>
          <w:p>
            <w:pPr>
              <w:spacing w:after="0"/>
              <w:rPr>
                <w:sz w:val="1"/>
                <w:szCs w:val="1"/>
                <w:color w:val="auto"/>
              </w:rPr>
            </w:pPr>
          </w:p>
        </w:tc>
      </w:tr>
      <w:tr>
        <w:trPr>
          <w:trHeight w:val="194"/>
        </w:trPr>
        <w:tc>
          <w:tcPr>
            <w:tcW w:w="4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87"/>
        </w:trPr>
        <w:tc>
          <w:tcPr>
            <w:tcW w:w="4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51</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127</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231</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207"/>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 net of income tax:</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Foreign currency translation adjustment: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0"/>
              <w:spacing w:after="0"/>
              <w:rPr>
                <w:sz w:val="20"/>
                <w:szCs w:val="20"/>
                <w:color w:val="auto"/>
              </w:rPr>
            </w:pPr>
            <w:r>
              <w:rPr>
                <w:rFonts w:ascii="Arial" w:cs="Arial" w:eastAsia="Arial" w:hAnsi="Arial"/>
                <w:sz w:val="15"/>
                <w:szCs w:val="15"/>
                <w:color w:val="auto"/>
              </w:rPr>
              <w:t>Translation adjustment arising during the period, net of</w:t>
            </w:r>
          </w:p>
        </w:tc>
        <w:tc>
          <w:tcPr>
            <w:tcW w:w="300" w:type="dxa"/>
            <w:vAlign w:val="bottom"/>
          </w:tcPr>
          <w:p>
            <w:pPr>
              <w:spacing w:after="0"/>
              <w:rPr>
                <w:sz w:val="18"/>
                <w:szCs w:val="18"/>
                <w:color w:val="auto"/>
              </w:rPr>
            </w:pPr>
          </w:p>
        </w:tc>
        <w:tc>
          <w:tcPr>
            <w:tcW w:w="96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70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74</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300"/>
              <w:spacing w:after="0"/>
              <w:rPr>
                <w:sz w:val="20"/>
                <w:szCs w:val="20"/>
                <w:color w:val="auto"/>
              </w:rPr>
            </w:pPr>
            <w:r>
              <w:rPr>
                <w:rFonts w:ascii="Arial" w:cs="Arial" w:eastAsia="Arial" w:hAnsi="Arial"/>
                <w:sz w:val="15"/>
                <w:szCs w:val="15"/>
                <w:color w:val="auto"/>
              </w:rPr>
              <w:t>income tax</w:t>
            </w: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83"/>
              <w:spacing w:after="0"/>
              <w:rPr>
                <w:sz w:val="20"/>
                <w:szCs w:val="20"/>
                <w:color w:val="auto"/>
              </w:rPr>
            </w:pPr>
            <w:r>
              <w:rPr>
                <w:rFonts w:ascii="Arial" w:cs="Arial" w:eastAsia="Arial" w:hAnsi="Arial"/>
                <w:sz w:val="15"/>
                <w:szCs w:val="15"/>
                <w:color w:val="auto"/>
              </w:rPr>
              <w:t>(27)</w:t>
            </w: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7"/>
        </w:trPr>
        <w:tc>
          <w:tcPr>
            <w:tcW w:w="4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ind w:left="100"/>
              <w:spacing w:after="0"/>
              <w:rPr>
                <w:sz w:val="20"/>
                <w:szCs w:val="20"/>
                <w:color w:val="auto"/>
              </w:rPr>
            </w:pPr>
            <w:r>
              <w:rPr>
                <w:rFonts w:ascii="Arial" w:cs="Arial" w:eastAsia="Arial" w:hAnsi="Arial"/>
                <w:sz w:val="15"/>
                <w:szCs w:val="15"/>
                <w:i w:val="1"/>
                <w:iCs w:val="1"/>
                <w:color w:val="auto"/>
              </w:rPr>
              <w:t>Cash flow hedges: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4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fair value of derivatives, net of income tax</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7"/>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Available for sale securities: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ind w:left="200"/>
              <w:spacing w:after="0"/>
              <w:rPr>
                <w:sz w:val="20"/>
                <w:szCs w:val="20"/>
                <w:color w:val="auto"/>
              </w:rPr>
            </w:pPr>
            <w:r>
              <w:rPr>
                <w:rFonts w:ascii="Arial" w:cs="Arial" w:eastAsia="Arial" w:hAnsi="Arial"/>
                <w:sz w:val="15"/>
                <w:szCs w:val="15"/>
                <w:color w:val="auto"/>
              </w:rPr>
              <w:t>Unrealized gain on available for sale securities</w:t>
            </w:r>
          </w:p>
        </w:tc>
        <w:tc>
          <w:tcPr>
            <w:tcW w:w="300" w:type="dxa"/>
            <w:vAlign w:val="bottom"/>
          </w:tcPr>
          <w:p>
            <w:pPr>
              <w:spacing w:after="0"/>
              <w:rPr>
                <w:sz w:val="17"/>
                <w:szCs w:val="17"/>
                <w:color w:val="auto"/>
              </w:rPr>
            </w:pPr>
          </w:p>
        </w:tc>
        <w:tc>
          <w:tcPr>
            <w:tcW w:w="960" w:type="dxa"/>
            <w:vAlign w:val="bottom"/>
          </w:tcPr>
          <w:p>
            <w:pPr>
              <w:jc w:val="right"/>
              <w:ind w:right="103"/>
              <w:spacing w:after="0"/>
              <w:rPr>
                <w:sz w:val="20"/>
                <w:szCs w:val="20"/>
                <w:color w:val="auto"/>
              </w:rPr>
            </w:pPr>
            <w:r>
              <w:rPr>
                <w:rFonts w:ascii="Arial" w:cs="Arial" w:eastAsia="Arial" w:hAnsi="Arial"/>
                <w:sz w:val="15"/>
                <w:szCs w:val="15"/>
                <w:b w:val="1"/>
                <w:bCs w:val="1"/>
                <w:color w:val="auto"/>
              </w:rPr>
              <w:t>1</w:t>
            </w:r>
          </w:p>
        </w:tc>
        <w:tc>
          <w:tcPr>
            <w:tcW w:w="260" w:type="dxa"/>
            <w:vAlign w:val="bottom"/>
          </w:tcPr>
          <w:p>
            <w:pPr>
              <w:spacing w:after="0"/>
              <w:rPr>
                <w:sz w:val="17"/>
                <w:szCs w:val="17"/>
                <w:color w:val="auto"/>
              </w:rPr>
            </w:pPr>
          </w:p>
        </w:tc>
        <w:tc>
          <w:tcPr>
            <w:tcW w:w="980" w:type="dxa"/>
            <w:vAlign w:val="bottom"/>
          </w:tcPr>
          <w:p>
            <w:pPr>
              <w:jc w:val="right"/>
              <w:ind w:right="123"/>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Arial" w:cs="Arial" w:eastAsia="Arial" w:hAnsi="Arial"/>
                <w:sz w:val="15"/>
                <w:szCs w:val="15"/>
                <w:b w:val="1"/>
                <w:bCs w:val="1"/>
                <w:color w:val="auto"/>
              </w:rPr>
              <w:t>1</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4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ind w:left="100"/>
              <w:spacing w:after="0"/>
              <w:rPr>
                <w:sz w:val="20"/>
                <w:szCs w:val="20"/>
                <w:color w:val="auto"/>
              </w:rPr>
            </w:pPr>
            <w:r>
              <w:rPr>
                <w:rFonts w:ascii="Arial" w:cs="Arial" w:eastAsia="Arial" w:hAnsi="Arial"/>
                <w:sz w:val="15"/>
                <w:szCs w:val="15"/>
                <w:i w:val="1"/>
                <w:iCs w:val="1"/>
                <w:color w:val="auto"/>
              </w:rPr>
              <w:t>Pension and postretirement adjustments: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Amortization of net actuarial gain/loss and prior service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30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rPr>
              <w:t>cost included in net periodic benefit costs, net of income</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rPr>
              <w:t>tax expense of $1, $1, $2 and $2 million, respectively,</w:t>
            </w: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3</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and foreign currency fluctuations</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9"/>
        </w:trPr>
        <w:tc>
          <w:tcPr>
            <w:tcW w:w="43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Comprehensive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310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w:t>
            </w: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CONDENSED CONSOLIDATED STATEMENTS OF CASH FLOWS</w:t>
      </w:r>
    </w:p>
    <w:p>
      <w:pPr>
        <w:jc w:val="center"/>
        <w:ind w:right="60"/>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78" w:lineRule="exact"/>
        <w:rPr>
          <w:sz w:val="20"/>
          <w:szCs w:val="20"/>
          <w:color w:val="auto"/>
        </w:rPr>
      </w:pPr>
    </w:p>
    <w:p>
      <w:pPr>
        <w:ind w:left="6620"/>
        <w:spacing w:after="0"/>
        <w:rPr>
          <w:sz w:val="20"/>
          <w:szCs w:val="20"/>
          <w:color w:val="auto"/>
        </w:rPr>
      </w:pPr>
      <w:r>
        <w:rPr>
          <w:rFonts w:ascii="Arial" w:cs="Arial" w:eastAsia="Arial" w:hAnsi="Arial"/>
          <w:sz w:val="15"/>
          <w:szCs w:val="15"/>
          <w:b w:val="1"/>
          <w:bCs w:val="1"/>
          <w:color w:val="auto"/>
        </w:rPr>
        <w:t>Twenty-six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July 29,</w:t>
            </w:r>
          </w:p>
        </w:tc>
        <w:tc>
          <w:tcPr>
            <w:tcW w:w="6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July 30,</w:t>
            </w:r>
          </w:p>
        </w:tc>
      </w:tr>
      <w:tr>
        <w:trPr>
          <w:trHeight w:val="194"/>
        </w:trPr>
        <w:tc>
          <w:tcPr>
            <w:tcW w:w="5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2017</w:t>
            </w: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 xml:space="preserve">2016 </w:t>
            </w:r>
            <w:r>
              <w:rPr>
                <w:rFonts w:ascii="Arial" w:cs="Arial" w:eastAsia="Arial" w:hAnsi="Arial"/>
                <w:sz w:val="15"/>
                <w:szCs w:val="15"/>
                <w:color w:val="auto"/>
              </w:rPr>
              <w:t>*</w:t>
            </w:r>
          </w:p>
        </w:tc>
      </w:tr>
      <w:tr>
        <w:trPr>
          <w:trHeight w:val="187"/>
        </w:trPr>
        <w:tc>
          <w:tcPr>
            <w:tcW w:w="5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From operating activities:</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200" w:type="dxa"/>
            <w:vAlign w:val="bottom"/>
          </w:tcPr>
          <w:p>
            <w:pPr>
              <w:jc w:val="right"/>
              <w:ind w:right="863"/>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183"/>
              <w:spacing w:after="0"/>
              <w:rPr>
                <w:sz w:val="20"/>
                <w:szCs w:val="20"/>
                <w:color w:val="auto"/>
              </w:rPr>
            </w:pPr>
            <w:r>
              <w:rPr>
                <w:rFonts w:ascii="Arial" w:cs="Arial" w:eastAsia="Arial" w:hAnsi="Arial"/>
                <w:sz w:val="15"/>
                <w:szCs w:val="15"/>
                <w:b w:val="1"/>
                <w:bCs w:val="1"/>
                <w:color w:val="auto"/>
              </w:rPr>
              <w:t>231</w:t>
            </w:r>
          </w:p>
        </w:tc>
        <w:tc>
          <w:tcPr>
            <w:tcW w:w="4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318</w:t>
            </w:r>
          </w:p>
        </w:tc>
      </w:tr>
      <w:tr>
        <w:trPr>
          <w:trHeight w:val="353"/>
        </w:trPr>
        <w:tc>
          <w:tcPr>
            <w:tcW w:w="5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7"/>
        </w:trPr>
        <w:tc>
          <w:tcPr>
            <w:tcW w:w="580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1200" w:type="dxa"/>
            <w:vAlign w:val="bottom"/>
          </w:tcPr>
          <w:p>
            <w:pPr>
              <w:spacing w:after="0"/>
              <w:rPr>
                <w:sz w:val="17"/>
                <w:szCs w:val="17"/>
                <w:color w:val="auto"/>
              </w:rPr>
            </w:pPr>
          </w:p>
        </w:tc>
        <w:tc>
          <w:tcPr>
            <w:tcW w:w="680" w:type="dxa"/>
            <w:vAlign w:val="bottom"/>
          </w:tcPr>
          <w:p>
            <w:pPr>
              <w:jc w:val="right"/>
              <w:ind w:right="183"/>
              <w:spacing w:after="0"/>
              <w:rPr>
                <w:sz w:val="20"/>
                <w:szCs w:val="20"/>
                <w:color w:val="auto"/>
              </w:rPr>
            </w:pPr>
            <w:r>
              <w:rPr>
                <w:rFonts w:ascii="Arial" w:cs="Arial" w:eastAsia="Arial" w:hAnsi="Arial"/>
                <w:sz w:val="15"/>
                <w:szCs w:val="15"/>
                <w:b w:val="1"/>
                <w:bCs w:val="1"/>
                <w:color w:val="auto"/>
              </w:rPr>
              <w:t>83</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07"/>
        </w:trPr>
        <w:tc>
          <w:tcPr>
            <w:tcW w:w="5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Share-based compensation expense</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8</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07"/>
        </w:trPr>
        <w:tc>
          <w:tcPr>
            <w:tcW w:w="5800" w:type="dxa"/>
            <w:vAlign w:val="bottom"/>
          </w:tcPr>
          <w:p>
            <w:pPr>
              <w:ind w:left="260"/>
              <w:spacing w:after="0"/>
              <w:rPr>
                <w:sz w:val="20"/>
                <w:szCs w:val="20"/>
                <w:color w:val="auto"/>
              </w:rPr>
            </w:pPr>
            <w:r>
              <w:rPr>
                <w:rFonts w:ascii="Arial" w:cs="Arial" w:eastAsia="Arial" w:hAnsi="Arial"/>
                <w:sz w:val="15"/>
                <w:szCs w:val="15"/>
                <w:color w:val="auto"/>
              </w:rPr>
              <w:t>Qualified pension plan contributions</w:t>
            </w:r>
          </w:p>
        </w:tc>
        <w:tc>
          <w:tcPr>
            <w:tcW w:w="1200" w:type="dxa"/>
            <w:vAlign w:val="bottom"/>
          </w:tcPr>
          <w:p>
            <w:pPr>
              <w:spacing w:after="0"/>
              <w:rPr>
                <w:sz w:val="17"/>
                <w:szCs w:val="17"/>
                <w:color w:val="auto"/>
              </w:rPr>
            </w:pPr>
          </w:p>
        </w:tc>
        <w:tc>
          <w:tcPr>
            <w:tcW w:w="680" w:type="dxa"/>
            <w:vAlign w:val="bottom"/>
          </w:tcPr>
          <w:p>
            <w:pPr>
              <w:jc w:val="right"/>
              <w:ind w:right="143"/>
              <w:spacing w:after="0"/>
              <w:rPr>
                <w:sz w:val="20"/>
                <w:szCs w:val="20"/>
                <w:color w:val="auto"/>
              </w:rPr>
            </w:pPr>
            <w:r>
              <w:rPr>
                <w:rFonts w:ascii="Arial" w:cs="Arial" w:eastAsia="Arial" w:hAnsi="Arial"/>
                <w:sz w:val="15"/>
                <w:szCs w:val="15"/>
                <w:b w:val="1"/>
                <w:bCs w:val="1"/>
                <w:color w:val="auto"/>
              </w:rPr>
              <w:t>(25)</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7"/>
        </w:trPr>
        <w:tc>
          <w:tcPr>
            <w:tcW w:w="5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Change in assets and liabilities:</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Merchandise inventories</w:t>
            </w:r>
          </w:p>
        </w:tc>
        <w:tc>
          <w:tcPr>
            <w:tcW w:w="1200" w:type="dxa"/>
            <w:vAlign w:val="bottom"/>
          </w:tcPr>
          <w:p>
            <w:pPr>
              <w:spacing w:after="0"/>
              <w:rPr>
                <w:sz w:val="17"/>
                <w:szCs w:val="17"/>
                <w:color w:val="auto"/>
              </w:rPr>
            </w:pPr>
          </w:p>
        </w:tc>
        <w:tc>
          <w:tcPr>
            <w:tcW w:w="680" w:type="dxa"/>
            <w:vAlign w:val="bottom"/>
          </w:tcPr>
          <w:p>
            <w:pPr>
              <w:jc w:val="right"/>
              <w:ind w:right="183"/>
              <w:spacing w:after="0"/>
              <w:rPr>
                <w:sz w:val="20"/>
                <w:szCs w:val="20"/>
                <w:color w:val="auto"/>
              </w:rPr>
            </w:pPr>
            <w:r>
              <w:rPr>
                <w:rFonts w:ascii="Arial" w:cs="Arial" w:eastAsia="Arial" w:hAnsi="Arial"/>
                <w:sz w:val="15"/>
                <w:szCs w:val="15"/>
                <w:b w:val="1"/>
                <w:bCs w:val="1"/>
                <w:color w:val="auto"/>
              </w:rPr>
              <w:t>41</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07"/>
        </w:trPr>
        <w:tc>
          <w:tcPr>
            <w:tcW w:w="58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(93)</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Accrued and other liabilities</w:t>
            </w:r>
          </w:p>
        </w:tc>
        <w:tc>
          <w:tcPr>
            <w:tcW w:w="1200" w:type="dxa"/>
            <w:vAlign w:val="bottom"/>
          </w:tcPr>
          <w:p>
            <w:pPr>
              <w:spacing w:after="0"/>
              <w:rPr>
                <w:sz w:val="17"/>
                <w:szCs w:val="17"/>
                <w:color w:val="auto"/>
              </w:rPr>
            </w:pPr>
          </w:p>
        </w:tc>
        <w:tc>
          <w:tcPr>
            <w:tcW w:w="680" w:type="dxa"/>
            <w:vAlign w:val="bottom"/>
          </w:tcPr>
          <w:p>
            <w:pPr>
              <w:jc w:val="right"/>
              <w:ind w:right="143"/>
              <w:spacing w:after="0"/>
              <w:rPr>
                <w:sz w:val="20"/>
                <w:szCs w:val="20"/>
                <w:color w:val="auto"/>
              </w:rPr>
            </w:pPr>
            <w:r>
              <w:rPr>
                <w:rFonts w:ascii="Arial" w:cs="Arial" w:eastAsia="Arial" w:hAnsi="Arial"/>
                <w:sz w:val="15"/>
                <w:szCs w:val="15"/>
                <w:b w:val="1"/>
                <w:bCs w:val="1"/>
                <w:color w:val="auto"/>
              </w:rPr>
              <w:t>(38)</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07"/>
        </w:trPr>
        <w:tc>
          <w:tcPr>
            <w:tcW w:w="58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Pension litigation accrual</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50</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80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Other, net</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(6)</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8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1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251</w:t>
            </w:r>
          </w:p>
        </w:tc>
        <w:tc>
          <w:tcPr>
            <w:tcW w:w="4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w:t>
            </w:r>
          </w:p>
        </w:tc>
      </w:tr>
      <w:tr>
        <w:trPr>
          <w:trHeight w:val="187"/>
        </w:trPr>
        <w:tc>
          <w:tcPr>
            <w:tcW w:w="5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From investing activities:</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7"/>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Capital expenditures</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(150)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w:t>
            </w:r>
          </w:p>
        </w:tc>
      </w:tr>
      <w:tr>
        <w:trPr>
          <w:trHeight w:val="18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1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(150)</w:t>
            </w:r>
          </w:p>
        </w:tc>
        <w:tc>
          <w:tcPr>
            <w:tcW w:w="4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w:t>
            </w:r>
          </w:p>
        </w:tc>
      </w:tr>
      <w:tr>
        <w:trPr>
          <w:trHeight w:val="187"/>
        </w:trPr>
        <w:tc>
          <w:tcPr>
            <w:tcW w:w="5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From financing activities:</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Purchase of treasury shares</w:t>
            </w:r>
          </w:p>
        </w:tc>
        <w:tc>
          <w:tcPr>
            <w:tcW w:w="1200" w:type="dxa"/>
            <w:vAlign w:val="bottom"/>
          </w:tcPr>
          <w:p>
            <w:pPr>
              <w:spacing w:after="0"/>
              <w:rPr>
                <w:sz w:val="17"/>
                <w:szCs w:val="17"/>
                <w:color w:val="auto"/>
              </w:rPr>
            </w:pPr>
          </w:p>
        </w:tc>
        <w:tc>
          <w:tcPr>
            <w:tcW w:w="680" w:type="dxa"/>
            <w:vAlign w:val="bottom"/>
          </w:tcPr>
          <w:p>
            <w:pPr>
              <w:jc w:val="right"/>
              <w:ind w:right="143"/>
              <w:spacing w:after="0"/>
              <w:rPr>
                <w:sz w:val="20"/>
                <w:szCs w:val="20"/>
                <w:color w:val="auto"/>
              </w:rPr>
            </w:pPr>
            <w:r>
              <w:rPr>
                <w:rFonts w:ascii="Arial" w:cs="Arial" w:eastAsia="Arial" w:hAnsi="Arial"/>
                <w:sz w:val="15"/>
                <w:szCs w:val="15"/>
                <w:b w:val="1"/>
                <w:bCs w:val="1"/>
                <w:color w:val="auto"/>
              </w:rPr>
              <w:t>(59)</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(276)</w:t>
            </w: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Dividends paid on common stock</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(82)</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Proceeds from exercise of stock options</w:t>
            </w:r>
          </w:p>
        </w:tc>
        <w:tc>
          <w:tcPr>
            <w:tcW w:w="1200" w:type="dxa"/>
            <w:vAlign w:val="bottom"/>
          </w:tcPr>
          <w:p>
            <w:pPr>
              <w:spacing w:after="0"/>
              <w:rPr>
                <w:sz w:val="17"/>
                <w:szCs w:val="17"/>
                <w:color w:val="auto"/>
              </w:rPr>
            </w:pPr>
          </w:p>
        </w:tc>
        <w:tc>
          <w:tcPr>
            <w:tcW w:w="680" w:type="dxa"/>
            <w:vAlign w:val="bottom"/>
          </w:tcPr>
          <w:p>
            <w:pPr>
              <w:jc w:val="right"/>
              <w:ind w:right="183"/>
              <w:spacing w:after="0"/>
              <w:rPr>
                <w:sz w:val="20"/>
                <w:szCs w:val="20"/>
                <w:color w:val="auto"/>
              </w:rPr>
            </w:pPr>
            <w:r>
              <w:rPr>
                <w:rFonts w:ascii="Arial" w:cs="Arial" w:eastAsia="Arial" w:hAnsi="Arial"/>
                <w:sz w:val="15"/>
                <w:szCs w:val="15"/>
                <w:b w:val="1"/>
                <w:bCs w:val="1"/>
                <w:color w:val="auto"/>
              </w:rPr>
              <w:t>10</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Treasury stock reissued under employee stock plan</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5</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353"/>
        </w:trPr>
        <w:tc>
          <w:tcPr>
            <w:tcW w:w="5800" w:type="dxa"/>
            <w:vAlign w:val="bottom"/>
          </w:tcPr>
          <w:p>
            <w:pPr>
              <w:ind w:left="140"/>
              <w:spacing w:after="0"/>
              <w:rPr>
                <w:sz w:val="20"/>
                <w:szCs w:val="20"/>
                <w:color w:val="auto"/>
              </w:rPr>
            </w:pPr>
            <w:r>
              <w:rPr>
                <w:rFonts w:ascii="Arial" w:cs="Arial" w:eastAsia="Arial" w:hAnsi="Arial"/>
                <w:sz w:val="15"/>
                <w:szCs w:val="15"/>
                <w:color w:val="auto"/>
              </w:rPr>
              <w:t>Shares of common stock repurchased to satisfy tax withholding obligations</w:t>
            </w:r>
          </w:p>
        </w:tc>
        <w:tc>
          <w:tcPr>
            <w:tcW w:w="1200" w:type="dxa"/>
            <w:vAlign w:val="bottom"/>
          </w:tcPr>
          <w:p>
            <w:pPr>
              <w:spacing w:after="0"/>
              <w:rPr>
                <w:sz w:val="24"/>
                <w:szCs w:val="24"/>
                <w:color w:val="auto"/>
              </w:rPr>
            </w:pPr>
          </w:p>
        </w:tc>
        <w:tc>
          <w:tcPr>
            <w:tcW w:w="680" w:type="dxa"/>
            <w:vAlign w:val="bottom"/>
          </w:tcPr>
          <w:p>
            <w:pPr>
              <w:jc w:val="right"/>
              <w:ind w:right="143"/>
              <w:spacing w:after="0"/>
              <w:rPr>
                <w:sz w:val="20"/>
                <w:szCs w:val="20"/>
                <w:color w:val="auto"/>
              </w:rPr>
            </w:pPr>
            <w:r>
              <w:rPr>
                <w:rFonts w:ascii="Arial" w:cs="Arial" w:eastAsia="Arial" w:hAnsi="Arial"/>
                <w:sz w:val="15"/>
                <w:szCs w:val="15"/>
                <w:b w:val="1"/>
                <w:bCs w:val="1"/>
                <w:color w:val="auto"/>
              </w:rPr>
              <w:t>(9)</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7"/>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Payment of revolving credit agreement costs</w:t>
            </w:r>
          </w:p>
        </w:tc>
        <w:tc>
          <w:tcPr>
            <w:tcW w:w="1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87"/>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cash used in financing activities</w:t>
            </w:r>
          </w:p>
        </w:tc>
        <w:tc>
          <w:tcPr>
            <w:tcW w:w="1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(135)</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(340)</w:t>
            </w:r>
          </w:p>
        </w:tc>
      </w:tr>
      <w:tr>
        <w:trPr>
          <w:trHeight w:val="187"/>
        </w:trPr>
        <w:tc>
          <w:tcPr>
            <w:tcW w:w="58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365"/>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Effect of exchange rate fluctuations on cash, cash equivalents, and restricted cash</w:t>
            </w: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34</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187"/>
        </w:trPr>
        <w:tc>
          <w:tcPr>
            <w:tcW w:w="5800" w:type="dxa"/>
            <w:vAlign w:val="bottom"/>
            <w:shd w:val="clear" w:color="auto" w:fill="CCEEFF"/>
          </w:tcPr>
          <w:p>
            <w:pPr>
              <w:spacing w:after="0"/>
              <w:rPr>
                <w:sz w:val="20"/>
                <w:szCs w:val="20"/>
                <w:color w:val="auto"/>
              </w:rPr>
            </w:pPr>
            <w:r>
              <w:rPr>
                <w:rFonts w:ascii="Arial" w:cs="Arial" w:eastAsia="Arial" w:hAnsi="Arial"/>
                <w:sz w:val="15"/>
                <w:szCs w:val="15"/>
                <w:color w:val="auto"/>
              </w:rPr>
              <w:t>Net change in cash, cash equivalents, and restricted cash</w:t>
            </w:r>
          </w:p>
        </w:tc>
        <w:tc>
          <w:tcPr>
            <w:tcW w:w="1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207"/>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1,073</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1,048</w:t>
            </w:r>
          </w:p>
        </w:tc>
      </w:tr>
      <w:tr>
        <w:trPr>
          <w:trHeight w:val="179"/>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120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1,073</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w:t>
            </w:r>
          </w:p>
        </w:tc>
      </w:tr>
      <w:tr>
        <w:trPr>
          <w:trHeight w:val="195"/>
        </w:trPr>
        <w:tc>
          <w:tcPr>
            <w:tcW w:w="5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paid during the period:</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Interest</w:t>
            </w:r>
          </w:p>
        </w:tc>
        <w:tc>
          <w:tcPr>
            <w:tcW w:w="1200" w:type="dxa"/>
            <w:vAlign w:val="bottom"/>
          </w:tcPr>
          <w:p>
            <w:pPr>
              <w:jc w:val="right"/>
              <w:ind w:right="863"/>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183"/>
              <w:spacing w:after="0"/>
              <w:rPr>
                <w:sz w:val="20"/>
                <w:szCs w:val="20"/>
                <w:color w:val="auto"/>
              </w:rPr>
            </w:pPr>
            <w:r>
              <w:rPr>
                <w:rFonts w:ascii="Arial" w:cs="Arial" w:eastAsia="Arial" w:hAnsi="Arial"/>
                <w:sz w:val="15"/>
                <w:szCs w:val="15"/>
                <w:b w:val="1"/>
                <w:bCs w:val="1"/>
                <w:color w:val="auto"/>
              </w:rPr>
              <w:t>6</w:t>
            </w:r>
          </w:p>
        </w:tc>
        <w:tc>
          <w:tcPr>
            <w:tcW w:w="4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07"/>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Income taxes</w:t>
            </w:r>
          </w:p>
        </w:tc>
        <w:tc>
          <w:tcPr>
            <w:tcW w:w="120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155</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w:t>
            </w:r>
          </w:p>
        </w:tc>
      </w:tr>
    </w:tbl>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185" w:lineRule="exact"/>
        <w:rPr>
          <w:sz w:val="20"/>
          <w:szCs w:val="20"/>
          <w:color w:val="auto"/>
        </w:rPr>
      </w:pPr>
    </w:p>
    <w:p>
      <w:pPr>
        <w:ind w:right="60" w:firstLine="5"/>
        <w:spacing w:after="0" w:line="246" w:lineRule="auto"/>
        <w:tabs>
          <w:tab w:leader="none" w:pos="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Amounts for the twenty-six weeks ended July 30, 2016 have been revised from previously reported amounts to reflect the adoption of new accounting standards in the first quarter of 2017. For additional information, see the </w:t>
      </w:r>
      <w:r>
        <w:rPr>
          <w:rFonts w:ascii="Arial" w:cs="Arial" w:eastAsia="Arial" w:hAnsi="Arial"/>
          <w:sz w:val="12"/>
          <w:szCs w:val="12"/>
          <w:i w:val="1"/>
          <w:iCs w:val="1"/>
          <w:color w:val="auto"/>
        </w:rPr>
        <w:t>Recently Adopted Accounting Pronouncements</w:t>
      </w:r>
      <w:r>
        <w:rPr>
          <w:rFonts w:ascii="Arial" w:cs="Arial" w:eastAsia="Arial" w:hAnsi="Arial"/>
          <w:sz w:val="12"/>
          <w:szCs w:val="12"/>
          <w:color w:val="auto"/>
        </w:rPr>
        <w:t xml:space="preserve"> note.</w:t>
      </w:r>
    </w:p>
    <w:p>
      <w:pPr>
        <w:spacing w:after="0" w:line="200" w:lineRule="exact"/>
        <w:rPr>
          <w:sz w:val="20"/>
          <w:szCs w:val="20"/>
          <w:color w:val="auto"/>
        </w:rPr>
      </w:pP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60"/>
          </w:cols>
          <w:pgMar w:left="1400" w:top="115" w:right="133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of Presentation</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of the fiscal year ending February 3, 2018 and of the fiscal year ended January 28, 2017.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January 28, 2017, as filed with the U.S. Securities and Exchange Commission (the “SEC”) on March 23, 2017.</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 Accounting Pronouncements</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from Contracts with Customers</w:t>
      </w:r>
      <w:r>
        <w:rPr>
          <w:rFonts w:ascii="Arial" w:cs="Arial" w:eastAsia="Arial" w:hAnsi="Arial"/>
          <w:sz w:val="15"/>
          <w:szCs w:val="15"/>
          <w:color w:val="auto"/>
        </w:rPr>
        <w:t>. The core principle of this amendment is that an entity should recognize revenue to depict the transfer</w:t>
      </w:r>
      <w:r>
        <w:rPr>
          <w:rFonts w:ascii="Arial" w:cs="Arial" w:eastAsia="Arial" w:hAnsi="Arial"/>
          <w:sz w:val="15"/>
          <w:szCs w:val="15"/>
          <w:i w:val="1"/>
          <w:iCs w:val="1"/>
          <w:color w:val="auto"/>
        </w:rPr>
        <w:t xml:space="preserve"> </w:t>
      </w:r>
      <w:r>
        <w:rPr>
          <w:rFonts w:ascii="Arial" w:cs="Arial" w:eastAsia="Arial" w:hAnsi="Arial"/>
          <w:sz w:val="15"/>
          <w:szCs w:val="15"/>
          <w:color w:val="auto"/>
        </w:rPr>
        <w:t>of promised goods or services to customers in an amount that reflects the consideration to which the entity expects to be entitled in exchange for those goods or services. ASU 2014-09, as amended by ASU 2015-14, ASU 2016-08, ASU 2016-10, ASU 2016-12 and ASU 2016-20, is effective for annual reporting periods beginning after December 15, 2017, and interim periods therein. These ASUs can be adopted either retrospectively to each prior reporting period presented or as a cumulative-effect adjustment as of the date of adoption. The Company does not expect to adopt these ASUs until required, and has not yet selected the transition method. Based on an evaluation of the standard as a whole, the Company has identified gift card breakage, direct-response advertising, and principal versus agent considerations as areas which will most likely be affected by the new revenue recognition guidance. We are in the process of finalizing the analysis of our revenue streams and quantifying the effects on the areas discussed above, and we currently do not expect the adoption will significantly affect our consolidated statements of operations, financial position or cash flows.</w:t>
      </w:r>
    </w:p>
    <w:p>
      <w:pPr>
        <w:spacing w:after="0" w:line="14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This ASU requires lessees to recognize a lease liability and a right-of-use asset for all leases, as well as additional disclosure regarding leasing arrangements. This standard will be effective for fiscal years beginning after December 15, 2018, including interim periods therein, and requires a modified retrospective adoption, with earlier adoption permitted. The Company does not expect to adopt this ASU until required and is evaluating the effect of this guidance. The Company has historically presented a non-GAAP measure to adjust its balance sheet to present operating leases as if they were capital leases. Based upon that analysis and preliminary evaluation of the standard, we estimate the adoption will result in the addition of $3 billion to $4 billion of assets and liabilities to our consolidated balance sheet, with no significant change to our consolidated statements of operations or cash flows.</w:t>
      </w:r>
    </w:p>
    <w:p>
      <w:pPr>
        <w:spacing w:after="0" w:line="141"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In October 2016, the FASB issued ASU 2016-16, </w:t>
      </w:r>
      <w:r>
        <w:rPr>
          <w:rFonts w:ascii="Arial" w:cs="Arial" w:eastAsia="Arial" w:hAnsi="Arial"/>
          <w:sz w:val="15"/>
          <w:szCs w:val="15"/>
          <w:i w:val="1"/>
          <w:iCs w:val="1"/>
          <w:color w:val="auto"/>
        </w:rPr>
        <w:t>Income Taxes (Topic 740): Intra-Entity Transfers of Assets Other Than Inventory</w:t>
      </w:r>
      <w:r>
        <w:rPr>
          <w:rFonts w:ascii="Arial" w:cs="Arial" w:eastAsia="Arial" w:hAnsi="Arial"/>
          <w:sz w:val="15"/>
          <w:szCs w:val="15"/>
          <w:color w:val="auto"/>
        </w:rPr>
        <w:t>. ASU 2016-16 requires recognition of income tax consequences of an intra-entity transfer of an asset other than inventory when the transfer occurs. This ASU is effective for annual reporting periods beginning after December 15, 2017, including interim periods therein, with early adoption permitted. The Company does not expect to adopt this ASU until required. The amendments in this update should be applied on a modified retrospective basis through a cumulative-effect adjustment directly to retained earnings as of the beginning of the period of adoption. Upon adoption, a company would write off any income tax effects that had been deferred from past intercompany transactions involving non-inventory assets to opening retained earnings. In addition, an entity would record deferred tax assets with an offset to opening retained earnings for amounts that entity had previously not recognized under existing guidance but would recognize under the new guidance. While we could initiate additional relevant transactions prior to this ASU’s adoption date, based on deferred tax amounts related to applicable past intercompany transactions and the foreign exchange rates as of July 29, 2017, we expect the adoption will result in an increase in deferred income tax assets of approximately $40 million to $45 million.</w:t>
      </w:r>
    </w:p>
    <w:p>
      <w:pPr>
        <w:spacing w:after="0" w:line="332"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Other recently issued accounting pronouncements did not, or are not believed by management to, have a material effect on the Company’s present or future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5817870" cy="48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Recently Adopted Accounting Pronouncements</w:t>
      </w:r>
    </w:p>
    <w:p>
      <w:pPr>
        <w:spacing w:after="0" w:line="10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In March 2016, the FASB issued ASU 2016-09, </w:t>
      </w:r>
      <w:r>
        <w:rPr>
          <w:rFonts w:ascii="Arial" w:cs="Arial" w:eastAsia="Arial" w:hAnsi="Arial"/>
          <w:sz w:val="15"/>
          <w:szCs w:val="15"/>
          <w:i w:val="1"/>
          <w:iCs w:val="1"/>
          <w:color w:val="auto"/>
        </w:rPr>
        <w:t>Improvements to Employee Share-Based Payment Accounting.</w:t>
      </w:r>
      <w:r>
        <w:rPr>
          <w:rFonts w:ascii="Arial" w:cs="Arial" w:eastAsia="Arial" w:hAnsi="Arial"/>
          <w:sz w:val="15"/>
          <w:szCs w:val="15"/>
          <w:color w:val="auto"/>
        </w:rPr>
        <w:t xml:space="preserve"> ASU 2016-09 simplifies the accounting for share-based payment transactions, including tax consequences, forfeitures, and classifications of the tax related items in the statement of cash flows. The Company adopted ASU 2016-09 during the first quarter of 2017. Amendments relating to accounting for excess tax benefits and deficiencies have been adopted prospectively. For the twenty-six weeks ended July 29, 2017, the Company recorded excess tax benefits related to share-based compensation awards of $7 million to the income statement, within the income tax provision, whereas such benefits were previously recognized in equity. Excess tax benefits recorded for the thirteen weeks ended July 29, 2017 were not significant. Also, in the diluted net earnings per share calculation, when applying the treasury stock method for shares that could be repurchased, the assumed proceeds no longer include the amount of excess tax benefits. This ASU also requires that we present excess tax benefits or deficiencies as operating activities in our condensed consolidated statement of cash flow. As a result of adopting this change retrospectively, we reclassified excess tax benefits of $10 million which were previously classified as cash flows from financing activities to operating activities for the twenty-six weeks ended July 30, 2016. Additionally, the presentation of employee taxes paid to taxing authorities for share-based transactions of $6 million, previously classified as cash flows from operating activities, were reclassified to financing activities for the twenty-six weeks ended July 30, 2016. The Company has made a policy election of recording forfeitures as they occur instead of estimating forfeitures using a modified retrospective approach. The cumulative effect of this change was not significant.</w:t>
      </w:r>
    </w:p>
    <w:p>
      <w:pPr>
        <w:spacing w:after="0" w:line="5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In November 2016, the FASB issued ASU 2016-18, </w:t>
      </w:r>
      <w:r>
        <w:rPr>
          <w:rFonts w:ascii="Arial" w:cs="Arial" w:eastAsia="Arial" w:hAnsi="Arial"/>
          <w:sz w:val="15"/>
          <w:szCs w:val="15"/>
          <w:i w:val="1"/>
          <w:iCs w:val="1"/>
          <w:color w:val="auto"/>
        </w:rPr>
        <w:t>Statement of Cash Flows (Topic 230): Restricted Cash.</w:t>
      </w:r>
      <w:r>
        <w:rPr>
          <w:rFonts w:ascii="Arial" w:cs="Arial" w:eastAsia="Arial" w:hAnsi="Arial"/>
          <w:sz w:val="15"/>
          <w:szCs w:val="15"/>
          <w:color w:val="auto"/>
        </w:rPr>
        <w:t xml:space="preserve"> ASU 2016-18 requires that a statement of cash flows explain the change during the period in the total cash, cash equivalents, and amounts generally described as restricted cash and restricted cash equivalents when reconciling the beginning-of-period and end-of-period total amounts. This ASU is effective for annual reporting periods beginning after December 15, 2017 including interim periods therein, with early adoption permitted. The Company has adopted this ASU as of the first quarter of 2017. Accordingly, we restated our cash and cash equivalents balances in the condensed consolidated statements of cash flows to include restricted cash of $27 million as of July 30, 2016, January 30, 2016, and January 28, 2017. Please see Note 3, </w:t>
      </w:r>
      <w:r>
        <w:rPr>
          <w:rFonts w:ascii="Arial" w:cs="Arial" w:eastAsia="Arial" w:hAnsi="Arial"/>
          <w:sz w:val="15"/>
          <w:szCs w:val="15"/>
          <w:i w:val="1"/>
          <w:iCs w:val="1"/>
          <w:color w:val="auto"/>
        </w:rPr>
        <w:t>Restricted Cash</w:t>
      </w:r>
      <w:r>
        <w:rPr>
          <w:rFonts w:ascii="Arial" w:cs="Arial" w:eastAsia="Arial" w:hAnsi="Arial"/>
          <w:sz w:val="15"/>
          <w:szCs w:val="15"/>
          <w:color w:val="auto"/>
        </w:rPr>
        <w:t>, for a reconciliation of cash and cash equivalents as presented on our condensed consolidated balance sheets to cash, cash equivalents, and restricted cash as reported on our condensed consolidated statements of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Segment Information</w:t>
      </w:r>
    </w:p>
    <w:p>
      <w:pPr>
        <w:spacing w:after="0" w:line="101" w:lineRule="exact"/>
        <w:rPr>
          <w:sz w:val="20"/>
          <w:szCs w:val="20"/>
          <w:color w:val="auto"/>
        </w:rPr>
      </w:pPr>
    </w:p>
    <w:p>
      <w:pPr>
        <w:jc w:val="both"/>
        <w:ind w:left="20" w:right="20"/>
        <w:spacing w:after="0" w:line="242" w:lineRule="auto"/>
        <w:rPr>
          <w:sz w:val="20"/>
          <w:szCs w:val="20"/>
          <w:color w:val="auto"/>
        </w:rPr>
      </w:pPr>
      <w:r>
        <w:rPr>
          <w:rFonts w:ascii="Arial" w:cs="Arial" w:eastAsia="Arial" w:hAnsi="Arial"/>
          <w:sz w:val="15"/>
          <w:szCs w:val="15"/>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pension litigation charge, corporate expense, non-operating income, and net interest (income) / expense.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Thirteen weeks ended</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23"/>
              <w:spacing w:after="0"/>
              <w:rPr>
                <w:sz w:val="20"/>
                <w:szCs w:val="20"/>
                <w:color w:val="auto"/>
              </w:rPr>
            </w:pPr>
            <w:r>
              <w:rPr>
                <w:rFonts w:ascii="Arial" w:cs="Arial" w:eastAsia="Arial" w:hAnsi="Arial"/>
                <w:sz w:val="15"/>
                <w:szCs w:val="15"/>
                <w:b w:val="1"/>
                <w:bCs w:val="1"/>
                <w:color w:val="auto"/>
              </w:rPr>
              <w:t>Twenty-six weeks ended</w:t>
            </w:r>
          </w:p>
        </w:tc>
      </w:tr>
      <w:tr>
        <w:trPr>
          <w:trHeight w:val="162"/>
        </w:trPr>
        <w:tc>
          <w:tcPr>
            <w:tcW w:w="30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83"/>
              <w:spacing w:after="0" w:line="163" w:lineRule="exact"/>
              <w:rPr>
                <w:sz w:val="20"/>
                <w:szCs w:val="20"/>
                <w:color w:val="auto"/>
              </w:rPr>
            </w:pPr>
            <w:r>
              <w:rPr>
                <w:rFonts w:ascii="Arial" w:cs="Arial" w:eastAsia="Arial" w:hAnsi="Arial"/>
                <w:sz w:val="15"/>
                <w:szCs w:val="15"/>
                <w:b w:val="1"/>
                <w:bCs w:val="1"/>
                <w:color w:val="auto"/>
              </w:rPr>
              <w:t>July 29, 2017</w:t>
            </w:r>
          </w:p>
        </w:tc>
        <w:tc>
          <w:tcPr>
            <w:tcW w:w="1380" w:type="dxa"/>
            <w:vAlign w:val="bottom"/>
            <w:tcBorders>
              <w:bottom w:val="single" w:sz="8" w:color="auto"/>
            </w:tcBorders>
            <w:gridSpan w:val="2"/>
          </w:tcPr>
          <w:p>
            <w:pPr>
              <w:jc w:val="right"/>
              <w:ind w:right="183"/>
              <w:spacing w:after="0" w:line="163" w:lineRule="exact"/>
              <w:rPr>
                <w:sz w:val="20"/>
                <w:szCs w:val="20"/>
                <w:color w:val="auto"/>
              </w:rPr>
            </w:pPr>
            <w:r>
              <w:rPr>
                <w:rFonts w:ascii="Arial" w:cs="Arial" w:eastAsia="Arial" w:hAnsi="Arial"/>
                <w:sz w:val="15"/>
                <w:szCs w:val="15"/>
                <w:b w:val="1"/>
                <w:bCs w:val="1"/>
                <w:color w:val="auto"/>
              </w:rPr>
              <w:t>July 30, 2016</w:t>
            </w:r>
          </w:p>
        </w:tc>
        <w:tc>
          <w:tcPr>
            <w:tcW w:w="1400" w:type="dxa"/>
            <w:vAlign w:val="bottom"/>
            <w:tcBorders>
              <w:bottom w:val="single" w:sz="8" w:color="auto"/>
            </w:tcBorders>
            <w:gridSpan w:val="2"/>
          </w:tcPr>
          <w:p>
            <w:pPr>
              <w:jc w:val="right"/>
              <w:ind w:right="203"/>
              <w:spacing w:after="0" w:line="163" w:lineRule="exact"/>
              <w:rPr>
                <w:sz w:val="20"/>
                <w:szCs w:val="20"/>
                <w:color w:val="auto"/>
              </w:rPr>
            </w:pPr>
            <w:r>
              <w:rPr>
                <w:rFonts w:ascii="Arial" w:cs="Arial" w:eastAsia="Arial" w:hAnsi="Arial"/>
                <w:sz w:val="15"/>
                <w:szCs w:val="15"/>
                <w:b w:val="1"/>
                <w:bCs w:val="1"/>
                <w:color w:val="auto"/>
              </w:rPr>
              <w:t>July 29, 2017</w:t>
            </w:r>
          </w:p>
        </w:tc>
        <w:tc>
          <w:tcPr>
            <w:tcW w:w="1240" w:type="dxa"/>
            <w:vAlign w:val="bottom"/>
            <w:tcBorders>
              <w:bottom w:val="single" w:sz="8" w:color="auto"/>
            </w:tcBorders>
            <w:gridSpan w:val="2"/>
          </w:tcPr>
          <w:p>
            <w:pPr>
              <w:ind w:left="180"/>
              <w:spacing w:after="0" w:line="163" w:lineRule="exact"/>
              <w:rPr>
                <w:sz w:val="20"/>
                <w:szCs w:val="20"/>
                <w:color w:val="auto"/>
              </w:rPr>
            </w:pPr>
            <w:r>
              <w:rPr>
                <w:rFonts w:ascii="Arial" w:cs="Arial" w:eastAsia="Arial" w:hAnsi="Arial"/>
                <w:sz w:val="15"/>
                <w:szCs w:val="15"/>
                <w:b w:val="1"/>
                <w:bCs w:val="1"/>
                <w:color w:val="auto"/>
              </w:rPr>
              <w:t>July 30, 2016</w:t>
            </w:r>
          </w:p>
        </w:tc>
      </w:tr>
      <w:tr>
        <w:trPr>
          <w:trHeight w:val="162"/>
        </w:trPr>
        <w:tc>
          <w:tcPr>
            <w:tcW w:w="304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Sales</w:t>
            </w: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 in millions)</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0"/>
        </w:trPr>
        <w:tc>
          <w:tcPr>
            <w:tcW w:w="3040" w:type="dxa"/>
            <w:vAlign w:val="bottom"/>
          </w:tcPr>
          <w:p>
            <w:pPr>
              <w:spacing w:after="0" w:line="170" w:lineRule="exact"/>
              <w:rPr>
                <w:sz w:val="20"/>
                <w:szCs w:val="20"/>
                <w:color w:val="auto"/>
              </w:rPr>
            </w:pPr>
            <w:r>
              <w:rPr>
                <w:rFonts w:ascii="Arial" w:cs="Arial" w:eastAsia="Arial" w:hAnsi="Arial"/>
                <w:sz w:val="15"/>
                <w:szCs w:val="15"/>
                <w:color w:val="auto"/>
              </w:rPr>
              <w:t>Athletic Stores</w:t>
            </w:r>
          </w:p>
        </w:tc>
        <w:tc>
          <w:tcPr>
            <w:tcW w:w="1060" w:type="dxa"/>
            <w:vAlign w:val="bottom"/>
          </w:tcPr>
          <w:p>
            <w:pPr>
              <w:jc w:val="right"/>
              <w:ind w:right="43"/>
              <w:spacing w:after="0" w:line="170" w:lineRule="exact"/>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123"/>
              <w:spacing w:after="0" w:line="170" w:lineRule="exact"/>
              <w:rPr>
                <w:sz w:val="20"/>
                <w:szCs w:val="20"/>
                <w:color w:val="auto"/>
              </w:rPr>
            </w:pPr>
            <w:r>
              <w:rPr>
                <w:rFonts w:ascii="Arial" w:cs="Arial" w:eastAsia="Arial" w:hAnsi="Arial"/>
                <w:sz w:val="15"/>
                <w:szCs w:val="15"/>
                <w:b w:val="1"/>
                <w:bCs w:val="1"/>
                <w:color w:val="auto"/>
              </w:rPr>
              <w:t>1,485</w:t>
            </w:r>
          </w:p>
        </w:tc>
        <w:tc>
          <w:tcPr>
            <w:tcW w:w="780" w:type="dxa"/>
            <w:vAlign w:val="bottom"/>
          </w:tcPr>
          <w:p>
            <w:pPr>
              <w:jc w:val="right"/>
              <w:ind w:right="423"/>
              <w:spacing w:after="0" w:line="170"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123"/>
              <w:spacing w:after="0" w:line="170" w:lineRule="exact"/>
              <w:rPr>
                <w:sz w:val="20"/>
                <w:szCs w:val="20"/>
                <w:color w:val="auto"/>
              </w:rPr>
            </w:pPr>
            <w:r>
              <w:rPr>
                <w:rFonts w:ascii="Arial" w:cs="Arial" w:eastAsia="Arial" w:hAnsi="Arial"/>
                <w:sz w:val="15"/>
                <w:szCs w:val="15"/>
                <w:color w:val="auto"/>
              </w:rPr>
              <w:t>1,576</w:t>
            </w:r>
          </w:p>
        </w:tc>
        <w:tc>
          <w:tcPr>
            <w:tcW w:w="440" w:type="dxa"/>
            <w:vAlign w:val="bottom"/>
          </w:tcPr>
          <w:p>
            <w:pPr>
              <w:jc w:val="right"/>
              <w:ind w:right="83"/>
              <w:spacing w:after="0" w:line="170" w:lineRule="exact"/>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43"/>
              <w:spacing w:after="0" w:line="170" w:lineRule="exact"/>
              <w:rPr>
                <w:sz w:val="20"/>
                <w:szCs w:val="20"/>
                <w:color w:val="auto"/>
              </w:rPr>
            </w:pPr>
            <w:r>
              <w:rPr>
                <w:rFonts w:ascii="Arial" w:cs="Arial" w:eastAsia="Arial" w:hAnsi="Arial"/>
                <w:sz w:val="15"/>
                <w:szCs w:val="15"/>
                <w:b w:val="1"/>
                <w:bCs w:val="1"/>
                <w:color w:val="auto"/>
              </w:rPr>
              <w:t>3,207</w:t>
            </w:r>
          </w:p>
        </w:tc>
        <w:tc>
          <w:tcPr>
            <w:tcW w:w="540" w:type="dxa"/>
            <w:vAlign w:val="bottom"/>
          </w:tcPr>
          <w:p>
            <w:pPr>
              <w:ind w:left="180"/>
              <w:spacing w:after="0" w:line="170"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70" w:lineRule="exact"/>
              <w:rPr>
                <w:sz w:val="20"/>
                <w:szCs w:val="20"/>
                <w:color w:val="auto"/>
              </w:rPr>
            </w:pPr>
            <w:r>
              <w:rPr>
                <w:rFonts w:ascii="Arial" w:cs="Arial" w:eastAsia="Arial" w:hAnsi="Arial"/>
                <w:sz w:val="15"/>
                <w:szCs w:val="15"/>
                <w:color w:val="auto"/>
              </w:rPr>
              <w:t>3,311</w:t>
            </w:r>
          </w:p>
        </w:tc>
      </w:tr>
      <w:tr>
        <w:trPr>
          <w:trHeight w:val="170"/>
        </w:trPr>
        <w:tc>
          <w:tcPr>
            <w:tcW w:w="30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5"/>
                <w:szCs w:val="15"/>
                <w:color w:val="auto"/>
              </w:rPr>
              <w:t>Direct-to-Customers</w:t>
            </w:r>
          </w:p>
        </w:tc>
        <w:tc>
          <w:tcPr>
            <w:tcW w:w="10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23"/>
              <w:spacing w:after="0" w:line="170" w:lineRule="exact"/>
              <w:rPr>
                <w:sz w:val="20"/>
                <w:szCs w:val="20"/>
                <w:color w:val="auto"/>
              </w:rPr>
            </w:pPr>
            <w:r>
              <w:rPr>
                <w:rFonts w:ascii="Arial" w:cs="Arial" w:eastAsia="Arial" w:hAnsi="Arial"/>
                <w:sz w:val="15"/>
                <w:szCs w:val="15"/>
                <w:b w:val="1"/>
                <w:bCs w:val="1"/>
                <w:color w:val="auto"/>
              </w:rPr>
              <w:t>216</w:t>
            </w:r>
          </w:p>
        </w:tc>
        <w:tc>
          <w:tcPr>
            <w:tcW w:w="7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23"/>
              <w:spacing w:after="0" w:line="170" w:lineRule="exact"/>
              <w:rPr>
                <w:sz w:val="20"/>
                <w:szCs w:val="20"/>
                <w:color w:val="auto"/>
              </w:rPr>
            </w:pPr>
            <w:r>
              <w:rPr>
                <w:rFonts w:ascii="Arial" w:cs="Arial" w:eastAsia="Arial" w:hAnsi="Arial"/>
                <w:sz w:val="15"/>
                <w:szCs w:val="15"/>
                <w:color w:val="auto"/>
              </w:rPr>
              <w:t>204</w:t>
            </w: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43"/>
              <w:spacing w:after="0" w:line="170" w:lineRule="exact"/>
              <w:rPr>
                <w:sz w:val="20"/>
                <w:szCs w:val="20"/>
                <w:color w:val="auto"/>
              </w:rPr>
            </w:pPr>
            <w:r>
              <w:rPr>
                <w:rFonts w:ascii="Arial" w:cs="Arial" w:eastAsia="Arial" w:hAnsi="Arial"/>
                <w:sz w:val="15"/>
                <w:szCs w:val="15"/>
                <w:b w:val="1"/>
                <w:bCs w:val="1"/>
                <w:color w:val="auto"/>
              </w:rPr>
              <w:t>495</w:t>
            </w:r>
          </w:p>
        </w:tc>
        <w:tc>
          <w:tcPr>
            <w:tcW w:w="5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456</w:t>
            </w:r>
          </w:p>
        </w:tc>
      </w:tr>
      <w:tr>
        <w:trPr>
          <w:trHeight w:val="162"/>
        </w:trPr>
        <w:tc>
          <w:tcPr>
            <w:tcW w:w="304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Total sales</w:t>
            </w:r>
          </w:p>
        </w:tc>
        <w:tc>
          <w:tcPr>
            <w:tcW w:w="1060" w:type="dxa"/>
            <w:vAlign w:val="bottom"/>
            <w:tcBorders>
              <w:bottom w:val="single" w:sz="8" w:color="auto"/>
            </w:tcBorders>
          </w:tcPr>
          <w:p>
            <w:pPr>
              <w:jc w:val="right"/>
              <w:ind w:right="43"/>
              <w:spacing w:after="0" w:line="163"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1,701</w:t>
            </w:r>
          </w:p>
        </w:tc>
        <w:tc>
          <w:tcPr>
            <w:tcW w:w="780" w:type="dxa"/>
            <w:vAlign w:val="bottom"/>
            <w:tcBorders>
              <w:bottom w:val="single" w:sz="8" w:color="auto"/>
            </w:tcBorders>
          </w:tcPr>
          <w:p>
            <w:pPr>
              <w:jc w:val="right"/>
              <w:ind w:right="423"/>
              <w:spacing w:after="0" w:line="163"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color w:val="auto"/>
              </w:rPr>
              <w:t>1,780</w:t>
            </w:r>
          </w:p>
        </w:tc>
        <w:tc>
          <w:tcPr>
            <w:tcW w:w="440" w:type="dxa"/>
            <w:vAlign w:val="bottom"/>
            <w:tcBorders>
              <w:bottom w:val="single" w:sz="8" w:color="auto"/>
            </w:tcBorders>
          </w:tcPr>
          <w:p>
            <w:pPr>
              <w:jc w:val="right"/>
              <w:ind w:right="83"/>
              <w:spacing w:after="0" w:line="163"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43"/>
              <w:spacing w:after="0" w:line="163" w:lineRule="exact"/>
              <w:rPr>
                <w:sz w:val="20"/>
                <w:szCs w:val="20"/>
                <w:color w:val="auto"/>
              </w:rPr>
            </w:pPr>
            <w:r>
              <w:rPr>
                <w:rFonts w:ascii="Arial" w:cs="Arial" w:eastAsia="Arial" w:hAnsi="Arial"/>
                <w:sz w:val="15"/>
                <w:szCs w:val="15"/>
                <w:b w:val="1"/>
                <w:bCs w:val="1"/>
                <w:color w:val="auto"/>
              </w:rPr>
              <w:t>3,702</w:t>
            </w:r>
          </w:p>
        </w:tc>
        <w:tc>
          <w:tcPr>
            <w:tcW w:w="540" w:type="dxa"/>
            <w:vAlign w:val="bottom"/>
            <w:tcBorders>
              <w:bottom w:val="single" w:sz="8" w:color="auto"/>
            </w:tcBorders>
          </w:tcPr>
          <w:p>
            <w:pPr>
              <w:ind w:left="180"/>
              <w:spacing w:after="0" w:line="163"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3,767</w:t>
            </w:r>
          </w:p>
        </w:tc>
      </w:tr>
      <w:tr>
        <w:trPr>
          <w:trHeight w:val="162"/>
        </w:trPr>
        <w:tc>
          <w:tcPr>
            <w:tcW w:w="304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Operating Results</w:t>
            </w: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0"/>
        </w:trPr>
        <w:tc>
          <w:tcPr>
            <w:tcW w:w="3040" w:type="dxa"/>
            <w:vAlign w:val="bottom"/>
          </w:tcPr>
          <w:p>
            <w:pPr>
              <w:spacing w:after="0" w:line="170" w:lineRule="exact"/>
              <w:rPr>
                <w:sz w:val="20"/>
                <w:szCs w:val="20"/>
                <w:color w:val="auto"/>
              </w:rPr>
            </w:pPr>
            <w:r>
              <w:rPr>
                <w:rFonts w:ascii="Arial" w:cs="Arial" w:eastAsia="Arial" w:hAnsi="Arial"/>
                <w:sz w:val="15"/>
                <w:szCs w:val="15"/>
                <w:color w:val="auto"/>
              </w:rPr>
              <w:t>Athletic Stores</w:t>
            </w:r>
          </w:p>
        </w:tc>
        <w:tc>
          <w:tcPr>
            <w:tcW w:w="1060" w:type="dxa"/>
            <w:vAlign w:val="bottom"/>
          </w:tcPr>
          <w:p>
            <w:pPr>
              <w:jc w:val="right"/>
              <w:ind w:right="43"/>
              <w:spacing w:after="0" w:line="170" w:lineRule="exact"/>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123"/>
              <w:spacing w:after="0" w:line="170" w:lineRule="exact"/>
              <w:rPr>
                <w:sz w:val="20"/>
                <w:szCs w:val="20"/>
                <w:color w:val="auto"/>
              </w:rPr>
            </w:pPr>
            <w:r>
              <w:rPr>
                <w:rFonts w:ascii="Arial" w:cs="Arial" w:eastAsia="Arial" w:hAnsi="Arial"/>
                <w:sz w:val="15"/>
                <w:szCs w:val="15"/>
                <w:b w:val="1"/>
                <w:bCs w:val="1"/>
                <w:color w:val="auto"/>
              </w:rPr>
              <w:t>109</w:t>
            </w:r>
          </w:p>
        </w:tc>
        <w:tc>
          <w:tcPr>
            <w:tcW w:w="780" w:type="dxa"/>
            <w:vAlign w:val="bottom"/>
          </w:tcPr>
          <w:p>
            <w:pPr>
              <w:jc w:val="right"/>
              <w:ind w:right="423"/>
              <w:spacing w:after="0" w:line="170"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123"/>
              <w:spacing w:after="0" w:line="170" w:lineRule="exact"/>
              <w:rPr>
                <w:sz w:val="20"/>
                <w:szCs w:val="20"/>
                <w:color w:val="auto"/>
              </w:rPr>
            </w:pPr>
            <w:r>
              <w:rPr>
                <w:rFonts w:ascii="Arial" w:cs="Arial" w:eastAsia="Arial" w:hAnsi="Arial"/>
                <w:sz w:val="15"/>
                <w:szCs w:val="15"/>
                <w:color w:val="auto"/>
              </w:rPr>
              <w:t>193</w:t>
            </w:r>
          </w:p>
        </w:tc>
        <w:tc>
          <w:tcPr>
            <w:tcW w:w="440" w:type="dxa"/>
            <w:vAlign w:val="bottom"/>
          </w:tcPr>
          <w:p>
            <w:pPr>
              <w:jc w:val="right"/>
              <w:ind w:right="83"/>
              <w:spacing w:after="0" w:line="170" w:lineRule="exact"/>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43"/>
              <w:spacing w:after="0" w:line="170" w:lineRule="exact"/>
              <w:rPr>
                <w:sz w:val="20"/>
                <w:szCs w:val="20"/>
                <w:color w:val="auto"/>
              </w:rPr>
            </w:pPr>
            <w:r>
              <w:rPr>
                <w:rFonts w:ascii="Arial" w:cs="Arial" w:eastAsia="Arial" w:hAnsi="Arial"/>
                <w:sz w:val="15"/>
                <w:szCs w:val="15"/>
                <w:b w:val="1"/>
                <w:bCs w:val="1"/>
                <w:color w:val="auto"/>
              </w:rPr>
              <w:t>350</w:t>
            </w:r>
          </w:p>
        </w:tc>
        <w:tc>
          <w:tcPr>
            <w:tcW w:w="540" w:type="dxa"/>
            <w:vAlign w:val="bottom"/>
          </w:tcPr>
          <w:p>
            <w:pPr>
              <w:ind w:left="180"/>
              <w:spacing w:after="0" w:line="170"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70" w:lineRule="exact"/>
              <w:rPr>
                <w:sz w:val="20"/>
                <w:szCs w:val="20"/>
                <w:color w:val="auto"/>
              </w:rPr>
            </w:pPr>
            <w:r>
              <w:rPr>
                <w:rFonts w:ascii="Arial" w:cs="Arial" w:eastAsia="Arial" w:hAnsi="Arial"/>
                <w:sz w:val="15"/>
                <w:szCs w:val="15"/>
                <w:color w:val="auto"/>
              </w:rPr>
              <w:t>470</w:t>
            </w:r>
          </w:p>
        </w:tc>
      </w:tr>
      <w:tr>
        <w:trPr>
          <w:trHeight w:val="170"/>
        </w:trPr>
        <w:tc>
          <w:tcPr>
            <w:tcW w:w="30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5"/>
                <w:szCs w:val="15"/>
                <w:color w:val="auto"/>
              </w:rPr>
              <w:t>Direct-to-Customers</w:t>
            </w:r>
          </w:p>
        </w:tc>
        <w:tc>
          <w:tcPr>
            <w:tcW w:w="10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23"/>
              <w:spacing w:after="0" w:line="170" w:lineRule="exact"/>
              <w:rPr>
                <w:sz w:val="20"/>
                <w:szCs w:val="20"/>
                <w:color w:val="auto"/>
              </w:rPr>
            </w:pPr>
            <w:r>
              <w:rPr>
                <w:rFonts w:ascii="Arial" w:cs="Arial" w:eastAsia="Arial" w:hAnsi="Arial"/>
                <w:sz w:val="15"/>
                <w:szCs w:val="15"/>
                <w:b w:val="1"/>
                <w:bCs w:val="1"/>
                <w:color w:val="auto"/>
              </w:rPr>
              <w:t>20</w:t>
            </w:r>
          </w:p>
        </w:tc>
        <w:tc>
          <w:tcPr>
            <w:tcW w:w="7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23"/>
              <w:spacing w:after="0" w:line="170" w:lineRule="exact"/>
              <w:rPr>
                <w:sz w:val="20"/>
                <w:szCs w:val="20"/>
                <w:color w:val="auto"/>
              </w:rPr>
            </w:pPr>
            <w:r>
              <w:rPr>
                <w:rFonts w:ascii="Arial" w:cs="Arial" w:eastAsia="Arial" w:hAnsi="Arial"/>
                <w:sz w:val="15"/>
                <w:szCs w:val="15"/>
                <w:color w:val="auto"/>
              </w:rPr>
              <w:t>22</w:t>
            </w: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43"/>
              <w:spacing w:after="0" w:line="170" w:lineRule="exact"/>
              <w:rPr>
                <w:sz w:val="20"/>
                <w:szCs w:val="20"/>
                <w:color w:val="auto"/>
              </w:rPr>
            </w:pPr>
            <w:r>
              <w:rPr>
                <w:rFonts w:ascii="Arial" w:cs="Arial" w:eastAsia="Arial" w:hAnsi="Arial"/>
                <w:sz w:val="15"/>
                <w:szCs w:val="15"/>
                <w:b w:val="1"/>
                <w:bCs w:val="1"/>
                <w:color w:val="auto"/>
              </w:rPr>
              <w:t>62</w:t>
            </w:r>
          </w:p>
        </w:tc>
        <w:tc>
          <w:tcPr>
            <w:tcW w:w="5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60</w:t>
            </w:r>
          </w:p>
        </w:tc>
      </w:tr>
      <w:tr>
        <w:trPr>
          <w:trHeight w:val="162"/>
        </w:trPr>
        <w:tc>
          <w:tcPr>
            <w:tcW w:w="3040" w:type="dxa"/>
            <w:vAlign w:val="bottom"/>
          </w:tcPr>
          <w:p>
            <w:pPr>
              <w:spacing w:after="0" w:line="163" w:lineRule="exact"/>
              <w:rPr>
                <w:sz w:val="20"/>
                <w:szCs w:val="20"/>
                <w:color w:val="auto"/>
              </w:rPr>
            </w:pPr>
            <w:r>
              <w:rPr>
                <w:rFonts w:ascii="Arial" w:cs="Arial" w:eastAsia="Arial" w:hAnsi="Arial"/>
                <w:sz w:val="15"/>
                <w:szCs w:val="15"/>
                <w:color w:val="auto"/>
              </w:rPr>
              <w:t>Division profit</w:t>
            </w:r>
          </w:p>
        </w:tc>
        <w:tc>
          <w:tcPr>
            <w:tcW w:w="1060" w:type="dxa"/>
            <w:vAlign w:val="bottom"/>
          </w:tcPr>
          <w:p>
            <w:pPr>
              <w:spacing w:after="0"/>
              <w:rPr>
                <w:sz w:val="14"/>
                <w:szCs w:val="14"/>
                <w:color w:val="auto"/>
              </w:rPr>
            </w:pPr>
          </w:p>
        </w:tc>
        <w:tc>
          <w:tcPr>
            <w:tcW w:w="980" w:type="dxa"/>
            <w:vAlign w:val="bottom"/>
          </w:tcPr>
          <w:p>
            <w:pPr>
              <w:jc w:val="right"/>
              <w:ind w:right="123"/>
              <w:spacing w:after="0" w:line="163" w:lineRule="exact"/>
              <w:rPr>
                <w:sz w:val="20"/>
                <w:szCs w:val="20"/>
                <w:color w:val="auto"/>
              </w:rPr>
            </w:pPr>
            <w:r>
              <w:rPr>
                <w:rFonts w:ascii="Arial" w:cs="Arial" w:eastAsia="Arial" w:hAnsi="Arial"/>
                <w:sz w:val="15"/>
                <w:szCs w:val="15"/>
                <w:b w:val="1"/>
                <w:bCs w:val="1"/>
                <w:color w:val="auto"/>
              </w:rPr>
              <w:t>129</w:t>
            </w:r>
          </w:p>
        </w:tc>
        <w:tc>
          <w:tcPr>
            <w:tcW w:w="780" w:type="dxa"/>
            <w:vAlign w:val="bottom"/>
          </w:tcPr>
          <w:p>
            <w:pPr>
              <w:spacing w:after="0"/>
              <w:rPr>
                <w:sz w:val="14"/>
                <w:szCs w:val="14"/>
                <w:color w:val="auto"/>
              </w:rPr>
            </w:pPr>
          </w:p>
        </w:tc>
        <w:tc>
          <w:tcPr>
            <w:tcW w:w="600" w:type="dxa"/>
            <w:vAlign w:val="bottom"/>
          </w:tcPr>
          <w:p>
            <w:pPr>
              <w:jc w:val="right"/>
              <w:ind w:right="123"/>
              <w:spacing w:after="0" w:line="163" w:lineRule="exact"/>
              <w:rPr>
                <w:sz w:val="20"/>
                <w:szCs w:val="20"/>
                <w:color w:val="auto"/>
              </w:rPr>
            </w:pPr>
            <w:r>
              <w:rPr>
                <w:rFonts w:ascii="Arial" w:cs="Arial" w:eastAsia="Arial" w:hAnsi="Arial"/>
                <w:sz w:val="15"/>
                <w:szCs w:val="15"/>
                <w:color w:val="auto"/>
              </w:rPr>
              <w:t>215</w:t>
            </w:r>
          </w:p>
        </w:tc>
        <w:tc>
          <w:tcPr>
            <w:tcW w:w="440" w:type="dxa"/>
            <w:vAlign w:val="bottom"/>
          </w:tcPr>
          <w:p>
            <w:pPr>
              <w:spacing w:after="0"/>
              <w:rPr>
                <w:sz w:val="14"/>
                <w:szCs w:val="14"/>
                <w:color w:val="auto"/>
              </w:rPr>
            </w:pPr>
          </w:p>
        </w:tc>
        <w:tc>
          <w:tcPr>
            <w:tcW w:w="960" w:type="dxa"/>
            <w:vAlign w:val="bottom"/>
          </w:tcPr>
          <w:p>
            <w:pPr>
              <w:jc w:val="right"/>
              <w:ind w:right="143"/>
              <w:spacing w:after="0" w:line="163" w:lineRule="exact"/>
              <w:rPr>
                <w:sz w:val="20"/>
                <w:szCs w:val="20"/>
                <w:color w:val="auto"/>
              </w:rPr>
            </w:pPr>
            <w:r>
              <w:rPr>
                <w:rFonts w:ascii="Arial" w:cs="Arial" w:eastAsia="Arial" w:hAnsi="Arial"/>
                <w:sz w:val="15"/>
                <w:szCs w:val="15"/>
                <w:b w:val="1"/>
                <w:bCs w:val="1"/>
                <w:color w:val="auto"/>
              </w:rPr>
              <w:t>412</w:t>
            </w:r>
          </w:p>
        </w:tc>
        <w:tc>
          <w:tcPr>
            <w:tcW w:w="540" w:type="dxa"/>
            <w:vAlign w:val="bottom"/>
          </w:tcPr>
          <w:p>
            <w:pPr>
              <w:spacing w:after="0"/>
              <w:rPr>
                <w:sz w:val="14"/>
                <w:szCs w:val="14"/>
                <w:color w:val="auto"/>
              </w:rPr>
            </w:pPr>
          </w:p>
        </w:tc>
        <w:tc>
          <w:tcPr>
            <w:tcW w:w="700" w:type="dxa"/>
            <w:vAlign w:val="bottom"/>
          </w:tcPr>
          <w:p>
            <w:pPr>
              <w:jc w:val="right"/>
              <w:spacing w:after="0" w:line="163" w:lineRule="exact"/>
              <w:rPr>
                <w:sz w:val="20"/>
                <w:szCs w:val="20"/>
                <w:color w:val="auto"/>
              </w:rPr>
            </w:pPr>
            <w:r>
              <w:rPr>
                <w:rFonts w:ascii="Arial" w:cs="Arial" w:eastAsia="Arial" w:hAnsi="Arial"/>
                <w:sz w:val="15"/>
                <w:szCs w:val="15"/>
                <w:color w:val="auto"/>
              </w:rPr>
              <w:t>530</w:t>
            </w:r>
          </w:p>
        </w:tc>
      </w:tr>
      <w:tr>
        <w:trPr>
          <w:trHeight w:val="207"/>
        </w:trPr>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Less: Pension litigation charge </w:t>
            </w:r>
            <w:r>
              <w:rPr>
                <w:rFonts w:ascii="Arial" w:cs="Arial" w:eastAsia="Arial" w:hAnsi="Arial"/>
                <w:sz w:val="8"/>
                <w:szCs w:val="8"/>
                <w:color w:val="auto"/>
              </w:rPr>
              <w:t>(1)</w:t>
            </w: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50</w:t>
            </w: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50</w:t>
            </w: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0"/>
        </w:trPr>
        <w:tc>
          <w:tcPr>
            <w:tcW w:w="304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rPr>
              <w:t>Less: Corporate expense</w:t>
            </w:r>
          </w:p>
        </w:tc>
        <w:tc>
          <w:tcPr>
            <w:tcW w:w="10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3"/>
              <w:spacing w:after="0" w:line="170" w:lineRule="exact"/>
              <w:rPr>
                <w:sz w:val="20"/>
                <w:szCs w:val="20"/>
                <w:color w:val="auto"/>
              </w:rPr>
            </w:pPr>
            <w:r>
              <w:rPr>
                <w:rFonts w:ascii="Arial" w:cs="Arial" w:eastAsia="Arial" w:hAnsi="Arial"/>
                <w:sz w:val="15"/>
                <w:szCs w:val="15"/>
                <w:b w:val="1"/>
                <w:bCs w:val="1"/>
                <w:color w:val="auto"/>
              </w:rPr>
              <w:t>7</w:t>
            </w:r>
          </w:p>
        </w:tc>
        <w:tc>
          <w:tcPr>
            <w:tcW w:w="7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3"/>
              <w:spacing w:after="0" w:line="170" w:lineRule="exact"/>
              <w:rPr>
                <w:sz w:val="20"/>
                <w:szCs w:val="20"/>
                <w:color w:val="auto"/>
              </w:rPr>
            </w:pPr>
            <w:r>
              <w:rPr>
                <w:rFonts w:ascii="Arial" w:cs="Arial" w:eastAsia="Arial" w:hAnsi="Arial"/>
                <w:sz w:val="15"/>
                <w:szCs w:val="15"/>
                <w:color w:val="auto"/>
              </w:rPr>
              <w:t>17</w:t>
            </w: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3"/>
              <w:spacing w:after="0" w:line="170" w:lineRule="exact"/>
              <w:rPr>
                <w:sz w:val="20"/>
                <w:szCs w:val="20"/>
                <w:color w:val="auto"/>
              </w:rPr>
            </w:pPr>
            <w:r>
              <w:rPr>
                <w:rFonts w:ascii="Arial" w:cs="Arial" w:eastAsia="Arial" w:hAnsi="Arial"/>
                <w:sz w:val="15"/>
                <w:szCs w:val="15"/>
                <w:b w:val="1"/>
                <w:bCs w:val="1"/>
                <w:color w:val="auto"/>
              </w:rPr>
              <w:t>22</w:t>
            </w: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36</w:t>
            </w:r>
          </w:p>
        </w:tc>
      </w:tr>
      <w:tr>
        <w:trPr>
          <w:trHeight w:val="162"/>
        </w:trPr>
        <w:tc>
          <w:tcPr>
            <w:tcW w:w="304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Operating profit</w:t>
            </w: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23"/>
              <w:spacing w:after="0" w:line="163" w:lineRule="exact"/>
              <w:rPr>
                <w:sz w:val="20"/>
                <w:szCs w:val="20"/>
                <w:color w:val="auto"/>
              </w:rPr>
            </w:pPr>
            <w:r>
              <w:rPr>
                <w:rFonts w:ascii="Arial" w:cs="Arial" w:eastAsia="Arial" w:hAnsi="Arial"/>
                <w:sz w:val="15"/>
                <w:szCs w:val="15"/>
                <w:b w:val="1"/>
                <w:bCs w:val="1"/>
                <w:color w:val="auto"/>
              </w:rPr>
              <w:t>72</w:t>
            </w:r>
          </w:p>
        </w:tc>
        <w:tc>
          <w:tcPr>
            <w:tcW w:w="7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23"/>
              <w:spacing w:after="0" w:line="163" w:lineRule="exact"/>
              <w:rPr>
                <w:sz w:val="20"/>
                <w:szCs w:val="20"/>
                <w:color w:val="auto"/>
              </w:rPr>
            </w:pPr>
            <w:r>
              <w:rPr>
                <w:rFonts w:ascii="Arial" w:cs="Arial" w:eastAsia="Arial" w:hAnsi="Arial"/>
                <w:sz w:val="15"/>
                <w:szCs w:val="15"/>
                <w:color w:val="auto"/>
              </w:rPr>
              <w:t>198</w:t>
            </w: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43"/>
              <w:spacing w:after="0" w:line="163" w:lineRule="exact"/>
              <w:rPr>
                <w:sz w:val="20"/>
                <w:szCs w:val="20"/>
                <w:color w:val="auto"/>
              </w:rPr>
            </w:pPr>
            <w:r>
              <w:rPr>
                <w:rFonts w:ascii="Arial" w:cs="Arial" w:eastAsia="Arial" w:hAnsi="Arial"/>
                <w:sz w:val="15"/>
                <w:szCs w:val="15"/>
                <w:b w:val="1"/>
                <w:bCs w:val="1"/>
                <w:color w:val="auto"/>
              </w:rPr>
              <w:t>340</w:t>
            </w: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494</w:t>
            </w:r>
          </w:p>
        </w:tc>
      </w:tr>
      <w:tr>
        <w:trPr>
          <w:trHeight w:val="170"/>
        </w:trPr>
        <w:tc>
          <w:tcPr>
            <w:tcW w:w="3040" w:type="dxa"/>
            <w:vAlign w:val="bottom"/>
          </w:tcPr>
          <w:p>
            <w:pPr>
              <w:spacing w:after="0" w:line="170" w:lineRule="exact"/>
              <w:rPr>
                <w:sz w:val="20"/>
                <w:szCs w:val="20"/>
                <w:color w:val="auto"/>
              </w:rPr>
            </w:pPr>
            <w:r>
              <w:rPr>
                <w:rFonts w:ascii="Arial" w:cs="Arial" w:eastAsia="Arial" w:hAnsi="Arial"/>
                <w:sz w:val="15"/>
                <w:szCs w:val="15"/>
                <w:color w:val="auto"/>
              </w:rPr>
              <w:t>Interest (income) / expense, net</w:t>
            </w:r>
          </w:p>
        </w:tc>
        <w:tc>
          <w:tcPr>
            <w:tcW w:w="1060" w:type="dxa"/>
            <w:vAlign w:val="bottom"/>
          </w:tcPr>
          <w:p>
            <w:pPr>
              <w:spacing w:after="0"/>
              <w:rPr>
                <w:sz w:val="14"/>
                <w:szCs w:val="14"/>
                <w:color w:val="auto"/>
              </w:rPr>
            </w:pPr>
          </w:p>
        </w:tc>
        <w:tc>
          <w:tcPr>
            <w:tcW w:w="980" w:type="dxa"/>
            <w:vAlign w:val="bottom"/>
          </w:tcPr>
          <w:p>
            <w:pPr>
              <w:jc w:val="right"/>
              <w:ind w:right="83"/>
              <w:spacing w:after="0" w:line="170" w:lineRule="exact"/>
              <w:rPr>
                <w:sz w:val="20"/>
                <w:szCs w:val="20"/>
                <w:color w:val="auto"/>
              </w:rPr>
            </w:pPr>
            <w:r>
              <w:rPr>
                <w:rFonts w:ascii="Arial" w:cs="Arial" w:eastAsia="Arial" w:hAnsi="Arial"/>
                <w:sz w:val="15"/>
                <w:szCs w:val="15"/>
                <w:b w:val="1"/>
                <w:bCs w:val="1"/>
                <w:color w:val="auto"/>
              </w:rPr>
              <w:t>(1)</w:t>
            </w:r>
          </w:p>
        </w:tc>
        <w:tc>
          <w:tcPr>
            <w:tcW w:w="780" w:type="dxa"/>
            <w:vAlign w:val="bottom"/>
          </w:tcPr>
          <w:p>
            <w:pPr>
              <w:spacing w:after="0"/>
              <w:rPr>
                <w:sz w:val="14"/>
                <w:szCs w:val="14"/>
                <w:color w:val="auto"/>
              </w:rPr>
            </w:pPr>
          </w:p>
        </w:tc>
        <w:tc>
          <w:tcPr>
            <w:tcW w:w="600" w:type="dxa"/>
            <w:vAlign w:val="bottom"/>
          </w:tcPr>
          <w:p>
            <w:pPr>
              <w:jc w:val="right"/>
              <w:ind w:right="123"/>
              <w:spacing w:after="0" w:line="170" w:lineRule="exact"/>
              <w:rPr>
                <w:sz w:val="20"/>
                <w:szCs w:val="20"/>
                <w:color w:val="auto"/>
              </w:rPr>
            </w:pPr>
            <w:r>
              <w:rPr>
                <w:rFonts w:ascii="Arial" w:cs="Arial" w:eastAsia="Arial" w:hAnsi="Arial"/>
                <w:sz w:val="15"/>
                <w:szCs w:val="15"/>
                <w:color w:val="auto"/>
              </w:rPr>
              <w:t>1</w:t>
            </w:r>
          </w:p>
        </w:tc>
        <w:tc>
          <w:tcPr>
            <w:tcW w:w="440" w:type="dxa"/>
            <w:vAlign w:val="bottom"/>
          </w:tcPr>
          <w:p>
            <w:pPr>
              <w:spacing w:after="0"/>
              <w:rPr>
                <w:sz w:val="14"/>
                <w:szCs w:val="14"/>
                <w:color w:val="auto"/>
              </w:rPr>
            </w:pPr>
          </w:p>
        </w:tc>
        <w:tc>
          <w:tcPr>
            <w:tcW w:w="960" w:type="dxa"/>
            <w:vAlign w:val="bottom"/>
          </w:tcPr>
          <w:p>
            <w:pPr>
              <w:jc w:val="right"/>
              <w:ind w:right="83"/>
              <w:spacing w:after="0" w:line="170" w:lineRule="exact"/>
              <w:rPr>
                <w:sz w:val="20"/>
                <w:szCs w:val="20"/>
                <w:color w:val="auto"/>
              </w:rPr>
            </w:pPr>
            <w:r>
              <w:rPr>
                <w:rFonts w:ascii="Arial" w:cs="Arial" w:eastAsia="Arial" w:hAnsi="Arial"/>
                <w:sz w:val="15"/>
                <w:szCs w:val="15"/>
                <w:b w:val="1"/>
                <w:bCs w:val="1"/>
                <w:color w:val="auto"/>
              </w:rPr>
              <w:t>(1)</w:t>
            </w:r>
          </w:p>
        </w:tc>
        <w:tc>
          <w:tcPr>
            <w:tcW w:w="54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5"/>
                <w:szCs w:val="15"/>
                <w:color w:val="auto"/>
              </w:rPr>
              <w:t>1</w:t>
            </w:r>
          </w:p>
        </w:tc>
      </w:tr>
      <w:tr>
        <w:trPr>
          <w:trHeight w:val="170"/>
        </w:trPr>
        <w:tc>
          <w:tcPr>
            <w:tcW w:w="30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(2)</w:t>
            </w:r>
          </w:p>
        </w:tc>
        <w:tc>
          <w:tcPr>
            <w:tcW w:w="10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3"/>
              <w:spacing w:after="0" w:line="170"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23"/>
              <w:spacing w:after="0" w:line="170" w:lineRule="exact"/>
              <w:rPr>
                <w:sz w:val="20"/>
                <w:szCs w:val="20"/>
                <w:color w:val="auto"/>
              </w:rPr>
            </w:pPr>
            <w:r>
              <w:rPr>
                <w:rFonts w:ascii="Arial" w:cs="Arial" w:eastAsia="Arial" w:hAnsi="Arial"/>
                <w:sz w:val="15"/>
                <w:szCs w:val="15"/>
                <w:color w:val="auto"/>
              </w:rPr>
              <w:t>1</w:t>
            </w: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43"/>
              <w:spacing w:after="0" w:line="170" w:lineRule="exact"/>
              <w:rPr>
                <w:sz w:val="20"/>
                <w:szCs w:val="20"/>
                <w:color w:val="auto"/>
              </w:rPr>
            </w:pPr>
            <w:r>
              <w:rPr>
                <w:rFonts w:ascii="Arial" w:cs="Arial" w:eastAsia="Arial" w:hAnsi="Arial"/>
                <w:sz w:val="15"/>
                <w:szCs w:val="15"/>
                <w:b w:val="1"/>
                <w:bCs w:val="1"/>
                <w:color w:val="auto"/>
              </w:rPr>
              <w:t>1</w:t>
            </w:r>
          </w:p>
        </w:tc>
        <w:tc>
          <w:tcPr>
            <w:tcW w:w="5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w:t>
            </w:r>
          </w:p>
        </w:tc>
      </w:tr>
      <w:tr>
        <w:trPr>
          <w:trHeight w:val="167"/>
        </w:trPr>
        <w:tc>
          <w:tcPr>
            <w:tcW w:w="304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Income before income taxes</w:t>
            </w:r>
          </w:p>
        </w:tc>
        <w:tc>
          <w:tcPr>
            <w:tcW w:w="1060" w:type="dxa"/>
            <w:vAlign w:val="bottom"/>
            <w:tcBorders>
              <w:bottom w:val="single" w:sz="8" w:color="auto"/>
            </w:tcBorders>
          </w:tcPr>
          <w:p>
            <w:pPr>
              <w:jc w:val="right"/>
              <w:ind w:right="43"/>
              <w:spacing w:after="0" w:line="163"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73</w:t>
            </w:r>
          </w:p>
        </w:tc>
        <w:tc>
          <w:tcPr>
            <w:tcW w:w="780" w:type="dxa"/>
            <w:vAlign w:val="bottom"/>
            <w:tcBorders>
              <w:bottom w:val="single" w:sz="8" w:color="auto"/>
            </w:tcBorders>
          </w:tcPr>
          <w:p>
            <w:pPr>
              <w:jc w:val="right"/>
              <w:ind w:right="423"/>
              <w:spacing w:after="0" w:line="163"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color w:val="auto"/>
              </w:rPr>
              <w:t>198</w:t>
            </w:r>
          </w:p>
        </w:tc>
        <w:tc>
          <w:tcPr>
            <w:tcW w:w="440" w:type="dxa"/>
            <w:vAlign w:val="bottom"/>
            <w:tcBorders>
              <w:bottom w:val="single" w:sz="8" w:color="auto"/>
            </w:tcBorders>
          </w:tcPr>
          <w:p>
            <w:pPr>
              <w:jc w:val="right"/>
              <w:ind w:right="83"/>
              <w:spacing w:after="0" w:line="163"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43"/>
              <w:spacing w:after="0" w:line="163" w:lineRule="exact"/>
              <w:rPr>
                <w:sz w:val="20"/>
                <w:szCs w:val="20"/>
                <w:color w:val="auto"/>
              </w:rPr>
            </w:pPr>
            <w:r>
              <w:rPr>
                <w:rFonts w:ascii="Arial" w:cs="Arial" w:eastAsia="Arial" w:hAnsi="Arial"/>
                <w:sz w:val="15"/>
                <w:szCs w:val="15"/>
                <w:b w:val="1"/>
                <w:bCs w:val="1"/>
                <w:color w:val="auto"/>
              </w:rPr>
              <w:t>342</w:t>
            </w:r>
          </w:p>
        </w:tc>
        <w:tc>
          <w:tcPr>
            <w:tcW w:w="540" w:type="dxa"/>
            <w:vAlign w:val="bottom"/>
            <w:tcBorders>
              <w:bottom w:val="single" w:sz="8" w:color="auto"/>
            </w:tcBorders>
          </w:tcPr>
          <w:p>
            <w:pPr>
              <w:ind w:left="180"/>
              <w:spacing w:after="0" w:line="163"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496</w:t>
            </w:r>
          </w:p>
        </w:tc>
      </w:tr>
    </w:tbl>
    <w:p>
      <w:pPr>
        <w:spacing w:after="0" w:line="60" w:lineRule="exact"/>
        <w:rPr>
          <w:sz w:val="20"/>
          <w:szCs w:val="20"/>
          <w:color w:val="auto"/>
        </w:rPr>
      </w:pPr>
    </w:p>
    <w:p>
      <w:pPr>
        <w:ind w:left="660" w:right="120" w:hanging="375"/>
        <w:spacing w:after="0" w:line="232"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2"/>
          <w:szCs w:val="12"/>
          <w:color w:val="auto"/>
        </w:rPr>
        <w:t xml:space="preserve">Included in the thirteen and twenty-six weeks ended July 29, 2017 is a pre-tax litigation charge of $50 million relating to a pension litigation matter described further in Note 12, </w:t>
      </w:r>
      <w:r>
        <w:rPr>
          <w:rFonts w:ascii="Arial" w:cs="Arial" w:eastAsia="Arial" w:hAnsi="Arial"/>
          <w:sz w:val="12"/>
          <w:szCs w:val="12"/>
          <w:i w:val="1"/>
          <w:iCs w:val="1"/>
          <w:color w:val="auto"/>
        </w:rPr>
        <w:t>Legal Proceedings</w:t>
      </w:r>
      <w:r>
        <w:rPr>
          <w:rFonts w:ascii="Arial" w:cs="Arial" w:eastAsia="Arial" w:hAnsi="Arial"/>
          <w:sz w:val="12"/>
          <w:szCs w:val="12"/>
          <w:color w:val="auto"/>
        </w:rPr>
        <w:t>.</w:t>
      </w:r>
    </w:p>
    <w:p>
      <w:pPr>
        <w:ind w:left="660" w:right="120" w:hanging="375"/>
        <w:spacing w:after="0" w:line="246"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royalty income, insurance recoveries, and the changes in fair value, premiums paid, and realized gains and losses associated with foreign currency option contracts.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8" w:name="page9"/>
    <w:bookmarkEnd w:id="8"/>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Restricted Cash</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provides a reconciliation of cash and cash equivalents, as reported on our condensed consolidated balance sheets, to cash, cash equivalents, and restricted cash, as reported on our condensed 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jc w:val="right"/>
              <w:ind w:right="483"/>
              <w:spacing w:after="0"/>
              <w:rPr>
                <w:sz w:val="20"/>
                <w:szCs w:val="20"/>
                <w:color w:val="auto"/>
              </w:rPr>
            </w:pPr>
            <w:r>
              <w:rPr>
                <w:rFonts w:ascii="Arial" w:cs="Arial" w:eastAsia="Arial" w:hAnsi="Arial"/>
                <w:sz w:val="15"/>
                <w:szCs w:val="15"/>
                <w:b w:val="1"/>
                <w:bCs w:val="1"/>
                <w:color w:val="auto"/>
              </w:rPr>
              <w:t>July 29,</w:t>
            </w:r>
          </w:p>
        </w:tc>
        <w:tc>
          <w:tcPr>
            <w:tcW w:w="360" w:type="dxa"/>
            <w:vAlign w:val="bottom"/>
          </w:tcPr>
          <w:p>
            <w:pPr>
              <w:spacing w:after="0"/>
              <w:rPr>
                <w:sz w:val="15"/>
                <w:szCs w:val="15"/>
                <w:color w:val="auto"/>
              </w:rPr>
            </w:pPr>
          </w:p>
        </w:tc>
        <w:tc>
          <w:tcPr>
            <w:tcW w:w="1220" w:type="dxa"/>
            <w:vAlign w:val="bottom"/>
          </w:tcPr>
          <w:p>
            <w:pPr>
              <w:jc w:val="center"/>
              <w:ind w:right="463"/>
              <w:spacing w:after="0"/>
              <w:rPr>
                <w:sz w:val="20"/>
                <w:szCs w:val="20"/>
                <w:color w:val="auto"/>
              </w:rPr>
            </w:pPr>
            <w:r>
              <w:rPr>
                <w:rFonts w:ascii="Arial" w:cs="Arial" w:eastAsia="Arial" w:hAnsi="Arial"/>
                <w:sz w:val="15"/>
                <w:szCs w:val="15"/>
                <w:b w:val="1"/>
                <w:bCs w:val="1"/>
                <w:color w:val="auto"/>
              </w:rPr>
              <w:t>July 30,</w:t>
            </w:r>
          </w:p>
        </w:tc>
        <w:tc>
          <w:tcPr>
            <w:tcW w:w="1380" w:type="dxa"/>
            <w:vAlign w:val="bottom"/>
            <w:gridSpan w:val="2"/>
          </w:tcPr>
          <w:p>
            <w:pPr>
              <w:jc w:val="right"/>
              <w:ind w:right="163"/>
              <w:spacing w:after="0"/>
              <w:rPr>
                <w:sz w:val="20"/>
                <w:szCs w:val="20"/>
                <w:color w:val="auto"/>
              </w:rPr>
            </w:pPr>
            <w:r>
              <w:rPr>
                <w:rFonts w:ascii="Arial" w:cs="Arial" w:eastAsia="Arial" w:hAnsi="Arial"/>
                <w:sz w:val="15"/>
                <w:szCs w:val="15"/>
                <w:b w:val="1"/>
                <w:bCs w:val="1"/>
                <w:color w:val="auto"/>
              </w:rPr>
              <w:t>January 28,</w:t>
            </w:r>
          </w:p>
        </w:tc>
      </w:tr>
      <w:tr>
        <w:trPr>
          <w:trHeight w:val="205"/>
        </w:trPr>
        <w:tc>
          <w:tcPr>
            <w:tcW w:w="4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2016</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r>
      <w:tr>
        <w:trPr>
          <w:trHeight w:val="187"/>
        </w:trPr>
        <w:tc>
          <w:tcPr>
            <w:tcW w:w="4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5"/>
                <w:szCs w:val="15"/>
                <w:color w:val="auto"/>
              </w:rPr>
              <w:t>($ in millions)</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8"/>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1,043</w:t>
            </w: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945</w:t>
            </w:r>
          </w:p>
        </w:tc>
        <w:tc>
          <w:tcPr>
            <w:tcW w:w="4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1,046</w:t>
            </w:r>
          </w:p>
        </w:tc>
      </w:tr>
      <w:tr>
        <w:trPr>
          <w:trHeight w:val="207"/>
        </w:trPr>
        <w:tc>
          <w:tcPr>
            <w:tcW w:w="4180" w:type="dxa"/>
            <w:vAlign w:val="bottom"/>
          </w:tcPr>
          <w:p>
            <w:pPr>
              <w:spacing w:after="0"/>
              <w:rPr>
                <w:sz w:val="20"/>
                <w:szCs w:val="20"/>
                <w:color w:val="auto"/>
              </w:rPr>
            </w:pPr>
            <w:r>
              <w:rPr>
                <w:rFonts w:ascii="Arial" w:cs="Arial" w:eastAsia="Arial" w:hAnsi="Arial"/>
                <w:sz w:val="15"/>
                <w:szCs w:val="15"/>
                <w:color w:val="auto"/>
              </w:rPr>
              <w:t>Restricted cash included in other current assets</w:t>
            </w:r>
          </w:p>
        </w:tc>
        <w:tc>
          <w:tcPr>
            <w:tcW w:w="760" w:type="dxa"/>
            <w:vAlign w:val="bottom"/>
          </w:tcPr>
          <w:p>
            <w:pPr>
              <w:spacing w:after="0"/>
              <w:rPr>
                <w:sz w:val="17"/>
                <w:szCs w:val="17"/>
                <w:color w:val="auto"/>
              </w:rPr>
            </w:pPr>
          </w:p>
        </w:tc>
        <w:tc>
          <w:tcPr>
            <w:tcW w:w="1200" w:type="dxa"/>
            <w:vAlign w:val="bottom"/>
          </w:tcPr>
          <w:p>
            <w:pPr>
              <w:jc w:val="right"/>
              <w:ind w:right="143"/>
              <w:spacing w:after="0"/>
              <w:rPr>
                <w:sz w:val="20"/>
                <w:szCs w:val="20"/>
                <w:color w:val="auto"/>
              </w:rPr>
            </w:pPr>
            <w:r>
              <w:rPr>
                <w:rFonts w:ascii="Arial" w:cs="Arial" w:eastAsia="Arial" w:hAnsi="Arial"/>
                <w:sz w:val="15"/>
                <w:szCs w:val="15"/>
                <w:b w:val="1"/>
                <w:bCs w:val="1"/>
                <w:color w:val="auto"/>
              </w:rPr>
              <w:t>1</w:t>
            </w:r>
          </w:p>
        </w:tc>
        <w:tc>
          <w:tcPr>
            <w:tcW w:w="360" w:type="dxa"/>
            <w:vAlign w:val="bottom"/>
          </w:tcPr>
          <w:p>
            <w:pPr>
              <w:spacing w:after="0"/>
              <w:rPr>
                <w:sz w:val="17"/>
                <w:szCs w:val="17"/>
                <w:color w:val="auto"/>
              </w:rPr>
            </w:pPr>
          </w:p>
        </w:tc>
        <w:tc>
          <w:tcPr>
            <w:tcW w:w="12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Restricted cash included in other non-current assets</w:t>
            </w:r>
          </w:p>
        </w:tc>
        <w:tc>
          <w:tcPr>
            <w:tcW w:w="7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29</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27</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r>
      <w:tr>
        <w:trPr>
          <w:trHeight w:val="179"/>
        </w:trPr>
        <w:tc>
          <w:tcPr>
            <w:tcW w:w="4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cash equivalents, and restricted cash</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1,073</w:t>
            </w:r>
          </w:p>
        </w:tc>
        <w:tc>
          <w:tcPr>
            <w:tcW w:w="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972</w:t>
            </w:r>
          </w:p>
        </w:tc>
        <w:tc>
          <w:tcPr>
            <w:tcW w:w="4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1,073</w:t>
            </w:r>
          </w:p>
        </w:tc>
      </w:tr>
    </w:tbl>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Amounts included in restricted cash primarily relate to amounts held in escrow in connection with various leasing arrangements in Europe. In addition, restricted cash reflects deposits held in insurance trusts in order to satisfy the requirement to collateralize part of the self-insured workers’ compensation and liability claims.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Goodwill</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Annually during the first quarter, or more frequently if impairment indicators arise, the Company reviews goodwill and intangible assets with indefinite lives for impairment. The annual review of goodwill and intangible assets with indefinite lives performed during the first quarter of 2017 did not result in the recognition of impairment. The following table provides a summary of goodwill by reportable segment. The change in the balance represents foreign currency exchange fluctuations.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2420" w:type="dxa"/>
            <w:vAlign w:val="bottom"/>
          </w:tcPr>
          <w:p>
            <w:pPr>
              <w:jc w:val="right"/>
              <w:ind w:right="3"/>
              <w:spacing w:after="0"/>
              <w:rPr>
                <w:sz w:val="20"/>
                <w:szCs w:val="20"/>
                <w:color w:val="auto"/>
              </w:rPr>
            </w:pPr>
            <w:r>
              <w:rPr>
                <w:rFonts w:ascii="Arial" w:cs="Arial" w:eastAsia="Arial" w:hAnsi="Arial"/>
                <w:sz w:val="15"/>
                <w:szCs w:val="15"/>
                <w:b w:val="1"/>
                <w:bCs w:val="1"/>
                <w:color w:val="auto"/>
              </w:rPr>
              <w:t>July 29,</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center"/>
              <w:ind w:right="483"/>
              <w:spacing w:after="0"/>
              <w:rPr>
                <w:sz w:val="20"/>
                <w:szCs w:val="20"/>
                <w:color w:val="auto"/>
              </w:rPr>
            </w:pPr>
            <w:r>
              <w:rPr>
                <w:rFonts w:ascii="Arial" w:cs="Arial" w:eastAsia="Arial" w:hAnsi="Arial"/>
                <w:sz w:val="15"/>
                <w:szCs w:val="15"/>
                <w:b w:val="1"/>
                <w:bCs w:val="1"/>
                <w:color w:val="auto"/>
              </w:rPr>
              <w:t>July 30,</w:t>
            </w:r>
          </w:p>
        </w:tc>
        <w:tc>
          <w:tcPr>
            <w:tcW w:w="340" w:type="dxa"/>
            <w:vAlign w:val="bottom"/>
          </w:tcPr>
          <w:p>
            <w:pPr>
              <w:spacing w:after="0"/>
              <w:rPr>
                <w:sz w:val="15"/>
                <w:szCs w:val="15"/>
                <w:color w:val="auto"/>
              </w:rPr>
            </w:pPr>
          </w:p>
        </w:tc>
        <w:tc>
          <w:tcPr>
            <w:tcW w:w="1160" w:type="dxa"/>
            <w:vAlign w:val="bottom"/>
          </w:tcPr>
          <w:p>
            <w:pPr>
              <w:jc w:val="right"/>
              <w:ind w:right="223"/>
              <w:spacing w:after="0"/>
              <w:rPr>
                <w:sz w:val="20"/>
                <w:szCs w:val="20"/>
                <w:color w:val="auto"/>
              </w:rPr>
            </w:pPr>
            <w:r>
              <w:rPr>
                <w:rFonts w:ascii="Arial" w:cs="Arial" w:eastAsia="Arial" w:hAnsi="Arial"/>
                <w:sz w:val="15"/>
                <w:szCs w:val="15"/>
                <w:b w:val="1"/>
                <w:bCs w:val="1"/>
                <w:color w:val="auto"/>
              </w:rPr>
              <w:t>January 28,</w:t>
            </w:r>
          </w:p>
        </w:tc>
      </w:tr>
      <w:tr>
        <w:trPr>
          <w:trHeight w:val="205"/>
        </w:trPr>
        <w:tc>
          <w:tcPr>
            <w:tcW w:w="29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2017</w:t>
            </w: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463"/>
              <w:spacing w:after="0"/>
              <w:rPr>
                <w:sz w:val="20"/>
                <w:szCs w:val="20"/>
                <w:color w:val="auto"/>
              </w:rPr>
            </w:pPr>
            <w:r>
              <w:rPr>
                <w:rFonts w:ascii="Arial" w:cs="Arial" w:eastAsia="Arial" w:hAnsi="Arial"/>
                <w:sz w:val="15"/>
                <w:szCs w:val="15"/>
                <w:b w:val="1"/>
                <w:bCs w:val="1"/>
                <w:color w:val="auto"/>
              </w:rPr>
              <w:t>2016</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r>
      <w:tr>
        <w:trPr>
          <w:trHeight w:val="164"/>
        </w:trPr>
        <w:tc>
          <w:tcPr>
            <w:tcW w:w="29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83"/>
              <w:spacing w:after="0" w:line="164" w:lineRule="exact"/>
              <w:rPr>
                <w:sz w:val="20"/>
                <w:szCs w:val="20"/>
                <w:color w:val="auto"/>
              </w:rPr>
            </w:pPr>
            <w:r>
              <w:rPr>
                <w:rFonts w:ascii="Arial" w:cs="Arial" w:eastAsia="Arial" w:hAnsi="Arial"/>
                <w:sz w:val="15"/>
                <w:szCs w:val="15"/>
                <w:color w:val="auto"/>
              </w:rPr>
              <w:t>($ in millions)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2"/>
        </w:trPr>
        <w:tc>
          <w:tcPr>
            <w:tcW w:w="29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Athletic Stores</w:t>
            </w:r>
          </w:p>
        </w:tc>
        <w:tc>
          <w:tcPr>
            <w:tcW w:w="2420" w:type="dxa"/>
            <w:vAlign w:val="bottom"/>
            <w:shd w:val="clear" w:color="auto" w:fill="CCEEFF"/>
          </w:tcPr>
          <w:p>
            <w:pPr>
              <w:jc w:val="right"/>
              <w:ind w:right="743"/>
              <w:spacing w:after="0" w:line="163" w:lineRule="exact"/>
              <w:rPr>
                <w:sz w:val="20"/>
                <w:szCs w:val="20"/>
                <w:color w:val="auto"/>
              </w:rPr>
            </w:pPr>
            <w:r>
              <w:rPr>
                <w:rFonts w:ascii="Arial" w:cs="Arial" w:eastAsia="Arial" w:hAnsi="Arial"/>
                <w:sz w:val="15"/>
                <w:szCs w:val="15"/>
                <w:b w:val="1"/>
                <w:bCs w:val="1"/>
                <w:color w:val="auto"/>
              </w:rPr>
              <w:t>$</w:t>
            </w:r>
          </w:p>
        </w:tc>
        <w:tc>
          <w:tcPr>
            <w:tcW w:w="580" w:type="dxa"/>
            <w:vAlign w:val="bottom"/>
            <w:shd w:val="clear" w:color="auto" w:fill="CCEEFF"/>
          </w:tcPr>
          <w:p>
            <w:pPr>
              <w:jc w:val="right"/>
              <w:ind w:right="183"/>
              <w:spacing w:after="0" w:line="163" w:lineRule="exact"/>
              <w:rPr>
                <w:sz w:val="20"/>
                <w:szCs w:val="20"/>
                <w:color w:val="auto"/>
              </w:rPr>
            </w:pPr>
            <w:r>
              <w:rPr>
                <w:rFonts w:ascii="Arial" w:cs="Arial" w:eastAsia="Arial" w:hAnsi="Arial"/>
                <w:sz w:val="15"/>
                <w:szCs w:val="15"/>
                <w:b w:val="1"/>
                <w:bCs w:val="1"/>
                <w:color w:val="auto"/>
              </w:rPr>
              <w:t>18</w:t>
            </w:r>
          </w:p>
        </w:tc>
        <w:tc>
          <w:tcPr>
            <w:tcW w:w="420" w:type="dxa"/>
            <w:vAlign w:val="bottom"/>
            <w:shd w:val="clear" w:color="auto" w:fill="CCEEFF"/>
          </w:tcPr>
          <w:p>
            <w:pPr>
              <w:jc w:val="right"/>
              <w:ind w:right="3"/>
              <w:spacing w:after="0" w:line="163" w:lineRule="exact"/>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63"/>
              <w:spacing w:after="0" w:line="163" w:lineRule="exact"/>
              <w:rPr>
                <w:sz w:val="20"/>
                <w:szCs w:val="20"/>
                <w:color w:val="auto"/>
              </w:rPr>
            </w:pPr>
            <w:r>
              <w:rPr>
                <w:rFonts w:ascii="Arial" w:cs="Arial" w:eastAsia="Arial" w:hAnsi="Arial"/>
                <w:sz w:val="15"/>
                <w:szCs w:val="15"/>
                <w:color w:val="auto"/>
              </w:rPr>
              <w:t>17</w:t>
            </w:r>
          </w:p>
        </w:tc>
        <w:tc>
          <w:tcPr>
            <w:tcW w:w="3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16</w:t>
            </w:r>
          </w:p>
        </w:tc>
      </w:tr>
      <w:tr>
        <w:trPr>
          <w:trHeight w:val="182"/>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Direct-to-Customers</w:t>
            </w:r>
          </w:p>
        </w:tc>
        <w:tc>
          <w:tcPr>
            <w:tcW w:w="2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140</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139</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r>
      <w:tr>
        <w:trPr>
          <w:trHeight w:val="167"/>
        </w:trPr>
        <w:tc>
          <w:tcPr>
            <w:tcW w:w="290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Total goodwill</w:t>
            </w:r>
          </w:p>
        </w:tc>
        <w:tc>
          <w:tcPr>
            <w:tcW w:w="2420" w:type="dxa"/>
            <w:vAlign w:val="bottom"/>
            <w:tcBorders>
              <w:bottom w:val="single" w:sz="8" w:color="auto"/>
            </w:tcBorders>
            <w:shd w:val="clear" w:color="auto" w:fill="CCEEFF"/>
          </w:tcPr>
          <w:p>
            <w:pPr>
              <w:jc w:val="right"/>
              <w:ind w:right="743"/>
              <w:spacing w:after="0" w:line="163" w:lineRule="exact"/>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shd w:val="clear" w:color="auto" w:fill="CCEEFF"/>
          </w:tcPr>
          <w:p>
            <w:pPr>
              <w:jc w:val="right"/>
              <w:ind w:right="183"/>
              <w:spacing w:after="0" w:line="163" w:lineRule="exact"/>
              <w:rPr>
                <w:sz w:val="20"/>
                <w:szCs w:val="20"/>
                <w:color w:val="auto"/>
              </w:rPr>
            </w:pPr>
            <w:r>
              <w:rPr>
                <w:rFonts w:ascii="Arial" w:cs="Arial" w:eastAsia="Arial" w:hAnsi="Arial"/>
                <w:sz w:val="15"/>
                <w:szCs w:val="15"/>
                <w:b w:val="1"/>
                <w:bCs w:val="1"/>
                <w:color w:val="auto"/>
              </w:rPr>
              <w:t>158</w:t>
            </w:r>
          </w:p>
        </w:tc>
        <w:tc>
          <w:tcPr>
            <w:tcW w:w="420" w:type="dxa"/>
            <w:vAlign w:val="bottom"/>
            <w:tcBorders>
              <w:bottom w:val="single" w:sz="8" w:color="auto"/>
            </w:tcBorders>
            <w:shd w:val="clear" w:color="auto" w:fill="CCEEFF"/>
          </w:tcPr>
          <w:p>
            <w:pPr>
              <w:jc w:val="right"/>
              <w:ind w:right="3"/>
              <w:spacing w:after="0" w:line="163"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163"/>
              <w:spacing w:after="0" w:line="163" w:lineRule="exact"/>
              <w:rPr>
                <w:sz w:val="20"/>
                <w:szCs w:val="20"/>
                <w:color w:val="auto"/>
              </w:rPr>
            </w:pPr>
            <w:r>
              <w:rPr>
                <w:rFonts w:ascii="Arial" w:cs="Arial" w:eastAsia="Arial" w:hAnsi="Arial"/>
                <w:sz w:val="15"/>
                <w:szCs w:val="15"/>
                <w:color w:val="auto"/>
              </w:rPr>
              <w:t>156</w:t>
            </w:r>
          </w:p>
        </w:tc>
        <w:tc>
          <w:tcPr>
            <w:tcW w:w="3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155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Other Intangible Assets, net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finite-lived intangible assets and intangible assets not subject to amortization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5"/>
                <w:szCs w:val="15"/>
                <w:b w:val="1"/>
                <w:bCs w:val="1"/>
                <w:color w:val="auto"/>
              </w:rPr>
              <w:t>July 29, 2017</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5"/>
                <w:szCs w:val="15"/>
                <w:b w:val="1"/>
                <w:bCs w:val="1"/>
                <w:color w:val="auto"/>
              </w:rPr>
              <w:t>July 30, 2016</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343"/>
              <w:spacing w:after="0"/>
              <w:rPr>
                <w:sz w:val="20"/>
                <w:szCs w:val="20"/>
                <w:color w:val="auto"/>
              </w:rPr>
            </w:pPr>
            <w:r>
              <w:rPr>
                <w:rFonts w:ascii="Arial" w:cs="Arial" w:eastAsia="Arial" w:hAnsi="Arial"/>
                <w:sz w:val="15"/>
                <w:szCs w:val="15"/>
                <w:b w:val="1"/>
                <w:bCs w:val="1"/>
                <w:color w:val="auto"/>
              </w:rPr>
              <w:t>January 28, 2017</w:t>
            </w:r>
          </w:p>
        </w:tc>
        <w:tc>
          <w:tcPr>
            <w:tcW w:w="0" w:type="dxa"/>
            <w:vAlign w:val="bottom"/>
          </w:tcPr>
          <w:p>
            <w:pPr>
              <w:spacing w:after="0"/>
              <w:rPr>
                <w:sz w:val="1"/>
                <w:szCs w:val="1"/>
                <w:color w:val="auto"/>
              </w:rPr>
            </w:pPr>
          </w:p>
        </w:tc>
      </w:tr>
      <w:tr>
        <w:trPr>
          <w:trHeight w:val="151"/>
        </w:trPr>
        <w:tc>
          <w:tcPr>
            <w:tcW w:w="2780" w:type="dxa"/>
            <w:vAlign w:val="bottom"/>
          </w:tcPr>
          <w:p>
            <w:pPr>
              <w:spacing w:after="0"/>
              <w:rPr>
                <w:sz w:val="13"/>
                <w:szCs w:val="13"/>
                <w:color w:val="auto"/>
              </w:rPr>
            </w:pPr>
          </w:p>
        </w:tc>
        <w:tc>
          <w:tcPr>
            <w:tcW w:w="700" w:type="dxa"/>
            <w:vAlign w:val="bottom"/>
            <w:gridSpan w:val="2"/>
          </w:tcPr>
          <w:p>
            <w:pPr>
              <w:ind w:left="120"/>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Accum.</w:t>
            </w:r>
          </w:p>
        </w:tc>
        <w:tc>
          <w:tcPr>
            <w:tcW w:w="160" w:type="dxa"/>
            <w:vAlign w:val="bottom"/>
          </w:tcPr>
          <w:p>
            <w:pPr>
              <w:spacing w:after="0"/>
              <w:rPr>
                <w:sz w:val="13"/>
                <w:szCs w:val="13"/>
                <w:color w:val="auto"/>
              </w:rPr>
            </w:pPr>
          </w:p>
        </w:tc>
        <w:tc>
          <w:tcPr>
            <w:tcW w:w="480" w:type="dxa"/>
            <w:vAlign w:val="bottom"/>
          </w:tcPr>
          <w:p>
            <w:pPr>
              <w:jc w:val="right"/>
              <w:ind w:right="14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80"/>
              <w:spacing w:after="0" w:line="151" w:lineRule="exact"/>
              <w:rPr>
                <w:sz w:val="20"/>
                <w:szCs w:val="20"/>
                <w:color w:val="auto"/>
              </w:rPr>
            </w:pPr>
            <w:r>
              <w:rPr>
                <w:rFonts w:ascii="Arial" w:cs="Arial" w:eastAsia="Arial" w:hAnsi="Arial"/>
                <w:sz w:val="15"/>
                <w:szCs w:val="15"/>
                <w:b w:val="1"/>
                <w:bCs w:val="1"/>
                <w:color w:val="auto"/>
              </w:rPr>
              <w:t>Accum.</w:t>
            </w:r>
          </w:p>
        </w:tc>
        <w:tc>
          <w:tcPr>
            <w:tcW w:w="180" w:type="dxa"/>
            <w:vAlign w:val="bottom"/>
          </w:tcPr>
          <w:p>
            <w:pPr>
              <w:spacing w:after="0"/>
              <w:rPr>
                <w:sz w:val="13"/>
                <w:szCs w:val="13"/>
                <w:color w:val="auto"/>
              </w:rPr>
            </w:pPr>
          </w:p>
        </w:tc>
        <w:tc>
          <w:tcPr>
            <w:tcW w:w="500" w:type="dxa"/>
            <w:vAlign w:val="bottom"/>
          </w:tcPr>
          <w:p>
            <w:pPr>
              <w:jc w:val="right"/>
              <w:ind w:right="16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100"/>
              <w:spacing w:after="0" w:line="151" w:lineRule="exact"/>
              <w:rPr>
                <w:sz w:val="20"/>
                <w:szCs w:val="20"/>
                <w:color w:val="auto"/>
              </w:rPr>
            </w:pPr>
            <w:r>
              <w:rPr>
                <w:rFonts w:ascii="Arial" w:cs="Arial" w:eastAsia="Arial" w:hAnsi="Arial"/>
                <w:sz w:val="15"/>
                <w:szCs w:val="15"/>
                <w:b w:val="1"/>
                <w:bCs w:val="1"/>
                <w:color w:val="auto"/>
              </w:rPr>
              <w:t>Accum.</w:t>
            </w:r>
          </w:p>
        </w:tc>
        <w:tc>
          <w:tcPr>
            <w:tcW w:w="200" w:type="dxa"/>
            <w:vAlign w:val="bottom"/>
          </w:tcPr>
          <w:p>
            <w:pPr>
              <w:spacing w:after="0"/>
              <w:rPr>
                <w:sz w:val="13"/>
                <w:szCs w:val="13"/>
                <w:color w:val="auto"/>
              </w:rPr>
            </w:pPr>
          </w:p>
        </w:tc>
        <w:tc>
          <w:tcPr>
            <w:tcW w:w="460" w:type="dxa"/>
            <w:vAlign w:val="bottom"/>
          </w:tcPr>
          <w:p>
            <w:pPr>
              <w:jc w:val="right"/>
              <w:ind w:right="103"/>
              <w:spacing w:after="0" w:line="151" w:lineRule="exact"/>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194"/>
        </w:trPr>
        <w:tc>
          <w:tcPr>
            <w:tcW w:w="2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70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amort.</w:t>
            </w:r>
          </w:p>
        </w:tc>
        <w:tc>
          <w:tcPr>
            <w:tcW w:w="6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amort.</w:t>
            </w:r>
          </w:p>
        </w:tc>
        <w:tc>
          <w:tcPr>
            <w:tcW w:w="68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amort.</w:t>
            </w:r>
          </w:p>
        </w:tc>
        <w:tc>
          <w:tcPr>
            <w:tcW w:w="6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162"/>
        </w:trPr>
        <w:tc>
          <w:tcPr>
            <w:tcW w:w="2780" w:type="dxa"/>
            <w:vAlign w:val="bottom"/>
          </w:tcPr>
          <w:p>
            <w:pPr>
              <w:spacing w:after="0" w:line="16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8"/>
                <w:szCs w:val="8"/>
                <w:color w:val="auto"/>
              </w:rPr>
              <w:t>(1)</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 acquisition costs</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128</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120</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116</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2"/>
        </w:trPr>
        <w:tc>
          <w:tcPr>
            <w:tcW w:w="2780" w:type="dxa"/>
            <w:vAlign w:val="bottom"/>
          </w:tcPr>
          <w:p>
            <w:pPr>
              <w:ind w:left="320"/>
              <w:spacing w:after="0"/>
              <w:rPr>
                <w:sz w:val="20"/>
                <w:szCs w:val="20"/>
                <w:color w:val="auto"/>
              </w:rPr>
            </w:pPr>
            <w:r>
              <w:rPr>
                <w:rFonts w:ascii="Arial" w:cs="Arial" w:eastAsia="Arial" w:hAnsi="Arial"/>
                <w:sz w:val="15"/>
                <w:szCs w:val="15"/>
                <w:color w:val="auto"/>
              </w:rPr>
              <w:t>Trademarks / trade names</w:t>
            </w:r>
          </w:p>
        </w:tc>
        <w:tc>
          <w:tcPr>
            <w:tcW w:w="28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b w:val="1"/>
                <w:bCs w:val="1"/>
                <w:color w:val="auto"/>
              </w:rPr>
              <w:t>20</w:t>
            </w:r>
          </w:p>
        </w:tc>
        <w:tc>
          <w:tcPr>
            <w:tcW w:w="26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(13)</w:t>
            </w:r>
          </w:p>
        </w:tc>
        <w:tc>
          <w:tcPr>
            <w:tcW w:w="160" w:type="dxa"/>
            <w:vAlign w:val="bottom"/>
          </w:tcPr>
          <w:p>
            <w:pPr>
              <w:spacing w:after="0"/>
              <w:rPr>
                <w:sz w:val="15"/>
                <w:szCs w:val="15"/>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7</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w:t>
            </w:r>
          </w:p>
        </w:tc>
        <w:tc>
          <w:tcPr>
            <w:tcW w:w="180" w:type="dxa"/>
            <w:vAlign w:val="bottom"/>
          </w:tcPr>
          <w:p>
            <w:pPr>
              <w:spacing w:after="0"/>
              <w:rPr>
                <w:sz w:val="15"/>
                <w:szCs w:val="15"/>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2"/>
        </w:trPr>
        <w:tc>
          <w:tcPr>
            <w:tcW w:w="2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Favorable leases</w:t>
            </w:r>
          </w:p>
        </w:tc>
        <w:tc>
          <w:tcPr>
            <w:tcW w:w="2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w:t>
            </w: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155</w:t>
            </w:r>
          </w:p>
        </w:tc>
        <w:tc>
          <w:tcPr>
            <w:tcW w:w="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(134)</w:t>
            </w:r>
          </w:p>
        </w:tc>
        <w:tc>
          <w:tcPr>
            <w:tcW w:w="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21</w:t>
            </w:r>
          </w:p>
        </w:tc>
        <w:tc>
          <w:tcPr>
            <w:tcW w:w="26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147</w:t>
            </w:r>
          </w:p>
        </w:tc>
        <w:tc>
          <w:tcPr>
            <w:tcW w:w="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(126)</w:t>
            </w: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21</w:t>
            </w:r>
          </w:p>
        </w:tc>
        <w:tc>
          <w:tcPr>
            <w:tcW w:w="26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143</w:t>
            </w: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(123)</w:t>
            </w:r>
          </w:p>
        </w:tc>
        <w:tc>
          <w:tcPr>
            <w:tcW w:w="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8"/>
                <w:szCs w:val="8"/>
                <w:color w:val="auto"/>
              </w:rPr>
              <w:t>(1)</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tcPr>
          <w:p>
            <w:pPr>
              <w:ind w:left="320"/>
              <w:spacing w:after="0"/>
              <w:rPr>
                <w:sz w:val="20"/>
                <w:szCs w:val="20"/>
                <w:color w:val="auto"/>
              </w:rPr>
            </w:pPr>
            <w:r>
              <w:rPr>
                <w:rFonts w:ascii="Arial" w:cs="Arial" w:eastAsia="Arial" w:hAnsi="Arial"/>
                <w:sz w:val="15"/>
                <w:szCs w:val="15"/>
                <w:color w:val="auto"/>
              </w:rPr>
              <w:t>Runners Point Group trademarks /</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24</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rPr>
              <w:t>trade names</w:t>
            </w: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w:t>
            </w: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67"/>
        </w:trPr>
        <w:tc>
          <w:tcPr>
            <w:tcW w:w="278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Other intangible assets, net</w:t>
            </w:r>
          </w:p>
        </w:tc>
        <w:tc>
          <w:tcPr>
            <w:tcW w:w="2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shd w:val="clear" w:color="auto" w:fill="CCEEFF"/>
          </w:tcPr>
          <w:p>
            <w:pPr>
              <w:jc w:val="right"/>
              <w:ind w:right="3"/>
              <w:spacing w:after="0" w:line="163" w:lineRule="exact"/>
              <w:rPr>
                <w:sz w:val="20"/>
                <w:szCs w:val="20"/>
                <w:color w:val="auto"/>
              </w:rPr>
            </w:pPr>
            <w:r>
              <w:rPr>
                <w:rFonts w:ascii="Arial" w:cs="Arial" w:eastAsia="Arial" w:hAnsi="Arial"/>
                <w:sz w:val="15"/>
                <w:szCs w:val="15"/>
                <w:b w:val="1"/>
                <w:bCs w:val="1"/>
                <w:color w:val="auto"/>
              </w:rPr>
              <w:t>45</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ind w:right="23"/>
              <w:spacing w:after="0" w:line="163" w:lineRule="exact"/>
              <w:rPr>
                <w:sz w:val="20"/>
                <w:szCs w:val="20"/>
                <w:color w:val="auto"/>
              </w:rPr>
            </w:pPr>
            <w:r>
              <w:rPr>
                <w:rFonts w:ascii="Arial" w:cs="Arial" w:eastAsia="Arial" w:hAnsi="Arial"/>
                <w:sz w:val="15"/>
                <w:szCs w:val="15"/>
                <w:color w:val="auto"/>
              </w:rPr>
              <w:t>44</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120" w:hanging="375"/>
        <w:spacing w:after="0" w:line="246"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2"/>
          <w:szCs w:val="12"/>
          <w:color w:val="auto"/>
        </w:rPr>
        <w:t>The change in the ending balances also reflects the effect of foreign currency fluctuations due primarily to the movements of the euro in relation to the U.S. dollar.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During the twenty-six week period ended July 29, 2017, the Company recorded $1 million of lease acquisition additions, primarily related to our European businesses. These additions are being amortized over a weighted-average life of 10 years. Amortization expense recorded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5"/>
                <w:szCs w:val="15"/>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5"/>
                <w:szCs w:val="15"/>
                <w:b w:val="1"/>
                <w:bCs w:val="1"/>
                <w:color w:val="auto"/>
              </w:rPr>
              <w:t>Twenty-six weeks ended</w:t>
            </w:r>
          </w:p>
        </w:tc>
      </w:tr>
      <w:tr>
        <w:trPr>
          <w:trHeight w:val="164"/>
        </w:trPr>
        <w:tc>
          <w:tcPr>
            <w:tcW w:w="2160" w:type="dxa"/>
            <w:vAlign w:val="bottom"/>
            <w:tcBorders>
              <w:bottom w:val="single" w:sz="8" w:color="auto"/>
            </w:tcBorders>
          </w:tcPr>
          <w:p>
            <w:pPr>
              <w:spacing w:after="0" w:line="164" w:lineRule="exact"/>
              <w:rPr>
                <w:sz w:val="20"/>
                <w:szCs w:val="20"/>
                <w:color w:val="auto"/>
              </w:rPr>
            </w:pPr>
            <w:r>
              <w:rPr>
                <w:rFonts w:ascii="Arial" w:cs="Arial" w:eastAsia="Arial" w:hAnsi="Arial"/>
                <w:sz w:val="15"/>
                <w:szCs w:val="15"/>
                <w:color w:val="auto"/>
              </w:rPr>
              <w:t>($ in millions)</w:t>
            </w: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03"/>
              <w:spacing w:after="0" w:line="164" w:lineRule="exact"/>
              <w:rPr>
                <w:sz w:val="20"/>
                <w:szCs w:val="20"/>
                <w:color w:val="auto"/>
              </w:rPr>
            </w:pPr>
            <w:r>
              <w:rPr>
                <w:rFonts w:ascii="Arial" w:cs="Arial" w:eastAsia="Arial" w:hAnsi="Arial"/>
                <w:sz w:val="15"/>
                <w:szCs w:val="15"/>
                <w:b w:val="1"/>
                <w:bCs w:val="1"/>
                <w:color w:val="auto"/>
              </w:rPr>
              <w:t>July 29, 2017</w:t>
            </w: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43"/>
              <w:spacing w:after="0" w:line="164" w:lineRule="exact"/>
              <w:rPr>
                <w:sz w:val="20"/>
                <w:szCs w:val="20"/>
                <w:color w:val="auto"/>
              </w:rPr>
            </w:pPr>
            <w:r>
              <w:rPr>
                <w:rFonts w:ascii="Arial" w:cs="Arial" w:eastAsia="Arial" w:hAnsi="Arial"/>
                <w:sz w:val="15"/>
                <w:szCs w:val="15"/>
                <w:b w:val="1"/>
                <w:bCs w:val="1"/>
                <w:color w:val="auto"/>
              </w:rPr>
              <w:t>July 30, 2016</w:t>
            </w:r>
          </w:p>
        </w:tc>
        <w:tc>
          <w:tcPr>
            <w:tcW w:w="1640" w:type="dxa"/>
            <w:vAlign w:val="bottom"/>
            <w:tcBorders>
              <w:bottom w:val="single" w:sz="8" w:color="auto"/>
            </w:tcBorders>
            <w:gridSpan w:val="2"/>
          </w:tcPr>
          <w:p>
            <w:pPr>
              <w:jc w:val="right"/>
              <w:ind w:right="303"/>
              <w:spacing w:after="0" w:line="164" w:lineRule="exact"/>
              <w:rPr>
                <w:sz w:val="20"/>
                <w:szCs w:val="20"/>
                <w:color w:val="auto"/>
              </w:rPr>
            </w:pPr>
            <w:r>
              <w:rPr>
                <w:rFonts w:ascii="Arial" w:cs="Arial" w:eastAsia="Arial" w:hAnsi="Arial"/>
                <w:sz w:val="15"/>
                <w:szCs w:val="15"/>
                <w:b w:val="1"/>
                <w:bCs w:val="1"/>
                <w:color w:val="auto"/>
              </w:rPr>
              <w:t>July 29, 2017</w:t>
            </w: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3"/>
              <w:spacing w:after="0" w:line="164" w:lineRule="exact"/>
              <w:rPr>
                <w:sz w:val="20"/>
                <w:szCs w:val="20"/>
                <w:color w:val="auto"/>
              </w:rPr>
            </w:pPr>
            <w:r>
              <w:rPr>
                <w:rFonts w:ascii="Arial" w:cs="Arial" w:eastAsia="Arial" w:hAnsi="Arial"/>
                <w:sz w:val="15"/>
                <w:szCs w:val="15"/>
                <w:b w:val="1"/>
                <w:bCs w:val="1"/>
                <w:color w:val="auto"/>
              </w:rPr>
              <w:t>July 30, 2016</w:t>
            </w:r>
          </w:p>
        </w:tc>
      </w:tr>
      <w:tr>
        <w:trPr>
          <w:trHeight w:val="211"/>
        </w:trPr>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w:t>
            </w:r>
          </w:p>
        </w:tc>
        <w:tc>
          <w:tcPr>
            <w:tcW w:w="5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367"/>
        </w:trPr>
        <w:tc>
          <w:tcPr>
            <w:tcW w:w="5940" w:type="dxa"/>
            <w:vAlign w:val="bottom"/>
            <w:gridSpan w:val="5"/>
          </w:tcPr>
          <w:p>
            <w:pPr>
              <w:spacing w:after="0"/>
              <w:rPr>
                <w:sz w:val="20"/>
                <w:szCs w:val="20"/>
                <w:color w:val="auto"/>
              </w:rPr>
            </w:pPr>
            <w:r>
              <w:rPr>
                <w:rFonts w:ascii="Arial" w:cs="Arial" w:eastAsia="Arial" w:hAnsi="Arial"/>
                <w:sz w:val="15"/>
                <w:szCs w:val="15"/>
                <w:color w:val="auto"/>
              </w:rPr>
              <w:t>Estimated future amortization expense for finite life intangible assets is as follows:</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2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 in millions)</w:t>
            </w:r>
          </w:p>
        </w:tc>
      </w:tr>
      <w:tr>
        <w:trPr>
          <w:trHeight w:val="187"/>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Remainder of 2017</w:t>
            </w:r>
          </w:p>
        </w:tc>
        <w:tc>
          <w:tcPr>
            <w:tcW w:w="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07"/>
        </w:trPr>
        <w:tc>
          <w:tcPr>
            <w:tcW w:w="2160" w:type="dxa"/>
            <w:vAlign w:val="bottom"/>
          </w:tcPr>
          <w:p>
            <w:pPr>
              <w:spacing w:after="0"/>
              <w:rPr>
                <w:sz w:val="20"/>
                <w:szCs w:val="20"/>
                <w:color w:val="auto"/>
              </w:rPr>
            </w:pPr>
            <w:r>
              <w:rPr>
                <w:rFonts w:ascii="Arial" w:cs="Arial" w:eastAsia="Arial" w:hAnsi="Arial"/>
                <w:sz w:val="15"/>
                <w:szCs w:val="15"/>
                <w:color w:val="auto"/>
              </w:rPr>
              <w:t>2018</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7"/>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07"/>
        </w:trPr>
        <w:tc>
          <w:tcPr>
            <w:tcW w:w="2160" w:type="dxa"/>
            <w:vAlign w:val="bottom"/>
          </w:tcPr>
          <w:p>
            <w:pPr>
              <w:spacing w:after="0"/>
              <w:rPr>
                <w:sz w:val="20"/>
                <w:szCs w:val="20"/>
                <w:color w:val="auto"/>
              </w:rPr>
            </w:pPr>
            <w:r>
              <w:rPr>
                <w:rFonts w:ascii="Arial" w:cs="Arial" w:eastAsia="Arial" w:hAnsi="Arial"/>
                <w:sz w:val="15"/>
                <w:szCs w:val="15"/>
                <w:color w:val="auto"/>
              </w:rPr>
              <w:t>2020</w:t>
            </w: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7"/>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07"/>
        </w:trPr>
        <w:tc>
          <w:tcPr>
            <w:tcW w:w="2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2022</w:t>
            </w:r>
          </w:p>
        </w:tc>
        <w:tc>
          <w:tcPr>
            <w:tcW w:w="8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Accumulated Other Comprehensive Loss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Accumulated other comprehensive loss (“AOCL”), net of tax, is comprised of the following: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July 29,</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center"/>
              <w:ind w:right="423"/>
              <w:spacing w:after="0"/>
              <w:rPr>
                <w:sz w:val="20"/>
                <w:szCs w:val="20"/>
                <w:color w:val="auto"/>
              </w:rPr>
            </w:pPr>
            <w:r>
              <w:rPr>
                <w:rFonts w:ascii="Arial" w:cs="Arial" w:eastAsia="Arial" w:hAnsi="Arial"/>
                <w:sz w:val="15"/>
                <w:szCs w:val="15"/>
                <w:b w:val="1"/>
                <w:bCs w:val="1"/>
                <w:color w:val="auto"/>
              </w:rPr>
              <w:t>July 30,</w:t>
            </w:r>
          </w:p>
        </w:tc>
        <w:tc>
          <w:tcPr>
            <w:tcW w:w="1340" w:type="dxa"/>
            <w:vAlign w:val="bottom"/>
            <w:gridSpan w:val="2"/>
          </w:tcPr>
          <w:p>
            <w:pPr>
              <w:jc w:val="right"/>
              <w:ind w:right="143"/>
              <w:spacing w:after="0"/>
              <w:rPr>
                <w:sz w:val="20"/>
                <w:szCs w:val="20"/>
                <w:color w:val="auto"/>
              </w:rPr>
            </w:pPr>
            <w:r>
              <w:rPr>
                <w:rFonts w:ascii="Arial" w:cs="Arial" w:eastAsia="Arial" w:hAnsi="Arial"/>
                <w:sz w:val="15"/>
                <w:szCs w:val="15"/>
                <w:b w:val="1"/>
                <w:bCs w:val="1"/>
                <w:color w:val="auto"/>
              </w:rPr>
              <w:t>January 28,</w:t>
            </w:r>
          </w:p>
        </w:tc>
      </w:tr>
      <w:tr>
        <w:trPr>
          <w:trHeight w:val="194"/>
        </w:trPr>
        <w:tc>
          <w:tcPr>
            <w:tcW w:w="4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2017</w:t>
            </w: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2016</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r>
      <w:tr>
        <w:trPr>
          <w:trHeight w:val="187"/>
        </w:trPr>
        <w:tc>
          <w:tcPr>
            <w:tcW w:w="4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5"/>
                <w:szCs w:val="15"/>
                <w:color w:val="auto"/>
              </w:rPr>
              <w:t>($ in millions)</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360" w:type="dxa"/>
            <w:vAlign w:val="bottom"/>
            <w:shd w:val="clear" w:color="auto" w:fill="CCEEFF"/>
          </w:tcPr>
          <w:p>
            <w:pPr>
              <w:jc w:val="right"/>
              <w:ind w:right="603"/>
              <w:spacing w:after="0"/>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(53)</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(102)</w:t>
            </w:r>
          </w:p>
        </w:tc>
        <w:tc>
          <w:tcPr>
            <w:tcW w:w="4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r>
      <w:tr>
        <w:trPr>
          <w:trHeight w:val="207"/>
        </w:trPr>
        <w:tc>
          <w:tcPr>
            <w:tcW w:w="4300" w:type="dxa"/>
            <w:vAlign w:val="bottom"/>
          </w:tcPr>
          <w:p>
            <w:pPr>
              <w:spacing w:after="0"/>
              <w:rPr>
                <w:sz w:val="20"/>
                <w:szCs w:val="20"/>
                <w:color w:val="auto"/>
              </w:rPr>
            </w:pPr>
            <w:r>
              <w:rPr>
                <w:rFonts w:ascii="Arial" w:cs="Arial" w:eastAsia="Arial" w:hAnsi="Arial"/>
                <w:sz w:val="15"/>
                <w:szCs w:val="15"/>
                <w:color w:val="auto"/>
              </w:rPr>
              <w:t>Cash flow hedges</w:t>
            </w:r>
          </w:p>
        </w:tc>
        <w:tc>
          <w:tcPr>
            <w:tcW w:w="1360" w:type="dxa"/>
            <w:vAlign w:val="bottom"/>
          </w:tcPr>
          <w:p>
            <w:pPr>
              <w:spacing w:after="0"/>
              <w:rPr>
                <w:sz w:val="17"/>
                <w:szCs w:val="17"/>
                <w:color w:val="auto"/>
              </w:rPr>
            </w:pPr>
          </w:p>
        </w:tc>
        <w:tc>
          <w:tcPr>
            <w:tcW w:w="560" w:type="dxa"/>
            <w:vAlign w:val="bottom"/>
          </w:tcPr>
          <w:p>
            <w:pPr>
              <w:jc w:val="right"/>
              <w:ind w:right="163"/>
              <w:spacing w:after="0"/>
              <w:rPr>
                <w:sz w:val="20"/>
                <w:szCs w:val="20"/>
                <w:color w:val="auto"/>
              </w:rPr>
            </w:pPr>
            <w:r>
              <w:rPr>
                <w:rFonts w:ascii="Arial" w:cs="Arial" w:eastAsia="Arial" w:hAnsi="Arial"/>
                <w:sz w:val="15"/>
                <w:szCs w:val="15"/>
                <w:b w:val="1"/>
                <w:bCs w:val="1"/>
                <w:color w:val="auto"/>
              </w:rPr>
              <w:t>2</w:t>
            </w:r>
          </w:p>
        </w:tc>
        <w:tc>
          <w:tcPr>
            <w:tcW w:w="360" w:type="dxa"/>
            <w:vAlign w:val="bottom"/>
          </w:tcPr>
          <w:p>
            <w:pPr>
              <w:spacing w:after="0"/>
              <w:rPr>
                <w:sz w:val="17"/>
                <w:szCs w:val="17"/>
                <w:color w:val="auto"/>
              </w:rPr>
            </w:pPr>
          </w:p>
        </w:tc>
        <w:tc>
          <w:tcPr>
            <w:tcW w:w="1180" w:type="dxa"/>
            <w:vAlign w:val="bottom"/>
          </w:tcPr>
          <w:p>
            <w:pPr>
              <w:jc w:val="right"/>
              <w:ind w:right="163"/>
              <w:spacing w:after="0"/>
              <w:rPr>
                <w:sz w:val="20"/>
                <w:szCs w:val="20"/>
                <w:color w:val="auto"/>
              </w:rPr>
            </w:pPr>
            <w:r>
              <w:rPr>
                <w:rFonts w:ascii="Arial" w:cs="Arial" w:eastAsia="Arial" w:hAnsi="Arial"/>
                <w:sz w:val="15"/>
                <w:szCs w:val="15"/>
                <w:color w:val="auto"/>
              </w:rPr>
              <w:t>5</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7"/>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Unrecognized pension cost and postretirement benefit</w:t>
            </w:r>
          </w:p>
        </w:tc>
        <w:tc>
          <w:tcPr>
            <w:tcW w:w="13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6"/>
              </w:rPr>
              <w:t>(233)</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(246)</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r>
      <w:tr>
        <w:trPr>
          <w:trHeight w:val="207"/>
        </w:trPr>
        <w:tc>
          <w:tcPr>
            <w:tcW w:w="4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Unrealized loss on available-for-sale security</w:t>
            </w:r>
          </w:p>
        </w:tc>
        <w:tc>
          <w:tcPr>
            <w:tcW w:w="13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79"/>
        </w:trPr>
        <w:tc>
          <w:tcPr>
            <w:tcW w:w="43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96"/>
              </w:rPr>
              <w:t>(284)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(343)</w:t>
            </w:r>
          </w:p>
        </w:tc>
        <w:tc>
          <w:tcPr>
            <w:tcW w:w="4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AOCL for the twenty-six weeks ended July 29, 2017 were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vMerge w:val="restart"/>
          </w:tcPr>
          <w:p>
            <w:pPr>
              <w:jc w:val="center"/>
              <w:ind w:right="243"/>
              <w:spacing w:after="0"/>
              <w:rPr>
                <w:sz w:val="20"/>
                <w:szCs w:val="20"/>
                <w:color w:val="auto"/>
              </w:rPr>
            </w:pPr>
            <w:r>
              <w:rPr>
                <w:rFonts w:ascii="Arial" w:cs="Arial" w:eastAsia="Arial" w:hAnsi="Arial"/>
                <w:sz w:val="15"/>
                <w:szCs w:val="15"/>
                <w:b w:val="1"/>
                <w:bCs w:val="1"/>
                <w:color w:val="auto"/>
              </w:rPr>
              <w:t>Foreign</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5"/>
                <w:szCs w:val="15"/>
                <w:b w:val="1"/>
                <w:bCs w:val="1"/>
                <w:color w:val="auto"/>
              </w:rPr>
              <w:t>Items Related</w:t>
            </w:r>
          </w:p>
        </w:tc>
        <w:tc>
          <w:tcPr>
            <w:tcW w:w="1420" w:type="dxa"/>
            <w:vAlign w:val="bottom"/>
            <w:gridSpan w:val="2"/>
            <w:vMerge w:val="restart"/>
          </w:tcPr>
          <w:p>
            <w:pPr>
              <w:jc w:val="center"/>
              <w:ind w:right="3"/>
              <w:spacing w:after="0"/>
              <w:rPr>
                <w:sz w:val="20"/>
                <w:szCs w:val="20"/>
                <w:color w:val="auto"/>
              </w:rPr>
            </w:pPr>
            <w:r>
              <w:rPr>
                <w:rFonts w:ascii="Arial" w:cs="Arial" w:eastAsia="Arial" w:hAnsi="Arial"/>
                <w:sz w:val="15"/>
                <w:szCs w:val="15"/>
                <w:b w:val="1"/>
                <w:bCs w:val="1"/>
                <w:color w:val="auto"/>
              </w:rPr>
              <w:t>Unrealized Loss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center"/>
              <w:ind w:right="243"/>
              <w:spacing w:after="0"/>
              <w:rPr>
                <w:sz w:val="20"/>
                <w:szCs w:val="20"/>
                <w:color w:val="auto"/>
              </w:rPr>
            </w:pPr>
            <w:r>
              <w:rPr>
                <w:rFonts w:ascii="Arial" w:cs="Arial" w:eastAsia="Arial" w:hAnsi="Arial"/>
                <w:sz w:val="15"/>
                <w:szCs w:val="15"/>
                <w:b w:val="1"/>
                <w:bCs w:val="1"/>
                <w:color w:val="auto"/>
              </w:rPr>
              <w:t>Currency</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
              <w:spacing w:after="0"/>
              <w:rPr>
                <w:sz w:val="20"/>
                <w:szCs w:val="20"/>
                <w:color w:val="auto"/>
              </w:rPr>
            </w:pPr>
            <w:r>
              <w:rPr>
                <w:rFonts w:ascii="Arial" w:cs="Arial" w:eastAsia="Arial" w:hAnsi="Arial"/>
                <w:sz w:val="15"/>
                <w:szCs w:val="15"/>
                <w:b w:val="1"/>
                <w:bCs w:val="1"/>
                <w:color w:val="auto"/>
              </w:rPr>
              <w:t>to Pension and</w:t>
            </w:r>
          </w:p>
        </w:tc>
        <w:tc>
          <w:tcPr>
            <w:tcW w:w="380" w:type="dxa"/>
            <w:vAlign w:val="bottom"/>
          </w:tcPr>
          <w:p>
            <w:pPr>
              <w:spacing w:after="0"/>
              <w:rPr>
                <w:sz w:val="15"/>
                <w:szCs w:val="15"/>
                <w:color w:val="auto"/>
              </w:rPr>
            </w:pPr>
          </w:p>
        </w:tc>
        <w:tc>
          <w:tcPr>
            <w:tcW w:w="1040" w:type="dxa"/>
            <w:vAlign w:val="bottom"/>
          </w:tcPr>
          <w:p>
            <w:pPr>
              <w:jc w:val="center"/>
              <w:ind w:right="383"/>
              <w:spacing w:after="0"/>
              <w:rPr>
                <w:sz w:val="20"/>
                <w:szCs w:val="20"/>
                <w:color w:val="auto"/>
              </w:rPr>
            </w:pPr>
            <w:r>
              <w:rPr>
                <w:rFonts w:ascii="Arial" w:cs="Arial" w:eastAsia="Arial" w:hAnsi="Arial"/>
                <w:sz w:val="15"/>
                <w:szCs w:val="15"/>
                <w:b w:val="1"/>
                <w:bCs w:val="1"/>
                <w:color w:val="auto"/>
                <w:w w:val="97"/>
              </w:rPr>
              <w:t>on</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1500" w:type="dxa"/>
            <w:vAlign w:val="bottom"/>
            <w:gridSpan w:val="2"/>
          </w:tcPr>
          <w:p>
            <w:pPr>
              <w:jc w:val="center"/>
              <w:ind w:left="83"/>
              <w:spacing w:after="0"/>
              <w:rPr>
                <w:sz w:val="20"/>
                <w:szCs w:val="20"/>
                <w:color w:val="auto"/>
              </w:rPr>
            </w:pPr>
            <w:r>
              <w:rPr>
                <w:rFonts w:ascii="Arial" w:cs="Arial" w:eastAsia="Arial" w:hAnsi="Arial"/>
                <w:sz w:val="15"/>
                <w:szCs w:val="15"/>
                <w:b w:val="1"/>
                <w:bCs w:val="1"/>
                <w:color w:val="auto"/>
              </w:rPr>
              <w:t>Translation</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Cash Flow</w:t>
            </w:r>
          </w:p>
        </w:tc>
        <w:tc>
          <w:tcPr>
            <w:tcW w:w="260" w:type="dxa"/>
            <w:vAlign w:val="bottom"/>
          </w:tcPr>
          <w:p>
            <w:pPr>
              <w:spacing w:after="0"/>
              <w:rPr>
                <w:sz w:val="15"/>
                <w:szCs w:val="15"/>
                <w:color w:val="auto"/>
              </w:rPr>
            </w:pPr>
          </w:p>
        </w:tc>
        <w:tc>
          <w:tcPr>
            <w:tcW w:w="1380" w:type="dxa"/>
            <w:vAlign w:val="bottom"/>
            <w:gridSpan w:val="2"/>
          </w:tcPr>
          <w:p>
            <w:pPr>
              <w:jc w:val="center"/>
              <w:ind w:right="3"/>
              <w:spacing w:after="0"/>
              <w:rPr>
                <w:sz w:val="20"/>
                <w:szCs w:val="20"/>
                <w:color w:val="auto"/>
              </w:rPr>
            </w:pPr>
            <w:r>
              <w:rPr>
                <w:rFonts w:ascii="Arial" w:cs="Arial" w:eastAsia="Arial" w:hAnsi="Arial"/>
                <w:sz w:val="15"/>
                <w:szCs w:val="15"/>
                <w:b w:val="1"/>
                <w:bCs w:val="1"/>
                <w:color w:val="auto"/>
              </w:rPr>
              <w:t>Postretirement</w:t>
            </w:r>
          </w:p>
        </w:tc>
        <w:tc>
          <w:tcPr>
            <w:tcW w:w="1420" w:type="dxa"/>
            <w:vAlign w:val="bottom"/>
            <w:gridSpan w:val="2"/>
          </w:tcPr>
          <w:p>
            <w:pPr>
              <w:jc w:val="center"/>
              <w:ind w:right="3"/>
              <w:spacing w:after="0"/>
              <w:rPr>
                <w:sz w:val="20"/>
                <w:szCs w:val="20"/>
                <w:color w:val="auto"/>
              </w:rPr>
            </w:pPr>
            <w:r>
              <w:rPr>
                <w:rFonts w:ascii="Arial" w:cs="Arial" w:eastAsia="Arial" w:hAnsi="Arial"/>
                <w:sz w:val="15"/>
                <w:szCs w:val="15"/>
                <w:b w:val="1"/>
                <w:bCs w:val="1"/>
                <w:color w:val="auto"/>
              </w:rPr>
              <w:t>Available-For-</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150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5"/>
                <w:szCs w:val="15"/>
                <w:b w:val="1"/>
                <w:bCs w:val="1"/>
                <w:color w:val="auto"/>
              </w:rPr>
              <w:t>Adjustments</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Hedges</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3"/>
              <w:spacing w:after="0"/>
              <w:rPr>
                <w:sz w:val="20"/>
                <w:szCs w:val="20"/>
                <w:color w:val="auto"/>
              </w:rPr>
            </w:pPr>
            <w:r>
              <w:rPr>
                <w:rFonts w:ascii="Arial" w:cs="Arial" w:eastAsia="Arial" w:hAnsi="Arial"/>
                <w:sz w:val="15"/>
                <w:szCs w:val="15"/>
                <w:b w:val="1"/>
                <w:bCs w:val="1"/>
                <w:color w:val="auto"/>
              </w:rPr>
              <w:t>Benefits</w:t>
            </w:r>
          </w:p>
        </w:tc>
        <w:tc>
          <w:tcPr>
            <w:tcW w:w="142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5"/>
                <w:szCs w:val="15"/>
                <w:b w:val="1"/>
                <w:bCs w:val="1"/>
                <w:color w:val="auto"/>
              </w:rPr>
              <w:t>Sale Security</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7"/>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Balance as of January 28, 2017</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(127)</w:t>
            </w:r>
          </w:p>
        </w:tc>
        <w:tc>
          <w:tcPr>
            <w:tcW w:w="94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center"/>
              <w:ind w:right="43"/>
              <w:spacing w:after="0"/>
              <w:rPr>
                <w:sz w:val="20"/>
                <w:szCs w:val="20"/>
                <w:color w:val="auto"/>
              </w:rPr>
            </w:pPr>
            <w:r>
              <w:rPr>
                <w:rFonts w:ascii="Arial" w:cs="Arial" w:eastAsia="Arial" w:hAnsi="Arial"/>
                <w:sz w:val="15"/>
                <w:szCs w:val="15"/>
                <w:color w:val="auto"/>
              </w:rPr>
              <w:t>1</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(236)</w:t>
            </w:r>
          </w:p>
        </w:tc>
        <w:tc>
          <w:tcPr>
            <w:tcW w:w="3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5"/>
                <w:szCs w:val="15"/>
                <w:color w:val="auto"/>
              </w:rPr>
              <w:t>OCI before reclassification</w:t>
            </w:r>
          </w:p>
        </w:tc>
        <w:tc>
          <w:tcPr>
            <w:tcW w:w="48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Arial" w:cs="Arial" w:eastAsia="Arial" w:hAnsi="Arial"/>
                <w:sz w:val="15"/>
                <w:szCs w:val="15"/>
                <w:color w:val="auto"/>
              </w:rPr>
              <w:t>74</w:t>
            </w:r>
          </w:p>
        </w:tc>
        <w:tc>
          <w:tcPr>
            <w:tcW w:w="940" w:type="dxa"/>
            <w:vAlign w:val="bottom"/>
          </w:tcPr>
          <w:p>
            <w:pPr>
              <w:spacing w:after="0"/>
              <w:rPr>
                <w:sz w:val="17"/>
                <w:szCs w:val="17"/>
                <w:color w:val="auto"/>
              </w:rPr>
            </w:pPr>
          </w:p>
        </w:tc>
        <w:tc>
          <w:tcPr>
            <w:tcW w:w="260" w:type="dxa"/>
            <w:vAlign w:val="bottom"/>
          </w:tcPr>
          <w:p>
            <w:pPr>
              <w:jc w:val="center"/>
              <w:ind w:right="43"/>
              <w:spacing w:after="0"/>
              <w:rPr>
                <w:sz w:val="20"/>
                <w:szCs w:val="20"/>
                <w:color w:val="auto"/>
              </w:rPr>
            </w:pPr>
            <w:r>
              <w:rPr>
                <w:rFonts w:ascii="Arial" w:cs="Arial" w:eastAsia="Arial" w:hAnsi="Arial"/>
                <w:sz w:val="15"/>
                <w:szCs w:val="15"/>
                <w:color w:val="auto"/>
              </w:rPr>
              <w:t>1</w:t>
            </w:r>
          </w:p>
        </w:tc>
        <w:tc>
          <w:tcPr>
            <w:tcW w:w="30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Reclassified from AOCL</w:t>
            </w: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center"/>
              <w:ind w:right="23"/>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87"/>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comprehensive income</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74</w:t>
            </w: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rPr>
              <w:t>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as of July 29, 2017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(53)</w:t>
            </w:r>
          </w:p>
        </w:tc>
        <w:tc>
          <w:tcPr>
            <w:tcW w:w="94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shd w:val="clear" w:color="auto" w:fill="CCEEFF"/>
          </w:tcPr>
          <w:p>
            <w:pPr>
              <w:jc w:val="center"/>
              <w:ind w:right="43"/>
              <w:spacing w:after="0"/>
              <w:rPr>
                <w:sz w:val="20"/>
                <w:szCs w:val="20"/>
                <w:color w:val="auto"/>
              </w:rPr>
            </w:pPr>
            <w:r>
              <w:rPr>
                <w:rFonts w:ascii="Arial" w:cs="Arial" w:eastAsia="Arial" w:hAnsi="Arial"/>
                <w:sz w:val="15"/>
                <w:szCs w:val="15"/>
                <w:b w:val="1"/>
                <w:bCs w:val="1"/>
                <w:color w:val="auto"/>
              </w:rPr>
              <w:t>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(233)</w:t>
            </w:r>
          </w:p>
        </w:tc>
        <w:tc>
          <w:tcPr>
            <w:tcW w:w="3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(284)</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Reclassifications from AOCL for the twenty-six weeks ended July 29, 2017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38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r>
      <w:tr>
        <w:trPr>
          <w:trHeight w:val="187"/>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Amortization of actuarial (gain) loss:</w:t>
            </w:r>
          </w:p>
        </w:tc>
        <w:tc>
          <w:tcPr>
            <w:tcW w:w="38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160" w:type="dxa"/>
            <w:vAlign w:val="bottom"/>
          </w:tcPr>
          <w:p>
            <w:pPr>
              <w:ind w:left="180"/>
              <w:spacing w:after="0"/>
              <w:rPr>
                <w:sz w:val="20"/>
                <w:szCs w:val="20"/>
                <w:color w:val="auto"/>
              </w:rPr>
            </w:pPr>
            <w:r>
              <w:rPr>
                <w:rFonts w:ascii="Arial" w:cs="Arial" w:eastAsia="Arial" w:hAnsi="Arial"/>
                <w:sz w:val="15"/>
                <w:szCs w:val="15"/>
                <w:color w:val="auto"/>
              </w:rPr>
              <w:t>Pension benefits- amortization of actuarial loss</w:t>
            </w:r>
          </w:p>
        </w:tc>
        <w:tc>
          <w:tcPr>
            <w:tcW w:w="384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100" w:type="dxa"/>
            <w:vAlign w:val="bottom"/>
          </w:tcPr>
          <w:p>
            <w:pPr>
              <w:jc w:val="center"/>
              <w:ind w:left="863"/>
              <w:spacing w:after="0"/>
              <w:rPr>
                <w:sz w:val="20"/>
                <w:szCs w:val="20"/>
                <w:color w:val="auto"/>
              </w:rPr>
            </w:pPr>
            <w:r>
              <w:rPr>
                <w:rFonts w:ascii="Arial" w:cs="Arial" w:eastAsia="Arial" w:hAnsi="Arial"/>
                <w:sz w:val="15"/>
                <w:szCs w:val="15"/>
                <w:color w:val="auto"/>
                <w:w w:val="95"/>
              </w:rPr>
              <w:t>7</w:t>
            </w:r>
          </w:p>
        </w:tc>
        <w:tc>
          <w:tcPr>
            <w:tcW w:w="20" w:type="dxa"/>
            <w:vAlign w:val="bottom"/>
          </w:tcPr>
          <w:p>
            <w:pPr>
              <w:spacing w:after="0"/>
              <w:rPr>
                <w:sz w:val="17"/>
                <w:szCs w:val="17"/>
                <w:color w:val="auto"/>
              </w:rPr>
            </w:pPr>
          </w:p>
        </w:tc>
      </w:tr>
      <w:tr>
        <w:trPr>
          <w:trHeight w:val="207"/>
        </w:trPr>
        <w:tc>
          <w:tcPr>
            <w:tcW w:w="4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Postretirement benefits- amortization of actuarial gain</w:t>
            </w:r>
          </w:p>
        </w:tc>
        <w:tc>
          <w:tcPr>
            <w:tcW w:w="38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ind w:left="843"/>
              <w:spacing w:after="0"/>
              <w:rPr>
                <w:sz w:val="20"/>
                <w:szCs w:val="20"/>
                <w:color w:val="auto"/>
              </w:rPr>
            </w:pPr>
            <w:r>
              <w:rPr>
                <w:rFonts w:ascii="Arial" w:cs="Arial" w:eastAsia="Arial" w:hAnsi="Arial"/>
                <w:sz w:val="15"/>
                <w:szCs w:val="15"/>
                <w:color w:val="auto"/>
                <w:w w:val="97"/>
              </w:rPr>
              <w:t>(1)</w:t>
            </w:r>
          </w:p>
        </w:tc>
        <w:tc>
          <w:tcPr>
            <w:tcW w:w="20" w:type="dxa"/>
            <w:vAlign w:val="bottom"/>
          </w:tcPr>
          <w:p>
            <w:pPr>
              <w:spacing w:after="0"/>
              <w:rPr>
                <w:sz w:val="17"/>
                <w:szCs w:val="17"/>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5"/>
                <w:szCs w:val="15"/>
                <w:color w:val="auto"/>
              </w:rPr>
              <w:t>Net periodic benefit cost (see Note 10)</w:t>
            </w:r>
          </w:p>
        </w:tc>
        <w:tc>
          <w:tcPr>
            <w:tcW w:w="3840" w:type="dxa"/>
            <w:vAlign w:val="bottom"/>
          </w:tcPr>
          <w:p>
            <w:pPr>
              <w:spacing w:after="0"/>
              <w:rPr>
                <w:sz w:val="16"/>
                <w:szCs w:val="16"/>
                <w:color w:val="auto"/>
              </w:rPr>
            </w:pPr>
          </w:p>
        </w:tc>
        <w:tc>
          <w:tcPr>
            <w:tcW w:w="1100" w:type="dxa"/>
            <w:vAlign w:val="bottom"/>
          </w:tcPr>
          <w:p>
            <w:pPr>
              <w:jc w:val="center"/>
              <w:ind w:left="863"/>
              <w:spacing w:after="0"/>
              <w:rPr>
                <w:sz w:val="20"/>
                <w:szCs w:val="20"/>
                <w:color w:val="auto"/>
              </w:rPr>
            </w:pPr>
            <w:r>
              <w:rPr>
                <w:rFonts w:ascii="Arial" w:cs="Arial" w:eastAsia="Arial" w:hAnsi="Arial"/>
                <w:sz w:val="15"/>
                <w:szCs w:val="15"/>
                <w:color w:val="auto"/>
                <w:w w:val="95"/>
              </w:rPr>
              <w:t>6</w:t>
            </w:r>
          </w:p>
        </w:tc>
        <w:tc>
          <w:tcPr>
            <w:tcW w:w="20" w:type="dxa"/>
            <w:vAlign w:val="bottom"/>
          </w:tcPr>
          <w:p>
            <w:pPr>
              <w:spacing w:after="0"/>
              <w:rPr>
                <w:sz w:val="16"/>
                <w:szCs w:val="16"/>
                <w:color w:val="auto"/>
              </w:rPr>
            </w:pPr>
          </w:p>
        </w:tc>
      </w:tr>
      <w:tr>
        <w:trPr>
          <w:trHeight w:val="207"/>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38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ind w:left="843"/>
              <w:spacing w:after="0"/>
              <w:rPr>
                <w:sz w:val="20"/>
                <w:szCs w:val="20"/>
                <w:color w:val="auto"/>
              </w:rPr>
            </w:pPr>
            <w:r>
              <w:rPr>
                <w:rFonts w:ascii="Arial" w:cs="Arial" w:eastAsia="Arial" w:hAnsi="Arial"/>
                <w:sz w:val="15"/>
                <w:szCs w:val="15"/>
                <w:color w:val="auto"/>
                <w:w w:val="97"/>
              </w:rPr>
              <w:t>(2)</w:t>
            </w:r>
          </w:p>
        </w:tc>
        <w:tc>
          <w:tcPr>
            <w:tcW w:w="20" w:type="dxa"/>
            <w:vAlign w:val="bottom"/>
          </w:tcPr>
          <w:p>
            <w:pPr>
              <w:spacing w:after="0"/>
              <w:rPr>
                <w:sz w:val="17"/>
                <w:szCs w:val="17"/>
                <w:color w:val="auto"/>
              </w:rPr>
            </w:pPr>
          </w:p>
        </w:tc>
      </w:tr>
      <w:tr>
        <w:trPr>
          <w:trHeight w:val="179"/>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of tax</w:t>
            </w:r>
          </w:p>
        </w:tc>
        <w:tc>
          <w:tcPr>
            <w:tcW w:w="38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center"/>
              <w:ind w:left="863"/>
              <w:spacing w:after="0"/>
              <w:rPr>
                <w:sz w:val="20"/>
                <w:szCs w:val="20"/>
                <w:color w:val="auto"/>
              </w:rPr>
            </w:pPr>
            <w:r>
              <w:rPr>
                <w:rFonts w:ascii="Arial" w:cs="Arial" w:eastAsia="Arial" w:hAnsi="Arial"/>
                <w:sz w:val="15"/>
                <w:szCs w:val="15"/>
                <w:color w:val="auto"/>
                <w:w w:val="95"/>
              </w:rPr>
              <w:t>4</w:t>
            </w:r>
          </w:p>
        </w:tc>
        <w:tc>
          <w:tcPr>
            <w:tcW w:w="20" w:type="dxa"/>
            <w:vAlign w:val="bottom"/>
          </w:tcPr>
          <w:p>
            <w:pPr>
              <w:spacing w:after="0"/>
              <w:rPr>
                <w:sz w:val="15"/>
                <w:szCs w:val="15"/>
                <w:color w:val="auto"/>
              </w:rPr>
            </w:pPr>
          </w:p>
        </w:tc>
      </w:tr>
      <w:tr>
        <w:trPr>
          <w:trHeight w:val="764"/>
        </w:trPr>
        <w:tc>
          <w:tcPr>
            <w:tcW w:w="4160" w:type="dxa"/>
            <w:vAlign w:val="bottom"/>
          </w:tcPr>
          <w:p>
            <w:pPr>
              <w:spacing w:after="0"/>
              <w:rPr>
                <w:sz w:val="24"/>
                <w:szCs w:val="24"/>
                <w:color w:val="auto"/>
              </w:rPr>
            </w:pPr>
          </w:p>
        </w:tc>
        <w:tc>
          <w:tcPr>
            <w:tcW w:w="3840" w:type="dxa"/>
            <w:vAlign w:val="bottom"/>
          </w:tcPr>
          <w:p>
            <w:pPr>
              <w:jc w:val="right"/>
              <w:ind w:right="3323"/>
              <w:spacing w:after="0"/>
              <w:rPr>
                <w:sz w:val="20"/>
                <w:szCs w:val="20"/>
                <w:color w:val="auto"/>
              </w:rPr>
            </w:pPr>
            <w:r>
              <w:rPr>
                <w:rFonts w:ascii="Arial" w:cs="Arial" w:eastAsia="Arial" w:hAnsi="Arial"/>
                <w:sz w:val="15"/>
                <w:szCs w:val="15"/>
                <w:color w:val="auto"/>
              </w:rPr>
              <w:t>8</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416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160" w:type="dxa"/>
            <w:vAlign w:val="bottom"/>
            <w:tcBorders>
              <w:bottom w:val="single" w:sz="8" w:color="EEEEEE"/>
            </w:tcBorders>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0" w:name="page11"/>
    <w:bookmarkEnd w:id="10"/>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Financial Instruments</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8, </w:t>
      </w:r>
      <w:r>
        <w:rPr>
          <w:rFonts w:ascii="Arial" w:cs="Arial" w:eastAsia="Arial" w:hAnsi="Arial"/>
          <w:sz w:val="15"/>
          <w:szCs w:val="15"/>
          <w:i w:val="1"/>
          <w:iCs w:val="1"/>
          <w:color w:val="auto"/>
        </w:rPr>
        <w:t>Fair Value Measurements</w:t>
      </w:r>
      <w:r>
        <w:rPr>
          <w:rFonts w:ascii="Arial" w:cs="Arial" w:eastAsia="Arial" w:hAnsi="Arial"/>
          <w:sz w:val="15"/>
          <w:szCs w:val="15"/>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Derivative Holdings Designated as Hedges</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The amount of such gains or losses that were recognized in earnings during the twenty-six weeks ended July 29, 2017 was not significant and there were no such gains or losses in the corresponding prior-year period.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19"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The primary currencies to which the Company is exposed are the euro, British pound, Canadian dollar, and Australian dollar. For the most part, merchandise inventories are purchased by each geographic area in their respective local currency. The most significant exception to this is the United Kingdom, whose merchandise inventory purchases are denominated in euros. 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quarter-end, substantially all of the Company’s hedged forecasted transactions were less than twelve months into the future, and the Company expects the derivative-related amounts reported in AOCL to be reclassified to earnings within twelve months.</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net change in the fair value of the foreign exchange derivative financial instruments designated as cash flow hedges was a $2 million gain for the thirteen weeks ended July 29, 2017 and a $1 million gain for the twenty-six weeks ended July 29, 2017. At July 29, 2017, a $2 million gain remained in AOCL. For both the thirteen and twenty-six weeks ended July 30, 2016, the net change in fair value was a $3 million gain. The notional value of the foreign exchange contracts designed as hedges outstanding at July 29, 2017 was $125 million, and these contracts mature at various dates through August 2018.</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Derivative Holdings Not Designated as Hedges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enters into certain derivative contracts that are not designated as hedges, such as foreign exchange forward contracts and currency option contracts. These derivative contracts are used to manage certain costs of foreign currency-denominated merchandise purchases, intercompany transactions, and the effect of fluctuating foreign exchange rates on the reporting of foreign currency-denominated earnings. Changes in the fair value of derivative holdings not designated as hedges, as well as realized gains and premiums paid, are recorded in earnings immediately within selling, general and administrative expenses or other income, depending on the type of transaction. The net change in fair value was not significant for the thirteen and twenty-six weeks ended July 29, 2017. The net change in fair value was not significant for the thirteen weeks ended July 30, 2016 and resulted in expense of $1 million for the twenty-six weeks ended July 30, 2016. The notional value of the foreign exchange contracts not designed as hedges outstanding at July 29, 2017 was $2 million, and these contracts mature in August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1" w:name="page12"/>
    <w:bookmarkEnd w:id="11"/>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From time to time, 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recorded were not significant for any of the periods presented. No such contracts were outstanding at July 29, 2017.</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of Derivative Contracts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represents the fair value of the Company’s derivative contracts. Many of the Company’s agreements allow for a netting arrangement. The following is presented on a gross basis, by type of contract: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60" w:type="dxa"/>
            <w:vAlign w:val="bottom"/>
          </w:tcPr>
          <w:p>
            <w:pPr>
              <w:spacing w:after="0"/>
              <w:rPr>
                <w:sz w:val="15"/>
                <w:szCs w:val="15"/>
                <w:color w:val="auto"/>
              </w:rPr>
            </w:pPr>
          </w:p>
        </w:tc>
        <w:tc>
          <w:tcPr>
            <w:tcW w:w="2080" w:type="dxa"/>
            <w:vAlign w:val="bottom"/>
          </w:tcPr>
          <w:p>
            <w:pPr>
              <w:jc w:val="center"/>
              <w:ind w:left="203"/>
              <w:spacing w:after="0"/>
              <w:rPr>
                <w:sz w:val="20"/>
                <w:szCs w:val="20"/>
                <w:color w:val="auto"/>
              </w:rPr>
            </w:pPr>
            <w:r>
              <w:rPr>
                <w:rFonts w:ascii="Arial" w:cs="Arial" w:eastAsia="Arial" w:hAnsi="Arial"/>
                <w:sz w:val="15"/>
                <w:szCs w:val="15"/>
                <w:b w:val="1"/>
                <w:bCs w:val="1"/>
                <w:color w:val="auto"/>
              </w:rPr>
              <w:t>Balance Sheet</w:t>
            </w:r>
          </w:p>
        </w:tc>
        <w:tc>
          <w:tcPr>
            <w:tcW w:w="1140" w:type="dxa"/>
            <w:vAlign w:val="bottom"/>
          </w:tcPr>
          <w:p>
            <w:pPr>
              <w:jc w:val="right"/>
              <w:ind w:right="3"/>
              <w:spacing w:after="0"/>
              <w:rPr>
                <w:sz w:val="20"/>
                <w:szCs w:val="20"/>
                <w:color w:val="auto"/>
              </w:rPr>
            </w:pPr>
            <w:r>
              <w:rPr>
                <w:rFonts w:ascii="Arial" w:cs="Arial" w:eastAsia="Arial" w:hAnsi="Arial"/>
                <w:sz w:val="15"/>
                <w:szCs w:val="15"/>
                <w:b w:val="1"/>
                <w:bCs w:val="1"/>
                <w:color w:val="auto"/>
              </w:rPr>
              <w:t>July 29,</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July 30,</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January 28,</w:t>
            </w:r>
          </w:p>
        </w:tc>
        <w:tc>
          <w:tcPr>
            <w:tcW w:w="120" w:type="dxa"/>
            <w:vAlign w:val="bottom"/>
          </w:tcPr>
          <w:p>
            <w:pPr>
              <w:spacing w:after="0"/>
              <w:rPr>
                <w:sz w:val="15"/>
                <w:szCs w:val="15"/>
                <w:color w:val="auto"/>
              </w:rPr>
            </w:pPr>
          </w:p>
        </w:tc>
      </w:tr>
      <w:tr>
        <w:trPr>
          <w:trHeight w:val="194"/>
        </w:trPr>
        <w:tc>
          <w:tcPr>
            <w:tcW w:w="3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2080" w:type="dxa"/>
            <w:vAlign w:val="bottom"/>
            <w:tcBorders>
              <w:bottom w:val="single" w:sz="8" w:color="auto"/>
            </w:tcBorders>
          </w:tcPr>
          <w:p>
            <w:pPr>
              <w:jc w:val="center"/>
              <w:ind w:left="203"/>
              <w:spacing w:after="0"/>
              <w:rPr>
                <w:sz w:val="20"/>
                <w:szCs w:val="20"/>
                <w:color w:val="auto"/>
              </w:rPr>
            </w:pPr>
            <w:r>
              <w:rPr>
                <w:rFonts w:ascii="Arial" w:cs="Arial" w:eastAsia="Arial" w:hAnsi="Arial"/>
                <w:sz w:val="15"/>
                <w:szCs w:val="15"/>
                <w:b w:val="1"/>
                <w:bCs w:val="1"/>
                <w:color w:val="auto"/>
              </w:rPr>
              <w:t>Caption</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2016</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auto"/>
            </w:tcBorders>
          </w:tcPr>
          <w:p>
            <w:pPr>
              <w:spacing w:after="0"/>
              <w:rPr>
                <w:sz w:val="16"/>
                <w:szCs w:val="16"/>
                <w:color w:val="auto"/>
              </w:rPr>
            </w:pPr>
          </w:p>
        </w:tc>
      </w:tr>
      <w:tr>
        <w:trPr>
          <w:trHeight w:val="187"/>
        </w:trPr>
        <w:tc>
          <w:tcPr>
            <w:tcW w:w="3060" w:type="dxa"/>
            <w:vAlign w:val="bottom"/>
            <w:shd w:val="clear" w:color="auto" w:fill="CCEEFF"/>
          </w:tcPr>
          <w:p>
            <w:pPr>
              <w:spacing w:after="0"/>
              <w:rPr>
                <w:sz w:val="20"/>
                <w:szCs w:val="20"/>
                <w:color w:val="auto"/>
              </w:rPr>
            </w:pPr>
            <w:r>
              <w:rPr>
                <w:rFonts w:ascii="Arial" w:cs="Arial" w:eastAsia="Arial" w:hAnsi="Arial"/>
                <w:sz w:val="15"/>
                <w:szCs w:val="15"/>
                <w:b w:val="1"/>
                <w:bCs w:val="1"/>
                <w:i w:val="1"/>
                <w:iCs w:val="1"/>
                <w:color w:val="auto"/>
              </w:rPr>
              <w:t>Hedging Instruments:</w:t>
            </w:r>
          </w:p>
        </w:tc>
        <w:tc>
          <w:tcPr>
            <w:tcW w:w="2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3060" w:type="dxa"/>
            <w:vAlign w:val="bottom"/>
          </w:tcPr>
          <w:p>
            <w:pPr>
              <w:spacing w:after="0"/>
              <w:rPr>
                <w:sz w:val="20"/>
                <w:szCs w:val="20"/>
                <w:color w:val="auto"/>
              </w:rPr>
            </w:pPr>
            <w:r>
              <w:rPr>
                <w:rFonts w:ascii="Arial" w:cs="Arial" w:eastAsia="Arial" w:hAnsi="Arial"/>
                <w:sz w:val="15"/>
                <w:szCs w:val="15"/>
                <w:color w:val="auto"/>
              </w:rPr>
              <w:t>Foreign exchange forward contracts</w:t>
            </w:r>
          </w:p>
        </w:tc>
        <w:tc>
          <w:tcPr>
            <w:tcW w:w="2080" w:type="dxa"/>
            <w:vAlign w:val="bottom"/>
          </w:tcPr>
          <w:p>
            <w:pPr>
              <w:jc w:val="center"/>
              <w:ind w:left="203"/>
              <w:spacing w:after="0"/>
              <w:rPr>
                <w:sz w:val="20"/>
                <w:szCs w:val="20"/>
                <w:color w:val="auto"/>
              </w:rPr>
            </w:pPr>
            <w:r>
              <w:rPr>
                <w:rFonts w:ascii="Arial" w:cs="Arial" w:eastAsia="Arial" w:hAnsi="Arial"/>
                <w:sz w:val="15"/>
                <w:szCs w:val="15"/>
                <w:color w:val="auto"/>
              </w:rPr>
              <w:t>Current assets</w:t>
            </w:r>
          </w:p>
        </w:tc>
        <w:tc>
          <w:tcPr>
            <w:tcW w:w="1140" w:type="dxa"/>
            <w:vAlign w:val="bottom"/>
          </w:tcPr>
          <w:p>
            <w:pPr>
              <w:jc w:val="right"/>
              <w:ind w:right="643"/>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83"/>
              <w:spacing w:after="0"/>
              <w:rPr>
                <w:sz w:val="20"/>
                <w:szCs w:val="20"/>
                <w:color w:val="auto"/>
              </w:rPr>
            </w:pPr>
            <w:r>
              <w:rPr>
                <w:rFonts w:ascii="Arial" w:cs="Arial" w:eastAsia="Arial" w:hAnsi="Arial"/>
                <w:sz w:val="15"/>
                <w:szCs w:val="15"/>
                <w:b w:val="1"/>
                <w:bCs w:val="1"/>
                <w:color w:val="auto"/>
              </w:rPr>
              <w:t>3</w:t>
            </w:r>
          </w:p>
        </w:tc>
        <w:tc>
          <w:tcPr>
            <w:tcW w:w="980" w:type="dxa"/>
            <w:vAlign w:val="bottom"/>
          </w:tcPr>
          <w:p>
            <w:pPr>
              <w:jc w:val="right"/>
              <w:ind w:right="643"/>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23"/>
              <w:spacing w:after="0"/>
              <w:rPr>
                <w:sz w:val="20"/>
                <w:szCs w:val="20"/>
                <w:color w:val="auto"/>
              </w:rPr>
            </w:pPr>
            <w:r>
              <w:rPr>
                <w:rFonts w:ascii="Arial" w:cs="Arial" w:eastAsia="Arial" w:hAnsi="Arial"/>
                <w:sz w:val="15"/>
                <w:szCs w:val="15"/>
                <w:color w:val="auto"/>
              </w:rPr>
              <w:t>6</w:t>
            </w:r>
          </w:p>
        </w:tc>
        <w:tc>
          <w:tcPr>
            <w:tcW w:w="1040" w:type="dxa"/>
            <w:vAlign w:val="bottom"/>
          </w:tcPr>
          <w:p>
            <w:pPr>
              <w:jc w:val="right"/>
              <w:ind w:right="723"/>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3</w:t>
            </w:r>
          </w:p>
        </w:tc>
      </w:tr>
      <w:tr>
        <w:trPr>
          <w:trHeight w:val="207"/>
        </w:trPr>
        <w:tc>
          <w:tcPr>
            <w:tcW w:w="3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Foreign exchange forward contracts</w:t>
            </w:r>
          </w:p>
        </w:tc>
        <w:tc>
          <w:tcPr>
            <w:tcW w:w="2080" w:type="dxa"/>
            <w:vAlign w:val="bottom"/>
            <w:tcBorders>
              <w:bottom w:val="single" w:sz="8" w:color="auto"/>
            </w:tcBorders>
            <w:shd w:val="clear" w:color="auto" w:fill="CCEEFF"/>
          </w:tcPr>
          <w:p>
            <w:pPr>
              <w:jc w:val="center"/>
              <w:ind w:left="183"/>
              <w:spacing w:after="0"/>
              <w:rPr>
                <w:sz w:val="20"/>
                <w:szCs w:val="20"/>
                <w:color w:val="auto"/>
              </w:rPr>
            </w:pPr>
            <w:r>
              <w:rPr>
                <w:rFonts w:ascii="Arial" w:cs="Arial" w:eastAsia="Arial" w:hAnsi="Arial"/>
                <w:sz w:val="15"/>
                <w:szCs w:val="15"/>
                <w:color w:val="auto"/>
              </w:rPr>
              <w:t>Current liabilities</w:t>
            </w:r>
          </w:p>
        </w:tc>
        <w:tc>
          <w:tcPr>
            <w:tcW w:w="114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w:t>
            </w:r>
          </w:p>
        </w:tc>
        <w:tc>
          <w:tcPr>
            <w:tcW w:w="98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CCEEFF"/>
          </w:tcPr>
          <w:p>
            <w:pPr>
              <w:jc w:val="center"/>
              <w:ind w:right="23"/>
              <w:spacing w:after="0"/>
              <w:rPr>
                <w:sz w:val="20"/>
                <w:szCs w:val="20"/>
                <w:color w:val="auto"/>
              </w:rPr>
            </w:pPr>
            <w:r>
              <w:rPr>
                <w:rFonts w:ascii="Arial" w:cs="Arial" w:eastAsia="Arial" w:hAnsi="Arial"/>
                <w:sz w:val="15"/>
                <w:szCs w:val="15"/>
                <w:color w:val="auto"/>
                <w:w w:val="93"/>
              </w:rPr>
              <w:t>—</w:t>
            </w:r>
          </w:p>
        </w:tc>
        <w:tc>
          <w:tcPr>
            <w:tcW w:w="104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Fair Value Measurements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financial assets recorded at fair value are categorized as follows:</w:t>
      </w:r>
    </w:p>
    <w:p>
      <w:pPr>
        <w:spacing w:after="0" w:line="162" w:lineRule="exact"/>
        <w:rPr>
          <w:sz w:val="20"/>
          <w:szCs w:val="20"/>
          <w:color w:val="auto"/>
        </w:rPr>
      </w:pPr>
    </w:p>
    <w:p>
      <w:pPr>
        <w:ind w:left="180"/>
        <w:spacing w:after="0"/>
        <w:tabs>
          <w:tab w:leader="none" w:pos="1080" w:val="left"/>
        </w:tabs>
        <w:rPr>
          <w:sz w:val="20"/>
          <w:szCs w:val="20"/>
          <w:color w:val="auto"/>
        </w:rPr>
      </w:pPr>
      <w:r>
        <w:rPr>
          <w:rFonts w:ascii="Arial" w:cs="Arial" w:eastAsia="Arial" w:hAnsi="Arial"/>
          <w:sz w:val="15"/>
          <w:szCs w:val="15"/>
          <w:b w:val="1"/>
          <w:bCs w:val="1"/>
          <w:color w:val="auto"/>
        </w:rPr>
        <w:t xml:space="preserve">Level 1 </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Quoted prices for identical instruments in active markets.</w:t>
      </w:r>
    </w:p>
    <w:p>
      <w:pPr>
        <w:spacing w:after="0" w:line="241" w:lineRule="exact"/>
        <w:rPr>
          <w:sz w:val="20"/>
          <w:szCs w:val="20"/>
          <w:color w:val="auto"/>
        </w:rPr>
      </w:pPr>
    </w:p>
    <w:p>
      <w:pPr>
        <w:jc w:val="both"/>
        <w:ind w:left="1140" w:hanging="936"/>
        <w:spacing w:after="0" w:line="245" w:lineRule="auto"/>
        <w:tabs>
          <w:tab w:leader="none" w:pos="1120" w:val="left"/>
        </w:tabs>
        <w:rPr>
          <w:sz w:val="20"/>
          <w:szCs w:val="20"/>
          <w:color w:val="auto"/>
        </w:rPr>
      </w:pPr>
      <w:r>
        <w:rPr>
          <w:rFonts w:ascii="Arial" w:cs="Arial" w:eastAsia="Arial" w:hAnsi="Arial"/>
          <w:sz w:val="15"/>
          <w:szCs w:val="15"/>
          <w:b w:val="1"/>
          <w:bCs w:val="1"/>
          <w:color w:val="auto"/>
        </w:rPr>
        <w:t>Level 2 –</w:t>
      </w:r>
      <w:r>
        <w:rPr>
          <w:sz w:val="20"/>
          <w:szCs w:val="20"/>
          <w:color w:val="auto"/>
        </w:rPr>
        <w:tab/>
      </w:r>
      <w:r>
        <w:rPr>
          <w:rFonts w:ascii="Arial" w:cs="Arial" w:eastAsia="Arial" w:hAnsi="Arial"/>
          <w:sz w:val="15"/>
          <w:szCs w:val="15"/>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16" w:lineRule="exact"/>
        <w:rPr>
          <w:sz w:val="20"/>
          <w:szCs w:val="20"/>
          <w:color w:val="auto"/>
        </w:rPr>
      </w:pPr>
    </w:p>
    <w:p>
      <w:pPr>
        <w:ind w:left="200"/>
        <w:spacing w:after="0"/>
        <w:tabs>
          <w:tab w:leader="none" w:pos="1120" w:val="left"/>
        </w:tabs>
        <w:rPr>
          <w:sz w:val="20"/>
          <w:szCs w:val="20"/>
          <w:color w:val="auto"/>
        </w:rPr>
      </w:pPr>
      <w:r>
        <w:rPr>
          <w:rFonts w:ascii="Arial" w:cs="Arial" w:eastAsia="Arial" w:hAnsi="Arial"/>
          <w:sz w:val="15"/>
          <w:szCs w:val="15"/>
          <w:b w:val="1"/>
          <w:bCs w:val="1"/>
          <w:color w:val="auto"/>
        </w:rPr>
        <w:t>Level 3 –</w:t>
      </w:r>
      <w:r>
        <w:rPr>
          <w:sz w:val="20"/>
          <w:szCs w:val="20"/>
          <w:color w:val="auto"/>
        </w:rPr>
        <w:tab/>
      </w:r>
      <w:r>
        <w:rPr>
          <w:rFonts w:ascii="Arial" w:cs="Arial" w:eastAsia="Arial" w:hAnsi="Arial"/>
          <w:sz w:val="15"/>
          <w:szCs w:val="15"/>
          <w:color w:val="auto"/>
        </w:rPr>
        <w:t>Model-derived valuations in which one or more significant inputs or significant value-drivers are unobservable.</w:t>
      </w:r>
    </w:p>
    <w:p>
      <w:pPr>
        <w:spacing w:after="0" w:line="200" w:lineRule="exact"/>
        <w:rPr>
          <w:sz w:val="20"/>
          <w:szCs w:val="20"/>
          <w:color w:val="auto"/>
        </w:rPr>
      </w:pP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tables provide a summary of the Company’s recognized assets and liabilities that are measured at fair value on a recurring basis: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140"/>
              <w:spacing w:after="0"/>
              <w:rPr>
                <w:sz w:val="20"/>
                <w:szCs w:val="20"/>
                <w:color w:val="auto"/>
              </w:rPr>
            </w:pPr>
            <w:r>
              <w:rPr>
                <w:rFonts w:ascii="Arial" w:cs="Arial" w:eastAsia="Arial" w:hAnsi="Arial"/>
                <w:sz w:val="15"/>
                <w:szCs w:val="15"/>
                <w:b w:val="1"/>
                <w:bCs w:val="1"/>
                <w:color w:val="auto"/>
              </w:rPr>
              <w:t>As of July 29, 2017</w:t>
            </w: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rPr>
              <w:t>As of July 30, 2016</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As of January 28, 2017</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4"/>
          </w:tcPr>
          <w:p>
            <w:pPr>
              <w:jc w:val="center"/>
              <w:spacing w:after="0"/>
              <w:rPr>
                <w:sz w:val="20"/>
                <w:szCs w:val="20"/>
                <w:color w:val="auto"/>
              </w:rPr>
            </w:pPr>
            <w:r>
              <w:rPr>
                <w:rFonts w:ascii="Arial" w:cs="Arial" w:eastAsia="Arial" w:hAnsi="Arial"/>
                <w:sz w:val="15"/>
                <w:szCs w:val="15"/>
                <w:color w:val="auto"/>
              </w:rPr>
              <w:t>($ in millions)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Level 1</w:t>
            </w:r>
          </w:p>
        </w:tc>
        <w:tc>
          <w:tcPr>
            <w:tcW w:w="7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Level 2</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3</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1</w:t>
            </w: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Level 2</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3</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1</w:t>
            </w:r>
          </w:p>
        </w:tc>
        <w:tc>
          <w:tcPr>
            <w:tcW w:w="7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Level 2</w:t>
            </w: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87"/>
        </w:trPr>
        <w:tc>
          <w:tcPr>
            <w:tcW w:w="2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60" w:type="dxa"/>
            <w:vAlign w:val="bottom"/>
          </w:tcPr>
          <w:p>
            <w:pPr>
              <w:spacing w:after="0"/>
              <w:rPr>
                <w:sz w:val="20"/>
                <w:szCs w:val="20"/>
                <w:color w:val="auto"/>
              </w:rPr>
            </w:pPr>
            <w:r>
              <w:rPr>
                <w:rFonts w:ascii="Arial" w:cs="Arial" w:eastAsia="Arial" w:hAnsi="Arial"/>
                <w:sz w:val="15"/>
                <w:szCs w:val="15"/>
                <w:color w:val="auto"/>
              </w:rPr>
              <w:t>Available-for-sale securities</w:t>
            </w:r>
          </w:p>
        </w:tc>
        <w:tc>
          <w:tcPr>
            <w:tcW w:w="48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ind w:left="26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ind w:right="103"/>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jc w:val="right"/>
              <w:ind w:right="23"/>
              <w:spacing w:after="0"/>
              <w:rPr>
                <w:sz w:val="20"/>
                <w:szCs w:val="20"/>
                <w:color w:val="auto"/>
              </w:rPr>
            </w:pPr>
            <w:r>
              <w:rPr>
                <w:rFonts w:ascii="Arial" w:cs="Arial" w:eastAsia="Arial" w:hAnsi="Arial"/>
                <w:sz w:val="15"/>
                <w:szCs w:val="15"/>
                <w:b w:val="1"/>
                <w:bCs w:val="1"/>
                <w:color w:val="auto"/>
              </w:rPr>
              <w:t>7</w:t>
            </w:r>
          </w:p>
        </w:tc>
        <w:tc>
          <w:tcPr>
            <w:tcW w:w="420" w:type="dxa"/>
            <w:vAlign w:val="bottom"/>
          </w:tcPr>
          <w:p>
            <w:pPr>
              <w:jc w:val="right"/>
              <w:ind w:right="183"/>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ind w:left="1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460" w:type="dxa"/>
            <w:vAlign w:val="bottom"/>
          </w:tcPr>
          <w:p>
            <w:pPr>
              <w:ind w:left="24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540" w:type="dxa"/>
            <w:vAlign w:val="bottom"/>
          </w:tcPr>
          <w:p>
            <w:pPr>
              <w:ind w:left="34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5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forward</w:t>
            </w:r>
          </w:p>
        </w:tc>
        <w:tc>
          <w:tcPr>
            <w:tcW w:w="48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ind w:left="260"/>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w:t>
            </w:r>
          </w:p>
        </w:tc>
        <w:tc>
          <w:tcPr>
            <w:tcW w:w="4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ind w:left="14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contracts</w:t>
            </w:r>
          </w:p>
        </w:tc>
        <w:tc>
          <w:tcPr>
            <w:tcW w:w="4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c>
          <w:tcPr>
            <w:tcW w:w="4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5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79"/>
        </w:trPr>
        <w:tc>
          <w:tcPr>
            <w:tcW w:w="2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Assets</w:t>
            </w:r>
          </w:p>
        </w:tc>
        <w:tc>
          <w:tcPr>
            <w:tcW w:w="4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10</w:t>
            </w:r>
          </w:p>
        </w:tc>
        <w:tc>
          <w:tcPr>
            <w:tcW w:w="4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w:t>
            </w:r>
          </w:p>
        </w:tc>
        <w:tc>
          <w:tcPr>
            <w:tcW w:w="4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w:t>
            </w:r>
          </w:p>
        </w:tc>
        <w:tc>
          <w:tcPr>
            <w:tcW w:w="5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95"/>
        </w:trPr>
        <w:tc>
          <w:tcPr>
            <w:tcW w:w="2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20"/>
                <w:szCs w:val="20"/>
                <w:color w:val="auto"/>
              </w:rPr>
            </w:pPr>
            <w:r>
              <w:rPr>
                <w:rFonts w:ascii="Arial" w:cs="Arial" w:eastAsia="Arial" w:hAnsi="Arial"/>
                <w:sz w:val="15"/>
                <w:szCs w:val="15"/>
                <w:color w:val="auto"/>
              </w:rPr>
              <w:t>Foreign exchange forward</w:t>
            </w:r>
          </w:p>
        </w:tc>
        <w:tc>
          <w:tcPr>
            <w:tcW w:w="480" w:type="dxa"/>
            <w:vAlign w:val="bottom"/>
          </w:tcPr>
          <w:p>
            <w:pPr>
              <w:spacing w:after="0"/>
              <w:rPr>
                <w:sz w:val="18"/>
                <w:szCs w:val="18"/>
                <w:color w:val="auto"/>
              </w:rPr>
            </w:pPr>
          </w:p>
        </w:tc>
        <w:tc>
          <w:tcPr>
            <w:tcW w:w="48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42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1</w:t>
            </w:r>
          </w:p>
        </w:tc>
        <w:tc>
          <w:tcPr>
            <w:tcW w:w="420" w:type="dxa"/>
            <w:vAlign w:val="bottom"/>
          </w:tcPr>
          <w:p>
            <w:pPr>
              <w:spacing w:after="0"/>
              <w:rPr>
                <w:sz w:val="18"/>
                <w:szCs w:val="18"/>
                <w:color w:val="auto"/>
              </w:rPr>
            </w:pPr>
          </w:p>
        </w:tc>
        <w:tc>
          <w:tcPr>
            <w:tcW w:w="34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6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contracts</w:t>
            </w:r>
          </w:p>
        </w:tc>
        <w:tc>
          <w:tcPr>
            <w:tcW w:w="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79"/>
        </w:trPr>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w:t>
            </w:r>
          </w:p>
        </w:tc>
        <w:tc>
          <w:tcPr>
            <w:tcW w:w="4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5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Securities classified as available-for-sale are recorded at fair value with unrealized gains and losses reported, net of tax, in other comprehensive income, unless unrealized gains or losses are determined to be other than temporary. The fair value of the auction rate security is determined by using quoted prices for similar instruments in active markets and accordingly is classified as a Level 2 instrument.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2" w:name="page13"/>
    <w:bookmarkEnd w:id="12"/>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into or out of Level 1, Level 2, or Level 3 assets and liabilities for any of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The carrying value and estimated fair value of long-term debt and obligations under capital leases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40" w:type="dxa"/>
            <w:vAlign w:val="bottom"/>
          </w:tcPr>
          <w:p>
            <w:pPr>
              <w:jc w:val="right"/>
              <w:ind w:right="423"/>
              <w:spacing w:after="0"/>
              <w:rPr>
                <w:sz w:val="20"/>
                <w:szCs w:val="20"/>
                <w:color w:val="auto"/>
              </w:rPr>
            </w:pPr>
            <w:r>
              <w:rPr>
                <w:rFonts w:ascii="Arial" w:cs="Arial" w:eastAsia="Arial" w:hAnsi="Arial"/>
                <w:sz w:val="15"/>
                <w:szCs w:val="15"/>
                <w:b w:val="1"/>
                <w:bCs w:val="1"/>
                <w:color w:val="auto"/>
              </w:rPr>
              <w:t>July 29,</w:t>
            </w:r>
          </w:p>
        </w:tc>
        <w:tc>
          <w:tcPr>
            <w:tcW w:w="440" w:type="dxa"/>
            <w:vAlign w:val="bottom"/>
          </w:tcPr>
          <w:p>
            <w:pPr>
              <w:spacing w:after="0"/>
              <w:rPr>
                <w:sz w:val="15"/>
                <w:szCs w:val="15"/>
                <w:color w:val="auto"/>
              </w:rPr>
            </w:pPr>
          </w:p>
        </w:tc>
        <w:tc>
          <w:tcPr>
            <w:tcW w:w="1120" w:type="dxa"/>
            <w:vAlign w:val="bottom"/>
          </w:tcPr>
          <w:p>
            <w:pPr>
              <w:jc w:val="right"/>
              <w:ind w:right="463"/>
              <w:spacing w:after="0"/>
              <w:rPr>
                <w:sz w:val="20"/>
                <w:szCs w:val="20"/>
                <w:color w:val="auto"/>
              </w:rPr>
            </w:pPr>
            <w:r>
              <w:rPr>
                <w:rFonts w:ascii="Arial" w:cs="Arial" w:eastAsia="Arial" w:hAnsi="Arial"/>
                <w:sz w:val="15"/>
                <w:szCs w:val="15"/>
                <w:b w:val="1"/>
                <w:bCs w:val="1"/>
                <w:color w:val="auto"/>
              </w:rPr>
              <w:t>July 30,</w:t>
            </w:r>
          </w:p>
        </w:tc>
        <w:tc>
          <w:tcPr>
            <w:tcW w:w="1380" w:type="dxa"/>
            <w:vAlign w:val="bottom"/>
            <w:gridSpan w:val="2"/>
          </w:tcPr>
          <w:p>
            <w:pPr>
              <w:jc w:val="right"/>
              <w:ind w:right="183"/>
              <w:spacing w:after="0"/>
              <w:rPr>
                <w:sz w:val="20"/>
                <w:szCs w:val="20"/>
                <w:color w:val="auto"/>
              </w:rPr>
            </w:pPr>
            <w:r>
              <w:rPr>
                <w:rFonts w:ascii="Arial" w:cs="Arial" w:eastAsia="Arial" w:hAnsi="Arial"/>
                <w:sz w:val="15"/>
                <w:szCs w:val="15"/>
                <w:b w:val="1"/>
                <w:bCs w:val="1"/>
                <w:color w:val="auto"/>
              </w:rPr>
              <w:t>January 28,</w:t>
            </w:r>
          </w:p>
        </w:tc>
      </w:tr>
      <w:tr>
        <w:trPr>
          <w:trHeight w:val="194"/>
        </w:trPr>
        <w:tc>
          <w:tcPr>
            <w:tcW w:w="29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2016</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r>
      <w:tr>
        <w:trPr>
          <w:trHeight w:val="187"/>
        </w:trPr>
        <w:tc>
          <w:tcPr>
            <w:tcW w:w="2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303"/>
              <w:spacing w:after="0"/>
              <w:rPr>
                <w:sz w:val="20"/>
                <w:szCs w:val="20"/>
                <w:color w:val="auto"/>
              </w:rPr>
            </w:pPr>
            <w:r>
              <w:rPr>
                <w:rFonts w:ascii="Arial" w:cs="Arial" w:eastAsia="Arial" w:hAnsi="Arial"/>
                <w:sz w:val="15"/>
                <w:szCs w:val="15"/>
                <w:color w:val="auto"/>
              </w:rPr>
              <w:t>in millions)</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7"/>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Carrying value</w:t>
            </w:r>
          </w:p>
        </w:tc>
        <w:tc>
          <w:tcPr>
            <w:tcW w:w="20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126</w:t>
            </w:r>
          </w:p>
        </w:tc>
        <w:tc>
          <w:tcPr>
            <w:tcW w:w="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129</w:t>
            </w:r>
          </w:p>
        </w:tc>
        <w:tc>
          <w:tcPr>
            <w:tcW w:w="4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Fair value</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146</w:t>
            </w:r>
          </w:p>
        </w:tc>
        <w:tc>
          <w:tcPr>
            <w:tcW w:w="4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151</w:t>
            </w:r>
          </w:p>
        </w:tc>
        <w:tc>
          <w:tcPr>
            <w:tcW w:w="4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w:t>
            </w:r>
          </w:p>
        </w:tc>
      </w:tr>
    </w:tbl>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Earnings Per Share</w:t>
      </w:r>
    </w:p>
    <w:p>
      <w:pPr>
        <w:spacing w:after="0" w:line="113"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accounts for and discloses earnings per share using the treasury stock method. Basic earnings per share is computed by dividing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The computation of basic and diluted earnings per share is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5"/>
                <w:szCs w:val="15"/>
                <w:b w:val="1"/>
                <w:bCs w:val="1"/>
                <w:color w:val="auto"/>
              </w:rPr>
              <w:t>Twenty-six weeks ended</w:t>
            </w: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243"/>
              <w:spacing w:after="0" w:line="146" w:lineRule="exact"/>
              <w:rPr>
                <w:sz w:val="20"/>
                <w:szCs w:val="20"/>
                <w:color w:val="auto"/>
              </w:rPr>
            </w:pPr>
            <w:r>
              <w:rPr>
                <w:rFonts w:ascii="Arial" w:cs="Arial" w:eastAsia="Arial" w:hAnsi="Arial"/>
                <w:sz w:val="15"/>
                <w:szCs w:val="15"/>
                <w:b w:val="1"/>
                <w:bCs w:val="1"/>
                <w:color w:val="auto"/>
              </w:rPr>
              <w:t>July 29,</w:t>
            </w:r>
          </w:p>
        </w:tc>
        <w:tc>
          <w:tcPr>
            <w:tcW w:w="360" w:type="dxa"/>
            <w:vAlign w:val="bottom"/>
          </w:tcPr>
          <w:p>
            <w:pPr>
              <w:spacing w:after="0"/>
              <w:rPr>
                <w:sz w:val="12"/>
                <w:szCs w:val="12"/>
                <w:color w:val="auto"/>
              </w:rPr>
            </w:pPr>
          </w:p>
        </w:tc>
        <w:tc>
          <w:tcPr>
            <w:tcW w:w="980" w:type="dxa"/>
            <w:vAlign w:val="bottom"/>
          </w:tcPr>
          <w:p>
            <w:pPr>
              <w:jc w:val="right"/>
              <w:ind w:right="283"/>
              <w:spacing w:after="0" w:line="146" w:lineRule="exact"/>
              <w:rPr>
                <w:sz w:val="20"/>
                <w:szCs w:val="20"/>
                <w:color w:val="auto"/>
              </w:rPr>
            </w:pPr>
            <w:r>
              <w:rPr>
                <w:rFonts w:ascii="Arial" w:cs="Arial" w:eastAsia="Arial" w:hAnsi="Arial"/>
                <w:sz w:val="15"/>
                <w:szCs w:val="15"/>
                <w:b w:val="1"/>
                <w:bCs w:val="1"/>
                <w:color w:val="auto"/>
              </w:rPr>
              <w:t>July 30,</w:t>
            </w:r>
          </w:p>
        </w:tc>
        <w:tc>
          <w:tcPr>
            <w:tcW w:w="280" w:type="dxa"/>
            <w:vAlign w:val="bottom"/>
          </w:tcPr>
          <w:p>
            <w:pPr>
              <w:spacing w:after="0"/>
              <w:rPr>
                <w:sz w:val="12"/>
                <w:szCs w:val="12"/>
                <w:color w:val="auto"/>
              </w:rPr>
            </w:pPr>
          </w:p>
        </w:tc>
        <w:tc>
          <w:tcPr>
            <w:tcW w:w="980" w:type="dxa"/>
            <w:vAlign w:val="bottom"/>
          </w:tcPr>
          <w:p>
            <w:pPr>
              <w:jc w:val="right"/>
              <w:ind w:right="263"/>
              <w:spacing w:after="0" w:line="146" w:lineRule="exact"/>
              <w:rPr>
                <w:sz w:val="20"/>
                <w:szCs w:val="20"/>
                <w:color w:val="auto"/>
              </w:rPr>
            </w:pPr>
            <w:r>
              <w:rPr>
                <w:rFonts w:ascii="Arial" w:cs="Arial" w:eastAsia="Arial" w:hAnsi="Arial"/>
                <w:sz w:val="15"/>
                <w:szCs w:val="15"/>
                <w:b w:val="1"/>
                <w:bCs w:val="1"/>
                <w:color w:val="auto"/>
              </w:rPr>
              <w:t>July 29,</w:t>
            </w:r>
          </w:p>
        </w:tc>
        <w:tc>
          <w:tcPr>
            <w:tcW w:w="280" w:type="dxa"/>
            <w:vAlign w:val="bottom"/>
          </w:tcPr>
          <w:p>
            <w:pPr>
              <w:spacing w:after="0"/>
              <w:rPr>
                <w:sz w:val="12"/>
                <w:szCs w:val="12"/>
                <w:color w:val="auto"/>
              </w:rPr>
            </w:pPr>
          </w:p>
        </w:tc>
        <w:tc>
          <w:tcPr>
            <w:tcW w:w="880" w:type="dxa"/>
            <w:vAlign w:val="bottom"/>
          </w:tcPr>
          <w:p>
            <w:pPr>
              <w:jc w:val="right"/>
              <w:ind w:right="163"/>
              <w:spacing w:after="0" w:line="146" w:lineRule="exact"/>
              <w:rPr>
                <w:sz w:val="20"/>
                <w:szCs w:val="20"/>
                <w:color w:val="auto"/>
              </w:rPr>
            </w:pPr>
            <w:r>
              <w:rPr>
                <w:rFonts w:ascii="Arial" w:cs="Arial" w:eastAsia="Arial" w:hAnsi="Arial"/>
                <w:sz w:val="15"/>
                <w:szCs w:val="15"/>
                <w:b w:val="1"/>
                <w:bCs w:val="1"/>
                <w:color w:val="auto"/>
              </w:rPr>
              <w:t>July 30,</w:t>
            </w:r>
          </w:p>
        </w:tc>
        <w:tc>
          <w:tcPr>
            <w:tcW w:w="0" w:type="dxa"/>
            <w:vAlign w:val="bottom"/>
          </w:tcPr>
          <w:p>
            <w:pPr>
              <w:spacing w:after="0"/>
              <w:rPr>
                <w:sz w:val="1"/>
                <w:szCs w:val="1"/>
                <w:color w:val="auto"/>
              </w:rPr>
            </w:pPr>
          </w:p>
        </w:tc>
      </w:tr>
      <w:tr>
        <w:trPr>
          <w:trHeight w:val="205"/>
        </w:trPr>
        <w:tc>
          <w:tcPr>
            <w:tcW w:w="4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2016</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0" w:type="dxa"/>
            <w:vAlign w:val="bottom"/>
            <w:gridSpan w:val="4"/>
          </w:tcPr>
          <w:p>
            <w:pPr>
              <w:jc w:val="right"/>
              <w:ind w:right="43"/>
              <w:spacing w:after="0"/>
              <w:rPr>
                <w:sz w:val="20"/>
                <w:szCs w:val="20"/>
                <w:color w:val="auto"/>
              </w:rPr>
            </w:pPr>
            <w:r>
              <w:rPr>
                <w:rFonts w:ascii="Arial" w:cs="Arial" w:eastAsia="Arial" w:hAnsi="Arial"/>
                <w:sz w:val="15"/>
                <w:szCs w:val="15"/>
                <w:color w:val="auto"/>
              </w:rPr>
              <w:t>(in millions, except per share data)</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51</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127</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231</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131.3</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134.4</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131.3</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135.4</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Dilutive effect of potential common shares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0.7</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1.1</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1.0</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 assuming</w:t>
            </w: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132.0</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132.3</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dilution</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135.5</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136.6</w:t>
            </w: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 - basic</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0.39</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0.94</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1.76</w:t>
            </w:r>
          </w:p>
        </w:tc>
        <w:tc>
          <w:tcPr>
            <w:tcW w:w="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5"/>
                <w:szCs w:val="15"/>
                <w:color w:val="auto"/>
              </w:rPr>
              <w:t>Earnings per share - diluted</w:t>
            </w:r>
          </w:p>
        </w:tc>
        <w:tc>
          <w:tcPr>
            <w:tcW w:w="3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43"/>
              <w:spacing w:after="0"/>
              <w:rPr>
                <w:sz w:val="20"/>
                <w:szCs w:val="20"/>
                <w:color w:val="auto"/>
              </w:rPr>
            </w:pPr>
            <w:r>
              <w:rPr>
                <w:rFonts w:ascii="Arial" w:cs="Arial" w:eastAsia="Arial" w:hAnsi="Arial"/>
                <w:sz w:val="15"/>
                <w:szCs w:val="15"/>
                <w:b w:val="1"/>
                <w:bCs w:val="1"/>
                <w:color w:val="auto"/>
              </w:rPr>
              <w:t>0.39</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color w:val="auto"/>
              </w:rPr>
              <w:t>0.94</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b w:val="1"/>
                <w:bCs w:val="1"/>
                <w:color w:val="auto"/>
              </w:rPr>
              <w:t>1.74</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195"/>
        </w:trPr>
        <w:tc>
          <w:tcPr>
            <w:tcW w:w="4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r>
              <w:rPr>
                <w:rFonts w:ascii="Arial" w:cs="Arial" w:eastAsia="Arial" w:hAnsi="Arial"/>
                <w:sz w:val="15"/>
                <w:szCs w:val="15"/>
                <w:color w:val="auto"/>
              </w:rPr>
              <w:t>Anti-dilutive share-based awards excluded from diluted</w:t>
            </w:r>
          </w:p>
        </w:tc>
        <w:tc>
          <w:tcPr>
            <w:tcW w:w="300" w:type="dxa"/>
            <w:vAlign w:val="bottom"/>
          </w:tcPr>
          <w:p>
            <w:pPr>
              <w:spacing w:after="0"/>
              <w:rPr>
                <w:sz w:val="20"/>
                <w:szCs w:val="20"/>
                <w:color w:val="auto"/>
              </w:rPr>
            </w:pPr>
          </w:p>
        </w:tc>
        <w:tc>
          <w:tcPr>
            <w:tcW w:w="96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1.7</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rPr>
              <w:t>0.8</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calculation</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1.1</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 adopted ASU 2016-09 during the first quarter of 2017. As a result, excess tax benefits and tax deficiencies are no longer included as assumed proceeds in the calculation of diluted shares outstanding. This change was adopted prospectively.</w:t>
      </w:r>
    </w:p>
    <w:p>
      <w:pPr>
        <w:spacing w:after="0" w:line="9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Contingently issuable shares of 0.4 million and 0.3 million have not been included as the vesting conditions have not been satisfied as of July 29, 2017 and July 30, 2016, respectively. These shares relate to restricted stock units issued in connection with the Company’s long-term incentive program.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3" w:name="page14"/>
    <w:bookmarkEnd w:id="13"/>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Pension and Postretirement Plans</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Company has defined benefit pension plans covering certain of its North American employees, which are funded in accordance with the provisions of the laws where the plans are in effect. The Company also has a defined benefit pension plan covering certain employees of the Runners Point Group.</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are the components of net periodic pension benefit cost and net periodic postretirement benefit income, which are recognized as part of SG&amp;A expense: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5"/>
                <w:szCs w:val="15"/>
                <w:b w:val="1"/>
                <w:bCs w:val="1"/>
                <w:color w:val="auto"/>
              </w:rPr>
              <w:t>Pension Benefits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Postretirement Benefits</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183"/>
              <w:spacing w:after="0"/>
              <w:rPr>
                <w:sz w:val="20"/>
                <w:szCs w:val="20"/>
                <w:color w:val="auto"/>
              </w:rPr>
            </w:pPr>
            <w:r>
              <w:rPr>
                <w:rFonts w:ascii="Arial" w:cs="Arial" w:eastAsia="Arial" w:hAnsi="Arial"/>
                <w:sz w:val="15"/>
                <w:szCs w:val="15"/>
                <w:b w:val="1"/>
                <w:bCs w:val="1"/>
                <w:color w:val="auto"/>
              </w:rPr>
              <w:t>Twenty-six weeks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5"/>
                <w:szCs w:val="15"/>
                <w:b w:val="1"/>
                <w:bCs w:val="1"/>
                <w:color w:val="auto"/>
                <w:w w:val="99"/>
              </w:rPr>
              <w:t>Twenty-six weeks</w:t>
            </w: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1820" w:type="dxa"/>
            <w:vAlign w:val="bottom"/>
            <w:gridSpan w:val="4"/>
          </w:tcPr>
          <w:p>
            <w:pPr>
              <w:jc w:val="right"/>
              <w:ind w:right="63"/>
              <w:spacing w:after="0"/>
              <w:rPr>
                <w:sz w:val="20"/>
                <w:szCs w:val="20"/>
                <w:color w:val="auto"/>
              </w:rPr>
            </w:pPr>
            <w:r>
              <w:rPr>
                <w:rFonts w:ascii="Arial" w:cs="Arial" w:eastAsia="Arial" w:hAnsi="Arial"/>
                <w:sz w:val="15"/>
                <w:szCs w:val="15"/>
                <w:b w:val="1"/>
                <w:bCs w:val="1"/>
                <w:color w:val="auto"/>
              </w:rPr>
              <w:t>Thirteen weeks ended</w:t>
            </w:r>
          </w:p>
        </w:tc>
        <w:tc>
          <w:tcPr>
            <w:tcW w:w="200" w:type="dxa"/>
            <w:vAlign w:val="bottom"/>
          </w:tcPr>
          <w:p>
            <w:pPr>
              <w:spacing w:after="0"/>
              <w:rPr>
                <w:sz w:val="16"/>
                <w:szCs w:val="16"/>
                <w:color w:val="auto"/>
              </w:rPr>
            </w:pPr>
          </w:p>
        </w:tc>
        <w:tc>
          <w:tcPr>
            <w:tcW w:w="1560" w:type="dxa"/>
            <w:vAlign w:val="bottom"/>
            <w:gridSpan w:val="3"/>
          </w:tcPr>
          <w:p>
            <w:pPr>
              <w:jc w:val="right"/>
              <w:ind w:right="603"/>
              <w:spacing w:after="0"/>
              <w:rPr>
                <w:sz w:val="20"/>
                <w:szCs w:val="20"/>
                <w:color w:val="auto"/>
              </w:rPr>
            </w:pPr>
            <w:r>
              <w:rPr>
                <w:rFonts w:ascii="Arial" w:cs="Arial" w:eastAsia="Arial" w:hAnsi="Arial"/>
                <w:sz w:val="15"/>
                <w:szCs w:val="15"/>
                <w:b w:val="1"/>
                <w:bCs w:val="1"/>
                <w:color w:val="auto"/>
              </w:rPr>
              <w:t>ended</w:t>
            </w:r>
          </w:p>
        </w:tc>
        <w:tc>
          <w:tcPr>
            <w:tcW w:w="1780" w:type="dxa"/>
            <w:vAlign w:val="bottom"/>
            <w:gridSpan w:val="4"/>
          </w:tcPr>
          <w:p>
            <w:pPr>
              <w:ind w:left="60"/>
              <w:spacing w:after="0"/>
              <w:rPr>
                <w:sz w:val="20"/>
                <w:szCs w:val="20"/>
                <w:color w:val="auto"/>
              </w:rPr>
            </w:pPr>
            <w:r>
              <w:rPr>
                <w:rFonts w:ascii="Arial" w:cs="Arial" w:eastAsia="Arial" w:hAnsi="Arial"/>
                <w:sz w:val="15"/>
                <w:szCs w:val="15"/>
                <w:b w:val="1"/>
                <w:bCs w:val="1"/>
                <w:color w:val="auto"/>
              </w:rPr>
              <w:t>Thirteen weeks ended</w:t>
            </w:r>
          </w:p>
        </w:tc>
        <w:tc>
          <w:tcPr>
            <w:tcW w:w="180" w:type="dxa"/>
            <w:vAlign w:val="bottom"/>
          </w:tcPr>
          <w:p>
            <w:pPr>
              <w:spacing w:after="0"/>
              <w:rPr>
                <w:sz w:val="16"/>
                <w:szCs w:val="16"/>
                <w:color w:val="auto"/>
              </w:rPr>
            </w:pPr>
          </w:p>
        </w:tc>
        <w:tc>
          <w:tcPr>
            <w:tcW w:w="1480" w:type="dxa"/>
            <w:vAlign w:val="bottom"/>
            <w:gridSpan w:val="4"/>
          </w:tcPr>
          <w:p>
            <w:pPr>
              <w:jc w:val="right"/>
              <w:ind w:right="620"/>
              <w:spacing w:after="0"/>
              <w:rPr>
                <w:sz w:val="20"/>
                <w:szCs w:val="20"/>
                <w:color w:val="auto"/>
              </w:rPr>
            </w:pPr>
            <w:r>
              <w:rPr>
                <w:rFonts w:ascii="Arial" w:cs="Arial" w:eastAsia="Arial" w:hAnsi="Arial"/>
                <w:sz w:val="15"/>
                <w:szCs w:val="15"/>
                <w:b w:val="1"/>
                <w:bCs w:val="1"/>
                <w:color w:val="auto"/>
              </w:rPr>
              <w:t>ended</w:t>
            </w:r>
          </w:p>
        </w:tc>
        <w:tc>
          <w:tcPr>
            <w:tcW w:w="0" w:type="dxa"/>
            <w:vAlign w:val="bottom"/>
          </w:tcPr>
          <w:p>
            <w:pPr>
              <w:spacing w:after="0"/>
              <w:rPr>
                <w:sz w:val="1"/>
                <w:szCs w:val="1"/>
                <w:color w:val="auto"/>
              </w:rPr>
            </w:pPr>
          </w:p>
        </w:tc>
      </w:tr>
      <w:tr>
        <w:trPr>
          <w:trHeight w:val="139"/>
        </w:trPr>
        <w:tc>
          <w:tcPr>
            <w:tcW w:w="2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140"/>
              <w:spacing w:after="0" w:line="139" w:lineRule="exact"/>
              <w:rPr>
                <w:sz w:val="20"/>
                <w:szCs w:val="20"/>
                <w:color w:val="auto"/>
              </w:rPr>
            </w:pPr>
            <w:r>
              <w:rPr>
                <w:rFonts w:ascii="Arial" w:cs="Arial" w:eastAsia="Arial" w:hAnsi="Arial"/>
                <w:sz w:val="15"/>
                <w:szCs w:val="15"/>
                <w:b w:val="1"/>
                <w:bCs w:val="1"/>
                <w:color w:val="auto"/>
              </w:rPr>
              <w:t>July 29,</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43"/>
              <w:spacing w:after="0" w:line="139" w:lineRule="exact"/>
              <w:rPr>
                <w:sz w:val="20"/>
                <w:szCs w:val="20"/>
                <w:color w:val="auto"/>
              </w:rPr>
            </w:pPr>
            <w:r>
              <w:rPr>
                <w:rFonts w:ascii="Arial" w:cs="Arial" w:eastAsia="Arial" w:hAnsi="Arial"/>
                <w:sz w:val="15"/>
                <w:szCs w:val="15"/>
                <w:b w:val="1"/>
                <w:bCs w:val="1"/>
                <w:color w:val="auto"/>
              </w:rPr>
              <w:t>July 30,</w:t>
            </w:r>
          </w:p>
        </w:tc>
        <w:tc>
          <w:tcPr>
            <w:tcW w:w="860" w:type="dxa"/>
            <w:vAlign w:val="bottom"/>
            <w:tcBorders>
              <w:top w:val="single" w:sz="8" w:color="auto"/>
            </w:tcBorders>
            <w:gridSpan w:val="2"/>
          </w:tcPr>
          <w:p>
            <w:pPr>
              <w:ind w:left="120"/>
              <w:spacing w:after="0" w:line="139" w:lineRule="exact"/>
              <w:rPr>
                <w:sz w:val="20"/>
                <w:szCs w:val="20"/>
                <w:color w:val="auto"/>
              </w:rPr>
            </w:pPr>
            <w:r>
              <w:rPr>
                <w:rFonts w:ascii="Arial" w:cs="Arial" w:eastAsia="Arial" w:hAnsi="Arial"/>
                <w:sz w:val="15"/>
                <w:szCs w:val="15"/>
                <w:b w:val="1"/>
                <w:bCs w:val="1"/>
                <w:color w:val="auto"/>
              </w:rPr>
              <w:t>July 29,</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03"/>
              <w:spacing w:after="0" w:line="139" w:lineRule="exact"/>
              <w:rPr>
                <w:sz w:val="20"/>
                <w:szCs w:val="20"/>
                <w:color w:val="auto"/>
              </w:rPr>
            </w:pPr>
            <w:r>
              <w:rPr>
                <w:rFonts w:ascii="Arial" w:cs="Arial" w:eastAsia="Arial" w:hAnsi="Arial"/>
                <w:sz w:val="15"/>
                <w:szCs w:val="15"/>
                <w:b w:val="1"/>
                <w:bCs w:val="1"/>
                <w:color w:val="auto"/>
              </w:rPr>
              <w:t>July 30,</w:t>
            </w:r>
          </w:p>
        </w:tc>
        <w:tc>
          <w:tcPr>
            <w:tcW w:w="840" w:type="dxa"/>
            <w:vAlign w:val="bottom"/>
            <w:tcBorders>
              <w:top w:val="single" w:sz="8" w:color="auto"/>
            </w:tcBorders>
            <w:gridSpan w:val="2"/>
          </w:tcPr>
          <w:p>
            <w:pPr>
              <w:ind w:left="160"/>
              <w:spacing w:after="0" w:line="139" w:lineRule="exact"/>
              <w:rPr>
                <w:sz w:val="20"/>
                <w:szCs w:val="20"/>
                <w:color w:val="auto"/>
              </w:rPr>
            </w:pPr>
            <w:r>
              <w:rPr>
                <w:rFonts w:ascii="Arial" w:cs="Arial" w:eastAsia="Arial" w:hAnsi="Arial"/>
                <w:sz w:val="15"/>
                <w:szCs w:val="15"/>
                <w:b w:val="1"/>
                <w:bCs w:val="1"/>
                <w:color w:val="auto"/>
              </w:rPr>
              <w:t>July 29,</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line="139" w:lineRule="exact"/>
              <w:rPr>
                <w:sz w:val="20"/>
                <w:szCs w:val="20"/>
                <w:color w:val="auto"/>
              </w:rPr>
            </w:pPr>
            <w:r>
              <w:rPr>
                <w:rFonts w:ascii="Arial" w:cs="Arial" w:eastAsia="Arial" w:hAnsi="Arial"/>
                <w:sz w:val="15"/>
                <w:szCs w:val="15"/>
                <w:b w:val="1"/>
                <w:bCs w:val="1"/>
                <w:color w:val="auto"/>
              </w:rPr>
              <w:t>July 30,</w:t>
            </w:r>
          </w:p>
        </w:tc>
        <w:tc>
          <w:tcPr>
            <w:tcW w:w="840" w:type="dxa"/>
            <w:vAlign w:val="bottom"/>
            <w:tcBorders>
              <w:top w:val="single" w:sz="8" w:color="auto"/>
            </w:tcBorders>
            <w:gridSpan w:val="2"/>
          </w:tcPr>
          <w:p>
            <w:pPr>
              <w:ind w:left="100"/>
              <w:spacing w:after="0" w:line="139" w:lineRule="exact"/>
              <w:rPr>
                <w:sz w:val="20"/>
                <w:szCs w:val="20"/>
                <w:color w:val="auto"/>
              </w:rPr>
            </w:pPr>
            <w:r>
              <w:rPr>
                <w:rFonts w:ascii="Arial" w:cs="Arial" w:eastAsia="Arial" w:hAnsi="Arial"/>
                <w:sz w:val="15"/>
                <w:szCs w:val="15"/>
                <w:b w:val="1"/>
                <w:bCs w:val="1"/>
                <w:color w:val="auto"/>
              </w:rPr>
              <w:t>July 29,</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3"/>
              <w:spacing w:after="0" w:line="139" w:lineRule="exact"/>
              <w:rPr>
                <w:sz w:val="20"/>
                <w:szCs w:val="20"/>
                <w:color w:val="auto"/>
              </w:rPr>
            </w:pPr>
            <w:r>
              <w:rPr>
                <w:rFonts w:ascii="Arial" w:cs="Arial" w:eastAsia="Arial" w:hAnsi="Arial"/>
                <w:sz w:val="15"/>
                <w:szCs w:val="15"/>
                <w:b w:val="1"/>
                <w:bCs w:val="1"/>
                <w:color w:val="auto"/>
              </w:rPr>
              <w:t>July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2017</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2016</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2016</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2016</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00" w:type="dxa"/>
            <w:vAlign w:val="bottom"/>
            <w:shd w:val="clear" w:color="auto" w:fill="CCEEFF"/>
          </w:tcPr>
          <w:p>
            <w:pPr>
              <w:spacing w:after="0"/>
              <w:rPr>
                <w:sz w:val="20"/>
                <w:szCs w:val="20"/>
                <w:color w:val="auto"/>
              </w:rPr>
            </w:pPr>
            <w:r>
              <w:rPr>
                <w:rFonts w:ascii="Arial" w:cs="Arial" w:eastAsia="Arial" w:hAnsi="Arial"/>
                <w:sz w:val="15"/>
                <w:szCs w:val="15"/>
                <w:color w:val="auto"/>
              </w:rPr>
              <w:t>Service cost</w:t>
            </w:r>
          </w:p>
        </w:tc>
        <w:tc>
          <w:tcPr>
            <w:tcW w:w="22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w:t>
            </w:r>
          </w:p>
        </w:tc>
        <w:tc>
          <w:tcPr>
            <w:tcW w:w="20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w w:val="95"/>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w w:val="95"/>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Arial" w:cs="Arial" w:eastAsia="Arial" w:hAnsi="Arial"/>
                <w:sz w:val="15"/>
                <w:szCs w:val="15"/>
                <w:color w:val="auto"/>
              </w:rPr>
              <w:t>Interest cost</w:t>
            </w:r>
          </w:p>
        </w:tc>
        <w:tc>
          <w:tcPr>
            <w:tcW w:w="220" w:type="dxa"/>
            <w:vAlign w:val="bottom"/>
          </w:tcPr>
          <w:p>
            <w:pPr>
              <w:spacing w:after="0"/>
              <w:rPr>
                <w:sz w:val="17"/>
                <w:szCs w:val="17"/>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b w:val="1"/>
                <w:bCs w:val="1"/>
                <w:color w:val="auto"/>
              </w:rPr>
              <w:t>7</w:t>
            </w:r>
          </w:p>
        </w:tc>
        <w:tc>
          <w:tcPr>
            <w:tcW w:w="140" w:type="dxa"/>
            <w:vAlign w:val="bottom"/>
          </w:tcPr>
          <w:p>
            <w:pPr>
              <w:spacing w:after="0"/>
              <w:rPr>
                <w:sz w:val="17"/>
                <w:szCs w:val="17"/>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7"/>
                <w:szCs w:val="17"/>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b w:val="1"/>
                <w:bCs w:val="1"/>
                <w:color w:val="auto"/>
              </w:rPr>
              <w:t>13</w:t>
            </w: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760" w:type="dxa"/>
            <w:vAlign w:val="bottom"/>
          </w:tcPr>
          <w:p>
            <w:pPr>
              <w:ind w:left="5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rPr>
                <w:sz w:val="20"/>
                <w:szCs w:val="20"/>
                <w:color w:val="auto"/>
              </w:rPr>
            </w:pPr>
            <w:r>
              <w:rPr>
                <w:rFonts w:ascii="Arial" w:cs="Arial" w:eastAsia="Arial" w:hAnsi="Arial"/>
                <w:sz w:val="15"/>
                <w:szCs w:val="15"/>
                <w:color w:val="auto"/>
              </w:rPr>
              <w:t>Expected return on plan</w:t>
            </w:r>
          </w:p>
        </w:tc>
        <w:tc>
          <w:tcPr>
            <w:tcW w:w="2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(10)</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(19)</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assets</w:t>
            </w:r>
          </w:p>
        </w:tc>
        <w:tc>
          <w:tcPr>
            <w:tcW w:w="2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w:t>
            </w:r>
          </w:p>
        </w:tc>
        <w:tc>
          <w:tcPr>
            <w:tcW w:w="2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2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Arial" w:cs="Arial" w:eastAsia="Arial" w:hAnsi="Arial"/>
                <w:sz w:val="15"/>
                <w:szCs w:val="15"/>
                <w:color w:val="auto"/>
              </w:rPr>
              <w:t>Amortization of net loss</w:t>
            </w:r>
          </w:p>
        </w:tc>
        <w:tc>
          <w:tcPr>
            <w:tcW w:w="220" w:type="dxa"/>
            <w:vAlign w:val="bottom"/>
          </w:tcPr>
          <w:p>
            <w:pPr>
              <w:spacing w:after="0"/>
              <w:rPr>
                <w:sz w:val="16"/>
                <w:szCs w:val="16"/>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7</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tcPr>
          <w:p>
            <w:pPr>
              <w:ind w:left="160"/>
              <w:spacing w:after="0"/>
              <w:rPr>
                <w:sz w:val="20"/>
                <w:szCs w:val="20"/>
                <w:color w:val="auto"/>
              </w:rPr>
            </w:pPr>
            <w:r>
              <w:rPr>
                <w:rFonts w:ascii="Arial" w:cs="Arial" w:eastAsia="Arial" w:hAnsi="Arial"/>
                <w:sz w:val="15"/>
                <w:szCs w:val="15"/>
                <w:color w:val="auto"/>
              </w:rPr>
              <w:t>(gain)</w:t>
            </w: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ind w:left="5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37"/>
        </w:trPr>
        <w:tc>
          <w:tcPr>
            <w:tcW w:w="2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benefit expense (income)</w:t>
            </w:r>
          </w:p>
        </w:tc>
        <w:tc>
          <w:tcPr>
            <w:tcW w:w="2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w:t>
            </w:r>
          </w:p>
        </w:tc>
        <w:tc>
          <w:tcPr>
            <w:tcW w:w="2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w:t>
            </w:r>
          </w:p>
        </w:tc>
        <w:tc>
          <w:tcPr>
            <w:tcW w:w="2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5"/>
                <w:szCs w:val="15"/>
                <w:b w:val="1"/>
                <w:bCs w:val="1"/>
                <w:color w:val="auto"/>
                <w:w w:val="9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5"/>
                <w:szCs w:val="15"/>
                <w:b w:val="1"/>
                <w:bCs w:val="1"/>
                <w:color w:val="auto"/>
                <w:w w:val="9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 xml:space="preserve">During the first quarter of 2017, the Company made a contribution of $25 million to the U.S. qualified plan. The Company continually evaluates the amount and timing of any future contributions. The Company currently does not expect to make any further pension plan contributions during this year. Actual contributions are dependent on several factors, including the outcome of the ongoing U.S. pension litigation. See Note 12,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for further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Share-Based Compensation</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Total compensation expense included in SG&amp;A, and the associated tax benefits recognized related to the Company’s share-based compensation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83"/>
              <w:spacing w:after="0"/>
              <w:rPr>
                <w:sz w:val="20"/>
                <w:szCs w:val="20"/>
                <w:color w:val="auto"/>
              </w:rPr>
            </w:pPr>
            <w:r>
              <w:rPr>
                <w:rFonts w:ascii="Arial" w:cs="Arial" w:eastAsia="Arial" w:hAnsi="Arial"/>
                <w:sz w:val="15"/>
                <w:szCs w:val="15"/>
                <w:b w:val="1"/>
                <w:bCs w:val="1"/>
                <w:color w:val="auto"/>
              </w:rPr>
              <w:t>Thirteen weeks ended</w:t>
            </w: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5"/>
                <w:szCs w:val="15"/>
                <w:b w:val="1"/>
                <w:bCs w:val="1"/>
                <w:color w:val="auto"/>
              </w:rPr>
              <w:t>Twenty-six weeks ended</w:t>
            </w:r>
          </w:p>
        </w:tc>
        <w:tc>
          <w:tcPr>
            <w:tcW w:w="0" w:type="dxa"/>
            <w:vAlign w:val="bottom"/>
          </w:tcPr>
          <w:p>
            <w:pPr>
              <w:spacing w:after="0"/>
              <w:rPr>
                <w:sz w:val="1"/>
                <w:szCs w:val="1"/>
                <w:color w:val="auto"/>
              </w:rPr>
            </w:pPr>
          </w:p>
        </w:tc>
      </w:tr>
      <w:tr>
        <w:trPr>
          <w:trHeight w:val="151"/>
        </w:trPr>
        <w:tc>
          <w:tcPr>
            <w:tcW w:w="4220" w:type="dxa"/>
            <w:vAlign w:val="bottom"/>
          </w:tcPr>
          <w:p>
            <w:pPr>
              <w:spacing w:after="0"/>
              <w:rPr>
                <w:sz w:val="13"/>
                <w:szCs w:val="13"/>
                <w:color w:val="auto"/>
              </w:rPr>
            </w:pPr>
          </w:p>
        </w:tc>
        <w:tc>
          <w:tcPr>
            <w:tcW w:w="100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July 29,</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223"/>
              <w:spacing w:after="0" w:line="151" w:lineRule="exact"/>
              <w:rPr>
                <w:sz w:val="20"/>
                <w:szCs w:val="20"/>
                <w:color w:val="auto"/>
              </w:rPr>
            </w:pPr>
            <w:r>
              <w:rPr>
                <w:rFonts w:ascii="Arial" w:cs="Arial" w:eastAsia="Arial" w:hAnsi="Arial"/>
                <w:sz w:val="15"/>
                <w:szCs w:val="15"/>
                <w:b w:val="1"/>
                <w:bCs w:val="1"/>
                <w:color w:val="auto"/>
              </w:rPr>
              <w:t>July 30,</w:t>
            </w:r>
          </w:p>
        </w:tc>
        <w:tc>
          <w:tcPr>
            <w:tcW w:w="300" w:type="dxa"/>
            <w:vAlign w:val="bottom"/>
          </w:tcPr>
          <w:p>
            <w:pPr>
              <w:spacing w:after="0"/>
              <w:rPr>
                <w:sz w:val="13"/>
                <w:szCs w:val="13"/>
                <w:color w:val="auto"/>
              </w:rPr>
            </w:pPr>
          </w:p>
        </w:tc>
        <w:tc>
          <w:tcPr>
            <w:tcW w:w="980" w:type="dxa"/>
            <w:vAlign w:val="bottom"/>
          </w:tcPr>
          <w:p>
            <w:pPr>
              <w:jc w:val="right"/>
              <w:ind w:right="303"/>
              <w:spacing w:after="0" w:line="151" w:lineRule="exact"/>
              <w:rPr>
                <w:sz w:val="20"/>
                <w:szCs w:val="20"/>
                <w:color w:val="auto"/>
              </w:rPr>
            </w:pPr>
            <w:r>
              <w:rPr>
                <w:rFonts w:ascii="Arial" w:cs="Arial" w:eastAsia="Arial" w:hAnsi="Arial"/>
                <w:sz w:val="15"/>
                <w:szCs w:val="15"/>
                <w:b w:val="1"/>
                <w:bCs w:val="1"/>
                <w:color w:val="auto"/>
              </w:rPr>
              <w:t>July 29,</w:t>
            </w:r>
          </w:p>
        </w:tc>
        <w:tc>
          <w:tcPr>
            <w:tcW w:w="280" w:type="dxa"/>
            <w:vAlign w:val="bottom"/>
          </w:tcPr>
          <w:p>
            <w:pPr>
              <w:spacing w:after="0"/>
              <w:rPr>
                <w:sz w:val="13"/>
                <w:szCs w:val="13"/>
                <w:color w:val="auto"/>
              </w:rPr>
            </w:pPr>
          </w:p>
        </w:tc>
        <w:tc>
          <w:tcPr>
            <w:tcW w:w="880" w:type="dxa"/>
            <w:vAlign w:val="bottom"/>
          </w:tcPr>
          <w:p>
            <w:pPr>
              <w:jc w:val="right"/>
              <w:ind w:right="183"/>
              <w:spacing w:after="0" w:line="151" w:lineRule="exact"/>
              <w:rPr>
                <w:sz w:val="20"/>
                <w:szCs w:val="20"/>
                <w:color w:val="auto"/>
              </w:rPr>
            </w:pPr>
            <w:r>
              <w:rPr>
                <w:rFonts w:ascii="Arial" w:cs="Arial" w:eastAsia="Arial" w:hAnsi="Arial"/>
                <w:sz w:val="15"/>
                <w:szCs w:val="15"/>
                <w:b w:val="1"/>
                <w:bCs w:val="1"/>
                <w:color w:val="auto"/>
              </w:rPr>
              <w:t>July 30,</w:t>
            </w:r>
          </w:p>
        </w:tc>
        <w:tc>
          <w:tcPr>
            <w:tcW w:w="0" w:type="dxa"/>
            <w:vAlign w:val="bottom"/>
          </w:tcPr>
          <w:p>
            <w:pPr>
              <w:spacing w:after="0"/>
              <w:rPr>
                <w:sz w:val="1"/>
                <w:szCs w:val="1"/>
                <w:color w:val="auto"/>
              </w:rPr>
            </w:pPr>
          </w:p>
        </w:tc>
      </w:tr>
      <w:tr>
        <w:trPr>
          <w:trHeight w:val="194"/>
        </w:trPr>
        <w:tc>
          <w:tcPr>
            <w:tcW w:w="4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right"/>
              <w:ind w:right="643"/>
              <w:spacing w:after="0"/>
              <w:rPr>
                <w:sz w:val="20"/>
                <w:szCs w:val="20"/>
                <w:color w:val="auto"/>
              </w:rPr>
            </w:pPr>
            <w:r>
              <w:rPr>
                <w:rFonts w:ascii="Arial" w:cs="Arial" w:eastAsia="Arial" w:hAnsi="Arial"/>
                <w:sz w:val="15"/>
                <w:szCs w:val="15"/>
                <w:color w:val="auto"/>
              </w:rPr>
              <w:t>($ in millions)</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Options and shares purchased under the employee stock</w:t>
            </w:r>
          </w:p>
        </w:tc>
        <w:tc>
          <w:tcPr>
            <w:tcW w:w="1000" w:type="dxa"/>
            <w:vAlign w:val="bottom"/>
            <w:vMerge w:val="restart"/>
            <w:shd w:val="clear" w:color="auto" w:fill="CCEEFF"/>
          </w:tcPr>
          <w:p>
            <w:pPr>
              <w:jc w:val="right"/>
              <w:ind w:right="523"/>
              <w:spacing w:after="0"/>
              <w:rPr>
                <w:sz w:val="20"/>
                <w:szCs w:val="20"/>
                <w:color w:val="auto"/>
              </w:rPr>
            </w:pPr>
            <w:r>
              <w:rPr>
                <w:rFonts w:ascii="Arial" w:cs="Arial" w:eastAsia="Arial" w:hAnsi="Arial"/>
                <w:sz w:val="15"/>
                <w:szCs w:val="15"/>
                <w:b w:val="1"/>
                <w:bCs w:val="1"/>
                <w:color w:val="auto"/>
              </w:rPr>
              <w:t>$</w:t>
            </w:r>
          </w:p>
        </w:tc>
        <w:tc>
          <w:tcPr>
            <w:tcW w:w="320" w:type="dxa"/>
            <w:vAlign w:val="bottom"/>
            <w:vMerge w:val="restart"/>
            <w:shd w:val="clear" w:color="auto" w:fill="CCEEFF"/>
          </w:tcPr>
          <w:p>
            <w:pPr>
              <w:jc w:val="center"/>
              <w:ind w:right="43"/>
              <w:spacing w:after="0"/>
              <w:rPr>
                <w:sz w:val="20"/>
                <w:szCs w:val="20"/>
                <w:color w:val="auto"/>
              </w:rPr>
            </w:pPr>
            <w:r>
              <w:rPr>
                <w:rFonts w:ascii="Arial" w:cs="Arial" w:eastAsia="Arial" w:hAnsi="Arial"/>
                <w:sz w:val="15"/>
                <w:szCs w:val="15"/>
                <w:b w:val="1"/>
                <w:bCs w:val="1"/>
                <w:color w:val="auto"/>
                <w:w w:val="95"/>
              </w:rPr>
              <w:t>3</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5</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purchase plan</w:t>
            </w:r>
          </w:p>
        </w:tc>
        <w:tc>
          <w:tcPr>
            <w:tcW w:w="100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w:t>
            </w:r>
          </w:p>
        </w:tc>
        <w:tc>
          <w:tcPr>
            <w:tcW w:w="3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7"/>
        </w:trPr>
        <w:tc>
          <w:tcPr>
            <w:tcW w:w="4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Restricted stock and restricted stock units</w:t>
            </w:r>
          </w:p>
        </w:tc>
        <w:tc>
          <w:tcPr>
            <w:tcW w:w="1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3"/>
              </w:rPr>
              <w: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4</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3</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9"/>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share-based compensation expense</w:t>
            </w:r>
          </w:p>
        </w:tc>
        <w:tc>
          <w:tcPr>
            <w:tcW w:w="10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shd w:val="clear" w:color="auto" w:fill="CCEEFF"/>
          </w:tcPr>
          <w:p>
            <w:pPr>
              <w:jc w:val="center"/>
              <w:ind w:right="43"/>
              <w:spacing w:after="0"/>
              <w:rPr>
                <w:sz w:val="20"/>
                <w:szCs w:val="20"/>
                <w:color w:val="auto"/>
              </w:rPr>
            </w:pPr>
            <w:r>
              <w:rPr>
                <w:rFonts w:ascii="Arial" w:cs="Arial" w:eastAsia="Arial" w:hAnsi="Arial"/>
                <w:sz w:val="15"/>
                <w:szCs w:val="15"/>
                <w:b w:val="1"/>
                <w:bCs w:val="1"/>
                <w:color w:val="auto"/>
                <w:w w:val="95"/>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Tax benefit recognized</w:t>
            </w:r>
          </w:p>
        </w:tc>
        <w:tc>
          <w:tcPr>
            <w:tcW w:w="10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shd w:val="clear" w:color="auto" w:fill="CCEEFF"/>
          </w:tcPr>
          <w:p>
            <w:pPr>
              <w:jc w:val="center"/>
              <w:ind w:right="43"/>
              <w:spacing w:after="0"/>
              <w:rPr>
                <w:sz w:val="20"/>
                <w:szCs w:val="20"/>
                <w:color w:val="auto"/>
              </w:rPr>
            </w:pPr>
            <w:r>
              <w:rPr>
                <w:rFonts w:ascii="Arial" w:cs="Arial" w:eastAsia="Arial" w:hAnsi="Arial"/>
                <w:sz w:val="15"/>
                <w:szCs w:val="15"/>
                <w:b w:val="1"/>
                <w:bCs w:val="1"/>
                <w:color w:val="auto"/>
                <w:w w:val="95"/>
              </w:rPr>
              <w:t>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Valuation Model and Assumptions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 uses the Black-Scholes option-pricing model to estimate the fair value of share-based awards. The Black-Scholes option-pricing model incorporates various and highly subjective assumptions, including expected term and expected volatility.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4" w:name="page15"/>
    <w:bookmarkEnd w:id="14"/>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During the first quarter of 2017, in connection with the adoption of ASU 2016-09, we have made the accounting policy election to discontinue estimating forfeitures and will account for forfeitures as they occur.</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shows the Company’s assumptions used to compute share-based compensation expense for awards granted during the twenty-six weeks ended July 29, 2017 and July 30, 2016: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5"/>
                <w:szCs w:val="15"/>
                <w:b w:val="1"/>
                <w:bCs w:val="1"/>
                <w:color w:val="auto"/>
              </w:rPr>
              <w:t>Stock Option Plans</w:t>
            </w: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Stock Purchase Plan</w:t>
            </w:r>
          </w:p>
        </w:tc>
      </w:tr>
      <w:tr>
        <w:trPr>
          <w:trHeight w:val="151"/>
        </w:trPr>
        <w:tc>
          <w:tcPr>
            <w:tcW w:w="3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jc w:val="right"/>
              <w:ind w:right="383"/>
              <w:spacing w:after="0" w:line="151" w:lineRule="exact"/>
              <w:rPr>
                <w:sz w:val="20"/>
                <w:szCs w:val="20"/>
                <w:color w:val="auto"/>
              </w:rPr>
            </w:pPr>
            <w:r>
              <w:rPr>
                <w:rFonts w:ascii="Arial" w:cs="Arial" w:eastAsia="Arial" w:hAnsi="Arial"/>
                <w:sz w:val="15"/>
                <w:szCs w:val="15"/>
                <w:b w:val="1"/>
                <w:bCs w:val="1"/>
                <w:color w:val="auto"/>
              </w:rPr>
              <w:t>July 29,</w:t>
            </w:r>
          </w:p>
        </w:tc>
        <w:tc>
          <w:tcPr>
            <w:tcW w:w="280" w:type="dxa"/>
            <w:vAlign w:val="bottom"/>
          </w:tcPr>
          <w:p>
            <w:pPr>
              <w:spacing w:after="0"/>
              <w:rPr>
                <w:sz w:val="13"/>
                <w:szCs w:val="13"/>
                <w:color w:val="auto"/>
              </w:rPr>
            </w:pPr>
          </w:p>
        </w:tc>
        <w:tc>
          <w:tcPr>
            <w:tcW w:w="1100" w:type="dxa"/>
            <w:vAlign w:val="bottom"/>
          </w:tcPr>
          <w:p>
            <w:pPr>
              <w:jc w:val="right"/>
              <w:ind w:right="343"/>
              <w:spacing w:after="0" w:line="151" w:lineRule="exact"/>
              <w:rPr>
                <w:sz w:val="20"/>
                <w:szCs w:val="20"/>
                <w:color w:val="auto"/>
              </w:rPr>
            </w:pPr>
            <w:r>
              <w:rPr>
                <w:rFonts w:ascii="Arial" w:cs="Arial" w:eastAsia="Arial" w:hAnsi="Arial"/>
                <w:sz w:val="15"/>
                <w:szCs w:val="15"/>
                <w:b w:val="1"/>
                <w:bCs w:val="1"/>
                <w:color w:val="auto"/>
              </w:rPr>
              <w:t>July 30,</w:t>
            </w:r>
          </w:p>
        </w:tc>
        <w:tc>
          <w:tcPr>
            <w:tcW w:w="300" w:type="dxa"/>
            <w:vAlign w:val="bottom"/>
          </w:tcPr>
          <w:p>
            <w:pPr>
              <w:spacing w:after="0"/>
              <w:rPr>
                <w:sz w:val="13"/>
                <w:szCs w:val="13"/>
                <w:color w:val="auto"/>
              </w:rPr>
            </w:pPr>
          </w:p>
        </w:tc>
        <w:tc>
          <w:tcPr>
            <w:tcW w:w="1100" w:type="dxa"/>
            <w:vAlign w:val="bottom"/>
          </w:tcPr>
          <w:p>
            <w:pPr>
              <w:jc w:val="right"/>
              <w:ind w:right="363"/>
              <w:spacing w:after="0" w:line="151" w:lineRule="exact"/>
              <w:rPr>
                <w:sz w:val="20"/>
                <w:szCs w:val="20"/>
                <w:color w:val="auto"/>
              </w:rPr>
            </w:pPr>
            <w:r>
              <w:rPr>
                <w:rFonts w:ascii="Arial" w:cs="Arial" w:eastAsia="Arial" w:hAnsi="Arial"/>
                <w:sz w:val="15"/>
                <w:szCs w:val="15"/>
                <w:b w:val="1"/>
                <w:bCs w:val="1"/>
                <w:color w:val="auto"/>
              </w:rPr>
              <w:t>July 29,</w:t>
            </w:r>
          </w:p>
        </w:tc>
        <w:tc>
          <w:tcPr>
            <w:tcW w:w="280" w:type="dxa"/>
            <w:vAlign w:val="bottom"/>
          </w:tcPr>
          <w:p>
            <w:pPr>
              <w:spacing w:after="0"/>
              <w:rPr>
                <w:sz w:val="13"/>
                <w:szCs w:val="13"/>
                <w:color w:val="auto"/>
              </w:rPr>
            </w:pPr>
          </w:p>
        </w:tc>
        <w:tc>
          <w:tcPr>
            <w:tcW w:w="1060" w:type="dxa"/>
            <w:vAlign w:val="bottom"/>
          </w:tcPr>
          <w:p>
            <w:pPr>
              <w:jc w:val="right"/>
              <w:ind w:right="323"/>
              <w:spacing w:after="0" w:line="151" w:lineRule="exact"/>
              <w:rPr>
                <w:sz w:val="20"/>
                <w:szCs w:val="20"/>
                <w:color w:val="auto"/>
              </w:rPr>
            </w:pPr>
            <w:r>
              <w:rPr>
                <w:rFonts w:ascii="Arial" w:cs="Arial" w:eastAsia="Arial" w:hAnsi="Arial"/>
                <w:sz w:val="15"/>
                <w:szCs w:val="15"/>
                <w:b w:val="1"/>
                <w:bCs w:val="1"/>
                <w:color w:val="auto"/>
              </w:rPr>
              <w:t>July 30,</w:t>
            </w:r>
          </w:p>
        </w:tc>
      </w:tr>
      <w:tr>
        <w:trPr>
          <w:trHeight w:val="194"/>
        </w:trPr>
        <w:tc>
          <w:tcPr>
            <w:tcW w:w="34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2016</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risk free rate of interest</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2.1 %</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1.4 %</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0.8 %</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0.4 %</w:t>
            </w:r>
          </w:p>
        </w:tc>
      </w:tr>
      <w:tr>
        <w:trPr>
          <w:trHeight w:val="207"/>
        </w:trPr>
        <w:tc>
          <w:tcPr>
            <w:tcW w:w="3480" w:type="dxa"/>
            <w:vAlign w:val="bottom"/>
          </w:tcPr>
          <w:p>
            <w:pPr>
              <w:spacing w:after="0"/>
              <w:rPr>
                <w:sz w:val="20"/>
                <w:szCs w:val="20"/>
                <w:color w:val="auto"/>
              </w:rPr>
            </w:pPr>
            <w:r>
              <w:rPr>
                <w:rFonts w:ascii="Arial" w:cs="Arial" w:eastAsia="Arial" w:hAnsi="Arial"/>
                <w:sz w:val="15"/>
                <w:szCs w:val="15"/>
                <w:color w:val="auto"/>
              </w:rPr>
              <w:t>Expected volatility</w:t>
            </w:r>
          </w:p>
        </w:tc>
        <w:tc>
          <w:tcPr>
            <w:tcW w:w="38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b w:val="1"/>
                <w:bCs w:val="1"/>
                <w:color w:val="auto"/>
              </w:rPr>
              <w:t>25 %</w:t>
            </w:r>
          </w:p>
        </w:tc>
        <w:tc>
          <w:tcPr>
            <w:tcW w:w="28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30 %</w:t>
            </w:r>
          </w:p>
        </w:tc>
        <w:tc>
          <w:tcPr>
            <w:tcW w:w="30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29 %</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26 %</w:t>
            </w:r>
          </w:p>
        </w:tc>
      </w:tr>
      <w:tr>
        <w:trPr>
          <w:trHeight w:val="365"/>
        </w:trPr>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expected award life (in years)</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5.3</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5.7</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1.0</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1.0</w:t>
            </w:r>
          </w:p>
        </w:tc>
      </w:tr>
      <w:tr>
        <w:trPr>
          <w:trHeight w:val="207"/>
        </w:trPr>
        <w:tc>
          <w:tcPr>
            <w:tcW w:w="3480" w:type="dxa"/>
            <w:vAlign w:val="bottom"/>
          </w:tcPr>
          <w:p>
            <w:pPr>
              <w:spacing w:after="0"/>
              <w:rPr>
                <w:sz w:val="20"/>
                <w:szCs w:val="20"/>
                <w:color w:val="auto"/>
              </w:rPr>
            </w:pPr>
            <w:r>
              <w:rPr>
                <w:rFonts w:ascii="Arial" w:cs="Arial" w:eastAsia="Arial" w:hAnsi="Arial"/>
                <w:sz w:val="15"/>
                <w:szCs w:val="15"/>
                <w:color w:val="auto"/>
              </w:rPr>
              <w:t>Dividend yield</w:t>
            </w:r>
          </w:p>
        </w:tc>
        <w:tc>
          <w:tcPr>
            <w:tcW w:w="38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b w:val="1"/>
                <w:bCs w:val="1"/>
                <w:color w:val="auto"/>
              </w:rPr>
              <w:t>1.7 %</w:t>
            </w:r>
          </w:p>
        </w:tc>
        <w:tc>
          <w:tcPr>
            <w:tcW w:w="28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1.7 %</w:t>
            </w:r>
          </w:p>
        </w:tc>
        <w:tc>
          <w:tcPr>
            <w:tcW w:w="30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b w:val="1"/>
                <w:bCs w:val="1"/>
                <w:color w:val="auto"/>
              </w:rPr>
              <w:t>2.0 %</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1.7 %</w:t>
            </w:r>
          </w:p>
        </w:tc>
      </w:tr>
      <w:tr>
        <w:trPr>
          <w:trHeight w:val="207"/>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Weighted-average fair value</w:t>
            </w:r>
          </w:p>
        </w:tc>
        <w:tc>
          <w:tcPr>
            <w:tcW w:w="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15.56</w:t>
            </w: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15.68</w:t>
            </w:r>
          </w:p>
        </w:tc>
        <w:tc>
          <w:tcPr>
            <w:tcW w:w="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10.61</w:t>
            </w: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15.19</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in the following table covers option activity under the Company’s stock option plans for the twenty-six weeks ended</w:t>
      </w:r>
    </w:p>
    <w:p>
      <w:pPr>
        <w:spacing w:after="0"/>
        <w:rPr>
          <w:sz w:val="20"/>
          <w:szCs w:val="20"/>
          <w:color w:val="auto"/>
        </w:rPr>
      </w:pPr>
      <w:r>
        <w:rPr>
          <w:rFonts w:ascii="Arial" w:cs="Arial" w:eastAsia="Arial" w:hAnsi="Arial"/>
          <w:sz w:val="15"/>
          <w:szCs w:val="15"/>
          <w:color w:val="auto"/>
        </w:rPr>
        <w:t>July 29, 2017: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jc w:val="center"/>
              <w:ind w:right="83"/>
              <w:spacing w:after="0"/>
              <w:rPr>
                <w:sz w:val="20"/>
                <w:szCs w:val="20"/>
                <w:color w:val="auto"/>
              </w:rPr>
            </w:pPr>
            <w:r>
              <w:rPr>
                <w:rFonts w:ascii="Arial" w:cs="Arial" w:eastAsia="Arial" w:hAnsi="Arial"/>
                <w:sz w:val="15"/>
                <w:szCs w:val="15"/>
                <w:b w:val="1"/>
                <w:bCs w:val="1"/>
                <w:color w:val="auto"/>
              </w:rPr>
              <w:t>Weighted-</w:t>
            </w:r>
          </w:p>
        </w:tc>
        <w:tc>
          <w:tcPr>
            <w:tcW w:w="320" w:type="dxa"/>
            <w:vAlign w:val="bottom"/>
          </w:tcPr>
          <w:p>
            <w:pPr>
              <w:spacing w:after="0"/>
              <w:rPr>
                <w:sz w:val="14"/>
                <w:szCs w:val="14"/>
                <w:color w:val="auto"/>
              </w:rPr>
            </w:pPr>
          </w:p>
        </w:tc>
        <w:tc>
          <w:tcPr>
            <w:tcW w:w="1100" w:type="dxa"/>
            <w:vAlign w:val="bottom"/>
          </w:tcPr>
          <w:p>
            <w:pPr>
              <w:jc w:val="center"/>
              <w:ind w:right="203"/>
              <w:spacing w:after="0"/>
              <w:rPr>
                <w:sz w:val="20"/>
                <w:szCs w:val="20"/>
                <w:color w:val="auto"/>
              </w:rPr>
            </w:pPr>
            <w:r>
              <w:rPr>
                <w:rFonts w:ascii="Arial" w:cs="Arial" w:eastAsia="Arial" w:hAnsi="Arial"/>
                <w:sz w:val="15"/>
                <w:szCs w:val="15"/>
                <w:b w:val="1"/>
                <w:bCs w:val="1"/>
                <w:color w:val="auto"/>
              </w:rPr>
              <w:t>Weighted-</w:t>
            </w:r>
          </w:p>
        </w:tc>
      </w:tr>
      <w:tr>
        <w:trPr>
          <w:trHeight w:val="170"/>
        </w:trPr>
        <w:tc>
          <w:tcPr>
            <w:tcW w:w="6100" w:type="dxa"/>
            <w:vAlign w:val="bottom"/>
            <w:gridSpan w:val="2"/>
          </w:tcPr>
          <w:p>
            <w:pPr>
              <w:jc w:val="center"/>
              <w:ind w:left="4563"/>
              <w:spacing w:after="0" w:line="170" w:lineRule="exact"/>
              <w:rPr>
                <w:sz w:val="20"/>
                <w:szCs w:val="20"/>
                <w:color w:val="auto"/>
              </w:rPr>
            </w:pPr>
            <w:r>
              <w:rPr>
                <w:rFonts w:ascii="Arial" w:cs="Arial" w:eastAsia="Arial" w:hAnsi="Arial"/>
                <w:sz w:val="15"/>
                <w:szCs w:val="15"/>
                <w:b w:val="1"/>
                <w:bCs w:val="1"/>
                <w:color w:val="auto"/>
              </w:rPr>
              <w:t>Number</w:t>
            </w:r>
          </w:p>
        </w:tc>
        <w:tc>
          <w:tcPr>
            <w:tcW w:w="1580" w:type="dxa"/>
            <w:vAlign w:val="bottom"/>
          </w:tcPr>
          <w:p>
            <w:pPr>
              <w:jc w:val="center"/>
              <w:ind w:right="63"/>
              <w:spacing w:after="0" w:line="170" w:lineRule="exact"/>
              <w:rPr>
                <w:sz w:val="20"/>
                <w:szCs w:val="20"/>
                <w:color w:val="auto"/>
              </w:rPr>
            </w:pPr>
            <w:r>
              <w:rPr>
                <w:rFonts w:ascii="Arial" w:cs="Arial" w:eastAsia="Arial" w:hAnsi="Arial"/>
                <w:sz w:val="15"/>
                <w:szCs w:val="15"/>
                <w:b w:val="1"/>
                <w:bCs w:val="1"/>
                <w:color w:val="auto"/>
              </w:rPr>
              <w:t>Average</w:t>
            </w:r>
          </w:p>
        </w:tc>
        <w:tc>
          <w:tcPr>
            <w:tcW w:w="320" w:type="dxa"/>
            <w:vAlign w:val="bottom"/>
          </w:tcPr>
          <w:p>
            <w:pPr>
              <w:spacing w:after="0"/>
              <w:rPr>
                <w:sz w:val="14"/>
                <w:szCs w:val="14"/>
                <w:color w:val="auto"/>
              </w:rPr>
            </w:pPr>
          </w:p>
        </w:tc>
        <w:tc>
          <w:tcPr>
            <w:tcW w:w="1100" w:type="dxa"/>
            <w:vAlign w:val="bottom"/>
          </w:tcPr>
          <w:p>
            <w:pPr>
              <w:jc w:val="center"/>
              <w:ind w:right="183"/>
              <w:spacing w:after="0" w:line="170" w:lineRule="exact"/>
              <w:rPr>
                <w:sz w:val="20"/>
                <w:szCs w:val="20"/>
                <w:color w:val="auto"/>
              </w:rPr>
            </w:pPr>
            <w:r>
              <w:rPr>
                <w:rFonts w:ascii="Arial" w:cs="Arial" w:eastAsia="Arial" w:hAnsi="Arial"/>
                <w:sz w:val="15"/>
                <w:szCs w:val="15"/>
                <w:b w:val="1"/>
                <w:bCs w:val="1"/>
                <w:color w:val="auto"/>
              </w:rPr>
              <w:t>Average</w:t>
            </w:r>
          </w:p>
        </w:tc>
      </w:tr>
      <w:tr>
        <w:trPr>
          <w:trHeight w:val="170"/>
        </w:trPr>
        <w:tc>
          <w:tcPr>
            <w:tcW w:w="5440" w:type="dxa"/>
            <w:vAlign w:val="bottom"/>
          </w:tcPr>
          <w:p>
            <w:pPr>
              <w:jc w:val="center"/>
              <w:ind w:left="5223"/>
              <w:spacing w:after="0" w:line="170" w:lineRule="exact"/>
              <w:rPr>
                <w:sz w:val="20"/>
                <w:szCs w:val="20"/>
                <w:color w:val="auto"/>
              </w:rPr>
            </w:pPr>
            <w:r>
              <w:rPr>
                <w:rFonts w:ascii="Arial" w:cs="Arial" w:eastAsia="Arial" w:hAnsi="Arial"/>
                <w:sz w:val="15"/>
                <w:szCs w:val="15"/>
                <w:b w:val="1"/>
                <w:bCs w:val="1"/>
                <w:color w:val="auto"/>
                <w:w w:val="98"/>
              </w:rPr>
              <w:t>of</w:t>
            </w:r>
          </w:p>
        </w:tc>
        <w:tc>
          <w:tcPr>
            <w:tcW w:w="660" w:type="dxa"/>
            <w:vAlign w:val="bottom"/>
          </w:tcPr>
          <w:p>
            <w:pPr>
              <w:spacing w:after="0"/>
              <w:rPr>
                <w:sz w:val="14"/>
                <w:szCs w:val="14"/>
                <w:color w:val="auto"/>
              </w:rPr>
            </w:pPr>
          </w:p>
        </w:tc>
        <w:tc>
          <w:tcPr>
            <w:tcW w:w="1580" w:type="dxa"/>
            <w:vAlign w:val="bottom"/>
          </w:tcPr>
          <w:p>
            <w:pPr>
              <w:jc w:val="center"/>
              <w:ind w:right="63"/>
              <w:spacing w:after="0" w:line="170" w:lineRule="exact"/>
              <w:rPr>
                <w:sz w:val="20"/>
                <w:szCs w:val="20"/>
                <w:color w:val="auto"/>
              </w:rPr>
            </w:pPr>
            <w:r>
              <w:rPr>
                <w:rFonts w:ascii="Arial" w:cs="Arial" w:eastAsia="Arial" w:hAnsi="Arial"/>
                <w:sz w:val="15"/>
                <w:szCs w:val="15"/>
                <w:b w:val="1"/>
                <w:bCs w:val="1"/>
                <w:color w:val="auto"/>
              </w:rPr>
              <w:t>Remaining</w:t>
            </w:r>
          </w:p>
        </w:tc>
        <w:tc>
          <w:tcPr>
            <w:tcW w:w="320" w:type="dxa"/>
            <w:vAlign w:val="bottom"/>
          </w:tcPr>
          <w:p>
            <w:pPr>
              <w:spacing w:after="0"/>
              <w:rPr>
                <w:sz w:val="14"/>
                <w:szCs w:val="14"/>
                <w:color w:val="auto"/>
              </w:rPr>
            </w:pPr>
          </w:p>
        </w:tc>
        <w:tc>
          <w:tcPr>
            <w:tcW w:w="1100" w:type="dxa"/>
            <w:vAlign w:val="bottom"/>
          </w:tcPr>
          <w:p>
            <w:pPr>
              <w:jc w:val="center"/>
              <w:ind w:right="183"/>
              <w:spacing w:after="0" w:line="170" w:lineRule="exact"/>
              <w:rPr>
                <w:sz w:val="20"/>
                <w:szCs w:val="20"/>
                <w:color w:val="auto"/>
              </w:rPr>
            </w:pPr>
            <w:r>
              <w:rPr>
                <w:rFonts w:ascii="Arial" w:cs="Arial" w:eastAsia="Arial" w:hAnsi="Arial"/>
                <w:sz w:val="15"/>
                <w:szCs w:val="15"/>
                <w:b w:val="1"/>
                <w:bCs w:val="1"/>
                <w:color w:val="auto"/>
              </w:rPr>
              <w:t>Exercise</w:t>
            </w:r>
          </w:p>
        </w:tc>
      </w:tr>
      <w:tr>
        <w:trPr>
          <w:trHeight w:val="194"/>
        </w:trPr>
        <w:tc>
          <w:tcPr>
            <w:tcW w:w="6100" w:type="dxa"/>
            <w:vAlign w:val="bottom"/>
            <w:tcBorders>
              <w:bottom w:val="single" w:sz="8" w:color="auto"/>
            </w:tcBorders>
            <w:gridSpan w:val="2"/>
          </w:tcPr>
          <w:p>
            <w:pPr>
              <w:jc w:val="center"/>
              <w:ind w:left="4543"/>
              <w:spacing w:after="0"/>
              <w:rPr>
                <w:sz w:val="20"/>
                <w:szCs w:val="20"/>
                <w:color w:val="auto"/>
              </w:rPr>
            </w:pPr>
            <w:r>
              <w:rPr>
                <w:rFonts w:ascii="Arial" w:cs="Arial" w:eastAsia="Arial" w:hAnsi="Arial"/>
                <w:sz w:val="15"/>
                <w:szCs w:val="15"/>
                <w:b w:val="1"/>
                <w:bCs w:val="1"/>
                <w:color w:val="auto"/>
              </w:rPr>
              <w:t>Shares</w:t>
            </w:r>
          </w:p>
        </w:tc>
        <w:tc>
          <w:tcPr>
            <w:tcW w:w="158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rPr>
              <w:t>Contractual Life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b w:val="1"/>
                <w:bCs w:val="1"/>
                <w:color w:val="auto"/>
              </w:rPr>
              <w:t>Price</w:t>
            </w:r>
          </w:p>
        </w:tc>
      </w:tr>
      <w:tr>
        <w:trPr>
          <w:trHeight w:val="187"/>
        </w:trPr>
        <w:tc>
          <w:tcPr>
            <w:tcW w:w="6100" w:type="dxa"/>
            <w:vAlign w:val="bottom"/>
            <w:gridSpan w:val="2"/>
          </w:tcPr>
          <w:p>
            <w:pPr>
              <w:jc w:val="center"/>
              <w:ind w:left="4563"/>
              <w:spacing w:after="0"/>
              <w:rPr>
                <w:sz w:val="20"/>
                <w:szCs w:val="20"/>
                <w:color w:val="auto"/>
              </w:rPr>
            </w:pPr>
            <w:r>
              <w:rPr>
                <w:rFonts w:ascii="Arial" w:cs="Arial" w:eastAsia="Arial" w:hAnsi="Arial"/>
                <w:sz w:val="15"/>
                <w:szCs w:val="15"/>
                <w:color w:val="auto"/>
              </w:rPr>
              <w:t>(in thousands)</w:t>
            </w:r>
          </w:p>
        </w:tc>
        <w:tc>
          <w:tcPr>
            <w:tcW w:w="1580" w:type="dxa"/>
            <w:vAlign w:val="bottom"/>
          </w:tcPr>
          <w:p>
            <w:pPr>
              <w:jc w:val="center"/>
              <w:ind w:right="63"/>
              <w:spacing w:after="0"/>
              <w:rPr>
                <w:sz w:val="20"/>
                <w:szCs w:val="20"/>
                <w:color w:val="auto"/>
              </w:rPr>
            </w:pPr>
            <w:r>
              <w:rPr>
                <w:rFonts w:ascii="Arial" w:cs="Arial" w:eastAsia="Arial" w:hAnsi="Arial"/>
                <w:sz w:val="15"/>
                <w:szCs w:val="15"/>
                <w:color w:val="auto"/>
              </w:rPr>
              <w:t>(in years)</w:t>
            </w:r>
          </w:p>
        </w:tc>
        <w:tc>
          <w:tcPr>
            <w:tcW w:w="320" w:type="dxa"/>
            <w:vAlign w:val="bottom"/>
          </w:tcPr>
          <w:p>
            <w:pPr>
              <w:spacing w:after="0"/>
              <w:rPr>
                <w:sz w:val="16"/>
                <w:szCs w:val="16"/>
                <w:color w:val="auto"/>
              </w:rPr>
            </w:pPr>
          </w:p>
        </w:tc>
        <w:tc>
          <w:tcPr>
            <w:tcW w:w="1100" w:type="dxa"/>
            <w:vAlign w:val="bottom"/>
          </w:tcPr>
          <w:p>
            <w:pPr>
              <w:jc w:val="center"/>
              <w:ind w:right="183"/>
              <w:spacing w:after="0"/>
              <w:rPr>
                <w:sz w:val="20"/>
                <w:szCs w:val="20"/>
                <w:color w:val="auto"/>
              </w:rPr>
            </w:pPr>
            <w:r>
              <w:rPr>
                <w:rFonts w:ascii="Arial" w:cs="Arial" w:eastAsia="Arial" w:hAnsi="Arial"/>
                <w:sz w:val="15"/>
                <w:szCs w:val="15"/>
                <w:color w:val="auto"/>
              </w:rPr>
              <w:t>(per share)</w:t>
            </w:r>
          </w:p>
        </w:tc>
      </w:tr>
      <w:tr>
        <w:trPr>
          <w:trHeight w:val="207"/>
        </w:trPr>
        <w:tc>
          <w:tcPr>
            <w:tcW w:w="544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 at the beginning of the year</w:t>
            </w: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2,806</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42.61</w:t>
            </w:r>
          </w:p>
        </w:tc>
      </w:tr>
      <w:tr>
        <w:trPr>
          <w:trHeight w:val="207"/>
        </w:trPr>
        <w:tc>
          <w:tcPr>
            <w:tcW w:w="5440" w:type="dxa"/>
            <w:vAlign w:val="bottom"/>
          </w:tcPr>
          <w:p>
            <w:pPr>
              <w:spacing w:after="0"/>
              <w:rPr>
                <w:sz w:val="20"/>
                <w:szCs w:val="20"/>
                <w:color w:val="auto"/>
              </w:rPr>
            </w:pPr>
            <w:r>
              <w:rPr>
                <w:rFonts w:ascii="Arial" w:cs="Arial" w:eastAsia="Arial" w:hAnsi="Arial"/>
                <w:sz w:val="15"/>
                <w:szCs w:val="15"/>
                <w:color w:val="auto"/>
              </w:rPr>
              <w:t>Granted</w:t>
            </w:r>
          </w:p>
        </w:tc>
        <w:tc>
          <w:tcPr>
            <w:tcW w:w="660" w:type="dxa"/>
            <w:vAlign w:val="bottom"/>
          </w:tcPr>
          <w:p>
            <w:pPr>
              <w:jc w:val="right"/>
              <w:ind w:right="103"/>
              <w:spacing w:after="0"/>
              <w:rPr>
                <w:sz w:val="20"/>
                <w:szCs w:val="20"/>
                <w:color w:val="auto"/>
              </w:rPr>
            </w:pPr>
            <w:r>
              <w:rPr>
                <w:rFonts w:ascii="Arial" w:cs="Arial" w:eastAsia="Arial" w:hAnsi="Arial"/>
                <w:sz w:val="15"/>
                <w:szCs w:val="15"/>
                <w:color w:val="auto"/>
              </w:rPr>
              <w:t>497</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72.75</w:t>
            </w:r>
          </w:p>
        </w:tc>
      </w:tr>
      <w:tr>
        <w:trPr>
          <w:trHeight w:val="207"/>
        </w:trPr>
        <w:tc>
          <w:tcPr>
            <w:tcW w:w="544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(334)</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28.14</w:t>
            </w:r>
          </w:p>
        </w:tc>
      </w:tr>
      <w:tr>
        <w:trPr>
          <w:trHeight w:val="207"/>
        </w:trPr>
        <w:tc>
          <w:tcPr>
            <w:tcW w:w="5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Expired or cancelled</w:t>
            </w: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(12)</w:t>
            </w:r>
          </w:p>
        </w:tc>
        <w:tc>
          <w:tcPr>
            <w:tcW w:w="1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59.55</w:t>
            </w:r>
          </w:p>
        </w:tc>
      </w:tr>
      <w:tr>
        <w:trPr>
          <w:trHeight w:val="179"/>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outstanding at July 29, 2017</w:t>
            </w:r>
          </w:p>
        </w:tc>
        <w:tc>
          <w:tcPr>
            <w:tcW w:w="6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2,957</w:t>
            </w:r>
          </w:p>
        </w:tc>
        <w:tc>
          <w:tcPr>
            <w:tcW w:w="15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49.24</w:t>
            </w:r>
          </w:p>
        </w:tc>
      </w:tr>
      <w:tr>
        <w:trPr>
          <w:trHeight w:val="195"/>
        </w:trPr>
        <w:tc>
          <w:tcPr>
            <w:tcW w:w="5440" w:type="dxa"/>
            <w:vAlign w:val="bottom"/>
          </w:tcPr>
          <w:p>
            <w:pPr>
              <w:spacing w:after="0"/>
              <w:rPr>
                <w:sz w:val="20"/>
                <w:szCs w:val="20"/>
                <w:color w:val="auto"/>
              </w:rPr>
            </w:pPr>
            <w:r>
              <w:rPr>
                <w:rFonts w:ascii="Arial" w:cs="Arial" w:eastAsia="Arial" w:hAnsi="Arial"/>
                <w:sz w:val="15"/>
                <w:szCs w:val="15"/>
                <w:color w:val="auto"/>
              </w:rPr>
              <w:t>Options exercisable at July 29, 2017</w:t>
            </w:r>
          </w:p>
        </w:tc>
        <w:tc>
          <w:tcPr>
            <w:tcW w:w="660" w:type="dxa"/>
            <w:vAlign w:val="bottom"/>
          </w:tcPr>
          <w:p>
            <w:pPr>
              <w:jc w:val="right"/>
              <w:ind w:right="103"/>
              <w:spacing w:after="0"/>
              <w:rPr>
                <w:sz w:val="20"/>
                <w:szCs w:val="20"/>
                <w:color w:val="auto"/>
              </w:rPr>
            </w:pPr>
            <w:r>
              <w:rPr>
                <w:rFonts w:ascii="Arial" w:cs="Arial" w:eastAsia="Arial" w:hAnsi="Arial"/>
                <w:sz w:val="15"/>
                <w:szCs w:val="15"/>
                <w:color w:val="auto"/>
              </w:rPr>
              <w:t>1,926</w:t>
            </w:r>
          </w:p>
        </w:tc>
        <w:tc>
          <w:tcPr>
            <w:tcW w:w="1580" w:type="dxa"/>
            <w:vAlign w:val="bottom"/>
          </w:tcPr>
          <w:p>
            <w:pPr>
              <w:jc w:val="right"/>
              <w:ind w:right="103"/>
              <w:spacing w:after="0"/>
              <w:rPr>
                <w:sz w:val="20"/>
                <w:szCs w:val="20"/>
                <w:color w:val="auto"/>
              </w:rPr>
            </w:pPr>
            <w:r>
              <w:rPr>
                <w:rFonts w:ascii="Arial" w:cs="Arial" w:eastAsia="Arial" w:hAnsi="Arial"/>
                <w:sz w:val="15"/>
                <w:szCs w:val="15"/>
                <w:color w:val="auto"/>
              </w:rPr>
              <w:t>5.1</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39.40</w:t>
            </w:r>
          </w:p>
        </w:tc>
      </w:tr>
      <w:tr>
        <w:trPr>
          <w:trHeight w:val="207"/>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available for future grant at July 29, 2017</w:t>
            </w:r>
          </w:p>
        </w:tc>
        <w:tc>
          <w:tcPr>
            <w:tcW w:w="6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10,997</w:t>
            </w:r>
          </w:p>
        </w:tc>
        <w:tc>
          <w:tcPr>
            <w:tcW w:w="15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bl>
    <w:p>
      <w:pPr>
        <w:spacing w:after="0" w:line="12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total fair value of options vested as of July 29, 2017 and July 30, 2016 was $7 million and $8 million, respectively. The cash received from option exercises for the thirteen and twenty-six weeks ended July 29, 2017 was $1 million and $10 million, respectively. The cash received from option exercises for the thirteen and twenty-six weeks ended July 30, 2016 was $7 million and $14 million, respectively.</w:t>
      </w:r>
    </w:p>
    <w:p>
      <w:pPr>
        <w:spacing w:after="0" w:line="302"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total intrinsic value of options exercised (the difference between the market price of the Company’s common stock on the exercise date and the price paid by the optionee to exercise the option) is presented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Thirteen weeks ended</w:t>
            </w: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5"/>
                <w:szCs w:val="15"/>
                <w:b w:val="1"/>
                <w:bCs w:val="1"/>
                <w:color w:val="auto"/>
              </w:rPr>
              <w:t>Twenty-six weeks ended</w:t>
            </w:r>
          </w:p>
        </w:tc>
      </w:tr>
      <w:tr>
        <w:trPr>
          <w:trHeight w:val="151"/>
        </w:trPr>
        <w:tc>
          <w:tcPr>
            <w:tcW w:w="25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40" w:type="dxa"/>
            <w:vAlign w:val="bottom"/>
          </w:tcPr>
          <w:p>
            <w:pPr>
              <w:jc w:val="center"/>
              <w:ind w:right="383"/>
              <w:spacing w:after="0" w:line="151" w:lineRule="exact"/>
              <w:rPr>
                <w:sz w:val="20"/>
                <w:szCs w:val="20"/>
                <w:color w:val="auto"/>
              </w:rPr>
            </w:pPr>
            <w:r>
              <w:rPr>
                <w:rFonts w:ascii="Arial" w:cs="Arial" w:eastAsia="Arial" w:hAnsi="Arial"/>
                <w:sz w:val="15"/>
                <w:szCs w:val="15"/>
                <w:b w:val="1"/>
                <w:bCs w:val="1"/>
                <w:color w:val="auto"/>
              </w:rPr>
              <w:t>July 29,</w:t>
            </w:r>
          </w:p>
        </w:tc>
        <w:tc>
          <w:tcPr>
            <w:tcW w:w="900" w:type="dxa"/>
            <w:vAlign w:val="bottom"/>
          </w:tcPr>
          <w:p>
            <w:pPr>
              <w:jc w:val="center"/>
              <w:ind w:right="123"/>
              <w:spacing w:after="0" w:line="151" w:lineRule="exact"/>
              <w:rPr>
                <w:sz w:val="20"/>
                <w:szCs w:val="20"/>
                <w:color w:val="auto"/>
              </w:rPr>
            </w:pPr>
            <w:r>
              <w:rPr>
                <w:rFonts w:ascii="Arial" w:cs="Arial" w:eastAsia="Arial" w:hAnsi="Arial"/>
                <w:sz w:val="15"/>
                <w:szCs w:val="15"/>
                <w:b w:val="1"/>
                <w:bCs w:val="1"/>
                <w:color w:val="auto"/>
              </w:rPr>
              <w:t>July 30,</w:t>
            </w:r>
          </w:p>
        </w:tc>
        <w:tc>
          <w:tcPr>
            <w:tcW w:w="280" w:type="dxa"/>
            <w:vAlign w:val="bottom"/>
          </w:tcPr>
          <w:p>
            <w:pPr>
              <w:spacing w:after="0"/>
              <w:rPr>
                <w:sz w:val="13"/>
                <w:szCs w:val="13"/>
                <w:color w:val="auto"/>
              </w:rPr>
            </w:pPr>
          </w:p>
        </w:tc>
        <w:tc>
          <w:tcPr>
            <w:tcW w:w="980" w:type="dxa"/>
            <w:vAlign w:val="bottom"/>
          </w:tcPr>
          <w:p>
            <w:pPr>
              <w:jc w:val="center"/>
              <w:ind w:right="143"/>
              <w:spacing w:after="0" w:line="151" w:lineRule="exact"/>
              <w:rPr>
                <w:sz w:val="20"/>
                <w:szCs w:val="20"/>
                <w:color w:val="auto"/>
              </w:rPr>
            </w:pPr>
            <w:r>
              <w:rPr>
                <w:rFonts w:ascii="Arial" w:cs="Arial" w:eastAsia="Arial" w:hAnsi="Arial"/>
                <w:sz w:val="15"/>
                <w:szCs w:val="15"/>
                <w:b w:val="1"/>
                <w:bCs w:val="1"/>
                <w:color w:val="auto"/>
              </w:rPr>
              <w:t>July 29,</w:t>
            </w:r>
          </w:p>
        </w:tc>
        <w:tc>
          <w:tcPr>
            <w:tcW w:w="300" w:type="dxa"/>
            <w:vAlign w:val="bottom"/>
          </w:tcPr>
          <w:p>
            <w:pPr>
              <w:spacing w:after="0"/>
              <w:rPr>
                <w:sz w:val="13"/>
                <w:szCs w:val="13"/>
                <w:color w:val="auto"/>
              </w:rPr>
            </w:pPr>
          </w:p>
        </w:tc>
        <w:tc>
          <w:tcPr>
            <w:tcW w:w="920" w:type="dxa"/>
            <w:vAlign w:val="bottom"/>
          </w:tcPr>
          <w:p>
            <w:pPr>
              <w:jc w:val="center"/>
              <w:ind w:right="103"/>
              <w:spacing w:after="0" w:line="151" w:lineRule="exact"/>
              <w:rPr>
                <w:sz w:val="20"/>
                <w:szCs w:val="20"/>
                <w:color w:val="auto"/>
              </w:rPr>
            </w:pPr>
            <w:r>
              <w:rPr>
                <w:rFonts w:ascii="Arial" w:cs="Arial" w:eastAsia="Arial" w:hAnsi="Arial"/>
                <w:sz w:val="15"/>
                <w:szCs w:val="15"/>
                <w:b w:val="1"/>
                <w:bCs w:val="1"/>
                <w:color w:val="auto"/>
              </w:rPr>
              <w:t>July 30,</w:t>
            </w:r>
          </w:p>
        </w:tc>
      </w:tr>
      <w:tr>
        <w:trPr>
          <w:trHeight w:val="194"/>
        </w:trPr>
        <w:tc>
          <w:tcPr>
            <w:tcW w:w="25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2016</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2016</w:t>
            </w:r>
          </w:p>
        </w:tc>
      </w:tr>
      <w:tr>
        <w:trPr>
          <w:trHeight w:val="199"/>
        </w:trPr>
        <w:tc>
          <w:tcPr>
            <w:tcW w:w="2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gridSpan w:val="3"/>
          </w:tcPr>
          <w:p>
            <w:pPr>
              <w:ind w:left="600"/>
              <w:spacing w:after="0"/>
              <w:rPr>
                <w:sz w:val="20"/>
                <w:szCs w:val="20"/>
                <w:color w:val="auto"/>
              </w:rPr>
            </w:pPr>
            <w:r>
              <w:rPr>
                <w:rFonts w:ascii="Arial" w:cs="Arial" w:eastAsia="Arial" w:hAnsi="Arial"/>
                <w:sz w:val="15"/>
                <w:szCs w:val="15"/>
                <w:color w:val="auto"/>
              </w:rPr>
              <w:t>($ in 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2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Exercised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12</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15</w:t>
            </w:r>
          </w:p>
        </w:tc>
        <w:tc>
          <w:tcPr>
            <w:tcW w:w="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w:t>
            </w: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total tax benefit realized from option exercises was not significant for the thirteen weeks ended July 29, 2017, and was $6 million for the twenty-six weeks ended July 29, 2017. The total tax benefit realized from option exercises was $5 million and $10 million for the corresponding prior-year periods.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5" w:name="page16"/>
    <w:bookmarkEnd w:id="15"/>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aggregate intrinsic value for stock options outstanding, outstanding and exercisable, and vested and expected to vest (the difference between the Company’s closing stock price on the last trading day of the period and the exercise price of the options, multiplied by the number of in-the-money stock options) is presented below:</w:t>
      </w:r>
    </w:p>
    <w:p>
      <w:pPr>
        <w:spacing w:after="0" w:line="74" w:lineRule="exact"/>
        <w:rPr>
          <w:sz w:val="20"/>
          <w:szCs w:val="20"/>
          <w:color w:val="auto"/>
        </w:rPr>
      </w:pPr>
    </w:p>
    <w:p>
      <w:pPr>
        <w:ind w:left="6740"/>
        <w:spacing w:after="0"/>
        <w:rPr>
          <w:sz w:val="20"/>
          <w:szCs w:val="20"/>
          <w:color w:val="auto"/>
        </w:rPr>
      </w:pPr>
      <w:r>
        <w:rPr>
          <w:rFonts w:ascii="Arial" w:cs="Arial" w:eastAsia="Arial" w:hAnsi="Arial"/>
          <w:sz w:val="15"/>
          <w:szCs w:val="15"/>
          <w:b w:val="1"/>
          <w:bCs w:val="1"/>
          <w:color w:val="auto"/>
        </w:rPr>
        <w:t>Twenty-six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40" w:type="dxa"/>
            <w:vAlign w:val="bottom"/>
            <w:tcBorders>
              <w:top w:val="single" w:sz="8" w:color="auto"/>
            </w:tcBorders>
          </w:tcPr>
          <w:p>
            <w:pPr>
              <w:spacing w:after="0"/>
              <w:rPr>
                <w:sz w:val="13"/>
                <w:szCs w:val="13"/>
                <w:color w:val="auto"/>
              </w:rPr>
            </w:pPr>
          </w:p>
        </w:tc>
        <w:tc>
          <w:tcPr>
            <w:tcW w:w="30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July 29,</w:t>
            </w:r>
          </w:p>
        </w:tc>
        <w:tc>
          <w:tcPr>
            <w:tcW w:w="5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03"/>
              <w:spacing w:after="0" w:line="151" w:lineRule="exact"/>
              <w:rPr>
                <w:sz w:val="20"/>
                <w:szCs w:val="20"/>
                <w:color w:val="auto"/>
              </w:rPr>
            </w:pPr>
            <w:r>
              <w:rPr>
                <w:rFonts w:ascii="Arial" w:cs="Arial" w:eastAsia="Arial" w:hAnsi="Arial"/>
                <w:sz w:val="15"/>
                <w:szCs w:val="15"/>
                <w:b w:val="1"/>
                <w:bCs w:val="1"/>
                <w:color w:val="auto"/>
              </w:rPr>
              <w:t>July 30,</w:t>
            </w:r>
          </w:p>
        </w:tc>
      </w:tr>
      <w:tr>
        <w:trPr>
          <w:trHeight w:val="194"/>
        </w:trPr>
        <w:tc>
          <w:tcPr>
            <w:tcW w:w="4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2017</w:t>
            </w:r>
          </w:p>
        </w:tc>
        <w:tc>
          <w:tcPr>
            <w:tcW w:w="5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41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980" w:type="dxa"/>
            <w:vAlign w:val="bottom"/>
          </w:tcPr>
          <w:p>
            <w:pPr>
              <w:spacing w:after="0"/>
              <w:rPr>
                <w:sz w:val="16"/>
                <w:szCs w:val="16"/>
                <w:color w:val="auto"/>
              </w:rPr>
            </w:pPr>
          </w:p>
        </w:tc>
      </w:tr>
      <w:tr>
        <w:trPr>
          <w:trHeight w:val="207"/>
        </w:trPr>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Outstanding</w:t>
            </w:r>
          </w:p>
        </w:tc>
        <w:tc>
          <w:tcPr>
            <w:tcW w:w="3020" w:type="dxa"/>
            <w:vAlign w:val="bottom"/>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5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23</w:t>
            </w: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r>
      <w:tr>
        <w:trPr>
          <w:trHeight w:val="207"/>
        </w:trPr>
        <w:tc>
          <w:tcPr>
            <w:tcW w:w="4140" w:type="dxa"/>
            <w:vAlign w:val="bottom"/>
          </w:tcPr>
          <w:p>
            <w:pPr>
              <w:spacing w:after="0"/>
              <w:rPr>
                <w:sz w:val="20"/>
                <w:szCs w:val="20"/>
                <w:color w:val="auto"/>
              </w:rPr>
            </w:pPr>
            <w:r>
              <w:rPr>
                <w:rFonts w:ascii="Arial" w:cs="Arial" w:eastAsia="Arial" w:hAnsi="Arial"/>
                <w:sz w:val="15"/>
                <w:szCs w:val="15"/>
                <w:color w:val="auto"/>
              </w:rPr>
              <w:t>Outstanding and exercisable</w:t>
            </w:r>
          </w:p>
        </w:tc>
        <w:tc>
          <w:tcPr>
            <w:tcW w:w="3020" w:type="dxa"/>
            <w:vAlign w:val="bottom"/>
          </w:tcPr>
          <w:p>
            <w:pPr>
              <w:jc w:val="right"/>
              <w:ind w:right="663"/>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jc w:val="right"/>
              <w:ind w:right="163"/>
              <w:spacing w:after="0"/>
              <w:rPr>
                <w:sz w:val="20"/>
                <w:szCs w:val="20"/>
                <w:color w:val="auto"/>
              </w:rPr>
            </w:pPr>
            <w:r>
              <w:rPr>
                <w:rFonts w:ascii="Arial" w:cs="Arial" w:eastAsia="Arial" w:hAnsi="Arial"/>
                <w:sz w:val="15"/>
                <w:szCs w:val="15"/>
                <w:b w:val="1"/>
                <w:bCs w:val="1"/>
                <w:color w:val="auto"/>
              </w:rPr>
              <w:t>23</w:t>
            </w:r>
          </w:p>
        </w:tc>
        <w:tc>
          <w:tcPr>
            <w:tcW w:w="4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07"/>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Vested and expected to vest</w:t>
            </w:r>
          </w:p>
        </w:tc>
        <w:tc>
          <w:tcPr>
            <w:tcW w:w="302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23</w:t>
            </w:r>
          </w:p>
        </w:tc>
        <w:tc>
          <w:tcPr>
            <w:tcW w:w="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r>
    </w:tbl>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 of July 29, 2017 there was $9 million of total unrecognized compensation cost related to nonvested stock options, which is expected to be recognized over a remaining weighted-average period of 1.6 years. The following table summarizes information about stock options outstanding and exercisable at July 29, 2017:</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rPr>
              <w:t>Options Exercisable</w:t>
            </w:r>
          </w:p>
        </w:tc>
      </w:tr>
      <w:tr>
        <w:trPr>
          <w:trHeight w:val="151"/>
        </w:trPr>
        <w:tc>
          <w:tcPr>
            <w:tcW w:w="19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6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rPr>
              <w:t>Weighted-</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Weighted-</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Weighted-</w:t>
            </w: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Remaining</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Average</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r>
      <w:tr>
        <w:trPr>
          <w:trHeight w:val="203"/>
        </w:trPr>
        <w:tc>
          <w:tcPr>
            <w:tcW w:w="1940" w:type="dxa"/>
            <w:vAlign w:val="bottom"/>
          </w:tcPr>
          <w:p>
            <w:pPr>
              <w:spacing w:after="0"/>
              <w:rPr>
                <w:sz w:val="20"/>
                <w:szCs w:val="20"/>
                <w:color w:val="auto"/>
              </w:rPr>
            </w:pPr>
            <w:r>
              <w:rPr>
                <w:rFonts w:ascii="Arial" w:cs="Arial" w:eastAsia="Arial" w:hAnsi="Arial"/>
                <w:sz w:val="15"/>
                <w:szCs w:val="15"/>
                <w:b w:val="1"/>
                <w:bCs w:val="1"/>
                <w:color w:val="auto"/>
              </w:rPr>
              <w:t>Range of Exercise</w:t>
            </w:r>
          </w:p>
        </w:tc>
        <w:tc>
          <w:tcPr>
            <w:tcW w:w="1640" w:type="dxa"/>
            <w:vAlign w:val="bottom"/>
          </w:tcPr>
          <w:p>
            <w:pPr>
              <w:jc w:val="right"/>
              <w:ind w:right="223"/>
              <w:spacing w:after="0"/>
              <w:rPr>
                <w:sz w:val="20"/>
                <w:szCs w:val="20"/>
                <w:color w:val="auto"/>
              </w:rPr>
            </w:pPr>
            <w:r>
              <w:rPr>
                <w:rFonts w:ascii="Arial" w:cs="Arial" w:eastAsia="Arial" w:hAnsi="Arial"/>
                <w:sz w:val="15"/>
                <w:szCs w:val="15"/>
                <w:b w:val="1"/>
                <w:bCs w:val="1"/>
                <w:color w:val="auto"/>
              </w:rPr>
              <w:t>Number</w:t>
            </w: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Contractual</w:t>
            </w:r>
          </w:p>
        </w:tc>
        <w:tc>
          <w:tcPr>
            <w:tcW w:w="240" w:type="dxa"/>
            <w:vAlign w:val="bottom"/>
          </w:tcPr>
          <w:p>
            <w:pPr>
              <w:spacing w:after="0"/>
              <w:rPr>
                <w:sz w:val="17"/>
                <w:szCs w:val="17"/>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Exercise</w:t>
            </w:r>
          </w:p>
        </w:tc>
        <w:tc>
          <w:tcPr>
            <w:tcW w:w="1360" w:type="dxa"/>
            <w:vAlign w:val="bottom"/>
          </w:tcPr>
          <w:p>
            <w:pPr>
              <w:jc w:val="right"/>
              <w:ind w:right="383"/>
              <w:spacing w:after="0"/>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Exercise</w:t>
            </w:r>
          </w:p>
        </w:tc>
      </w:tr>
      <w:tr>
        <w:trPr>
          <w:trHeight w:val="197"/>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Prices</w:t>
            </w:r>
          </w:p>
        </w:tc>
        <w:tc>
          <w:tcPr>
            <w:tcW w:w="1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Outstanding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rPr>
              <w:t>Price</w:t>
            </w:r>
          </w:p>
        </w:tc>
        <w:tc>
          <w:tcPr>
            <w:tcW w:w="13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Exercisable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Price</w:t>
            </w:r>
          </w:p>
        </w:tc>
      </w:tr>
      <w:tr>
        <w:trPr>
          <w:trHeight w:val="187"/>
        </w:trPr>
        <w:tc>
          <w:tcPr>
            <w:tcW w:w="1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320" w:type="dxa"/>
            <w:vAlign w:val="bottom"/>
            <w:gridSpan w:val="4"/>
          </w:tcPr>
          <w:p>
            <w:pPr>
              <w:jc w:val="right"/>
              <w:ind w:right="83"/>
              <w:spacing w:after="0"/>
              <w:rPr>
                <w:sz w:val="20"/>
                <w:szCs w:val="20"/>
                <w:color w:val="auto"/>
              </w:rPr>
            </w:pPr>
            <w:r>
              <w:rPr>
                <w:rFonts w:ascii="Arial" w:cs="Arial" w:eastAsia="Arial" w:hAnsi="Arial"/>
                <w:sz w:val="15"/>
                <w:szCs w:val="15"/>
                <w:color w:val="auto"/>
              </w:rPr>
              <w:t>(in thousands, except prices per share and contractual life)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$9.85 to $24.75</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546</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2.2</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14.33</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546</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14.33</w:t>
            </w:r>
          </w:p>
        </w:tc>
      </w:tr>
      <w:tr>
        <w:trPr>
          <w:trHeight w:val="207"/>
        </w:trPr>
        <w:tc>
          <w:tcPr>
            <w:tcW w:w="1940" w:type="dxa"/>
            <w:vAlign w:val="bottom"/>
          </w:tcPr>
          <w:p>
            <w:pPr>
              <w:spacing w:after="0"/>
              <w:rPr>
                <w:sz w:val="20"/>
                <w:szCs w:val="20"/>
                <w:color w:val="auto"/>
              </w:rPr>
            </w:pPr>
            <w:r>
              <w:rPr>
                <w:rFonts w:ascii="Arial" w:cs="Arial" w:eastAsia="Arial" w:hAnsi="Arial"/>
                <w:sz w:val="15"/>
                <w:szCs w:val="15"/>
                <w:color w:val="auto"/>
              </w:rPr>
              <w:t>$30.92 to $45.75</w:t>
            </w:r>
          </w:p>
        </w:tc>
        <w:tc>
          <w:tcPr>
            <w:tcW w:w="1640" w:type="dxa"/>
            <w:vAlign w:val="bottom"/>
          </w:tcPr>
          <w:p>
            <w:pPr>
              <w:jc w:val="right"/>
              <w:spacing w:after="0"/>
              <w:rPr>
                <w:sz w:val="20"/>
                <w:szCs w:val="20"/>
                <w:color w:val="auto"/>
              </w:rPr>
            </w:pPr>
            <w:r>
              <w:rPr>
                <w:rFonts w:ascii="Arial" w:cs="Arial" w:eastAsia="Arial" w:hAnsi="Arial"/>
                <w:sz w:val="15"/>
                <w:szCs w:val="15"/>
                <w:color w:val="auto"/>
              </w:rPr>
              <w:t>748</w:t>
            </w:r>
          </w:p>
        </w:tc>
        <w:tc>
          <w:tcPr>
            <w:tcW w:w="1660" w:type="dxa"/>
            <w:vAlign w:val="bottom"/>
          </w:tcPr>
          <w:p>
            <w:pPr>
              <w:jc w:val="right"/>
              <w:ind w:right="283"/>
              <w:spacing w:after="0"/>
              <w:rPr>
                <w:sz w:val="20"/>
                <w:szCs w:val="20"/>
                <w:color w:val="auto"/>
              </w:rPr>
            </w:pPr>
            <w:r>
              <w:rPr>
                <w:rFonts w:ascii="Arial" w:cs="Arial" w:eastAsia="Arial" w:hAnsi="Arial"/>
                <w:sz w:val="15"/>
                <w:szCs w:val="15"/>
                <w:color w:val="auto"/>
              </w:rPr>
              <w:t>5.6</w:t>
            </w:r>
          </w:p>
        </w:tc>
        <w:tc>
          <w:tcPr>
            <w:tcW w:w="24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Arial" w:cs="Arial" w:eastAsia="Arial" w:hAnsi="Arial"/>
                <w:sz w:val="15"/>
                <w:szCs w:val="15"/>
                <w:color w:val="auto"/>
              </w:rPr>
              <w:t>38.52</w:t>
            </w: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746</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38.50</w:t>
            </w: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$55.02 to $62.11</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7.1</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61.25</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476</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61.36</w:t>
            </w:r>
          </w:p>
        </w:tc>
      </w:tr>
      <w:tr>
        <w:trPr>
          <w:trHeight w:val="207"/>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$63.79 to $73.21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966</w:t>
            </w:r>
          </w:p>
        </w:tc>
        <w:tc>
          <w:tcPr>
            <w:tcW w:w="16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9.1</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68.59</w:t>
            </w:r>
          </w:p>
        </w:tc>
        <w:tc>
          <w:tcPr>
            <w:tcW w:w="1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158</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64.02</w:t>
            </w:r>
          </w:p>
        </w:tc>
      </w:tr>
      <w:tr>
        <w:trPr>
          <w:trHeight w:val="179"/>
        </w:trPr>
        <w:tc>
          <w:tcPr>
            <w:tcW w:w="19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2,957</w:t>
            </w:r>
          </w:p>
        </w:tc>
        <w:tc>
          <w:tcPr>
            <w:tcW w:w="16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49.24</w:t>
            </w:r>
          </w:p>
        </w:tc>
        <w:tc>
          <w:tcPr>
            <w:tcW w:w="1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1,926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39.40</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 and Restricted Stock Units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Restricted shares of the Company’s common stock and restricted stock units (“RSU”) may be awarded to certain officers and key employees of the Company. Additionally, RSU awards are made to employees in connection with the Company’s long-term incentive program, and to nonemployee directors. Each RSU represents the right to receive one share of the Company’s common stock provided that the performance and vesting conditions are satisfied. There were 668,120 and 671,690 RSU awards outstanding as of July 29, 2017 and July 30, 2016, respectively.</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Generally, awards fully vest after the passage of time, typically three years. However, RSU awards made in connection with the Company’s performance-based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 Compensation expense is recognized using the market value at the date of grant and is amortized over the vesting period, provided the recipient continues to be employed by the Company.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6" w:name="page17"/>
    <w:bookmarkEnd w:id="16"/>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gridSpan w:val="4"/>
          </w:tcPr>
          <w:p>
            <w:pPr>
              <w:spacing w:after="0"/>
              <w:rPr>
                <w:sz w:val="20"/>
                <w:szCs w:val="20"/>
                <w:color w:val="auto"/>
              </w:rPr>
            </w:pPr>
            <w:r>
              <w:rPr>
                <w:rFonts w:ascii="Arial" w:cs="Arial" w:eastAsia="Arial" w:hAnsi="Arial"/>
                <w:sz w:val="15"/>
                <w:szCs w:val="15"/>
                <w:color w:val="auto"/>
              </w:rPr>
              <w:t>Restricted stock and RSU activity for the twenty-six weeks ended July 29, 2017 is summarized as follows: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44"/>
        </w:trPr>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Weighted-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34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c>
          <w:tcPr>
            <w:tcW w:w="360" w:type="dxa"/>
            <w:vAlign w:val="bottom"/>
          </w:tcPr>
          <w:p>
            <w:pPr>
              <w:spacing w:after="0"/>
              <w:rPr>
                <w:sz w:val="15"/>
                <w:szCs w:val="15"/>
                <w:color w:val="auto"/>
              </w:rPr>
            </w:pPr>
          </w:p>
        </w:tc>
        <w:tc>
          <w:tcPr>
            <w:tcW w:w="1220" w:type="dxa"/>
            <w:vAlign w:val="bottom"/>
          </w:tcPr>
          <w:p>
            <w:pPr>
              <w:jc w:val="center"/>
              <w:ind w:right="243"/>
              <w:spacing w:after="0"/>
              <w:rPr>
                <w:sz w:val="20"/>
                <w:szCs w:val="20"/>
                <w:color w:val="auto"/>
              </w:rPr>
            </w:pPr>
            <w:r>
              <w:rPr>
                <w:rFonts w:ascii="Arial" w:cs="Arial" w:eastAsia="Arial" w:hAnsi="Arial"/>
                <w:sz w:val="15"/>
                <w:szCs w:val="15"/>
                <w:b w:val="1"/>
                <w:bCs w:val="1"/>
                <w:color w:val="auto"/>
              </w:rPr>
              <w:t>Weighted-</w:t>
            </w:r>
          </w:p>
        </w:tc>
      </w:tr>
      <w:tr>
        <w:trPr>
          <w:trHeight w:val="170"/>
        </w:trPr>
        <w:tc>
          <w:tcPr>
            <w:tcW w:w="3440" w:type="dxa"/>
            <w:vAlign w:val="bottom"/>
          </w:tcPr>
          <w:p>
            <w:pPr>
              <w:spacing w:after="0"/>
              <w:rPr>
                <w:sz w:val="14"/>
                <w:szCs w:val="14"/>
                <w:color w:val="auto"/>
              </w:rPr>
            </w:pPr>
          </w:p>
        </w:tc>
        <w:tc>
          <w:tcPr>
            <w:tcW w:w="2820" w:type="dxa"/>
            <w:vAlign w:val="bottom"/>
            <w:gridSpan w:val="2"/>
          </w:tcPr>
          <w:p>
            <w:pPr>
              <w:jc w:val="center"/>
              <w:ind w:left="1123"/>
              <w:spacing w:after="0" w:line="170" w:lineRule="exact"/>
              <w:rPr>
                <w:sz w:val="20"/>
                <w:szCs w:val="20"/>
                <w:color w:val="auto"/>
              </w:rPr>
            </w:pPr>
            <w:r>
              <w:rPr>
                <w:rFonts w:ascii="Arial" w:cs="Arial" w:eastAsia="Arial" w:hAnsi="Arial"/>
                <w:sz w:val="15"/>
                <w:szCs w:val="15"/>
                <w:b w:val="1"/>
                <w:bCs w:val="1"/>
                <w:color w:val="auto"/>
              </w:rPr>
              <w:t>Number</w:t>
            </w:r>
          </w:p>
        </w:tc>
        <w:tc>
          <w:tcPr>
            <w:tcW w:w="1260" w:type="dxa"/>
            <w:vAlign w:val="bottom"/>
          </w:tcPr>
          <w:p>
            <w:pPr>
              <w:jc w:val="center"/>
              <w:spacing w:after="0" w:line="170" w:lineRule="exact"/>
              <w:rPr>
                <w:sz w:val="20"/>
                <w:szCs w:val="20"/>
                <w:color w:val="auto"/>
              </w:rPr>
            </w:pPr>
            <w:r>
              <w:rPr>
                <w:rFonts w:ascii="Arial" w:cs="Arial" w:eastAsia="Arial" w:hAnsi="Arial"/>
                <w:sz w:val="15"/>
                <w:szCs w:val="15"/>
                <w:b w:val="1"/>
                <w:bCs w:val="1"/>
                <w:color w:val="auto"/>
              </w:rPr>
              <w:t>Remaining</w:t>
            </w:r>
          </w:p>
        </w:tc>
        <w:tc>
          <w:tcPr>
            <w:tcW w:w="360" w:type="dxa"/>
            <w:vAlign w:val="bottom"/>
          </w:tcPr>
          <w:p>
            <w:pPr>
              <w:spacing w:after="0"/>
              <w:rPr>
                <w:sz w:val="14"/>
                <w:szCs w:val="14"/>
                <w:color w:val="auto"/>
              </w:rPr>
            </w:pPr>
          </w:p>
        </w:tc>
        <w:tc>
          <w:tcPr>
            <w:tcW w:w="1220" w:type="dxa"/>
            <w:vAlign w:val="bottom"/>
          </w:tcPr>
          <w:p>
            <w:pPr>
              <w:jc w:val="center"/>
              <w:ind w:right="223"/>
              <w:spacing w:after="0" w:line="170" w:lineRule="exact"/>
              <w:rPr>
                <w:sz w:val="20"/>
                <w:szCs w:val="20"/>
                <w:color w:val="auto"/>
              </w:rPr>
            </w:pPr>
            <w:r>
              <w:rPr>
                <w:rFonts w:ascii="Arial" w:cs="Arial" w:eastAsia="Arial" w:hAnsi="Arial"/>
                <w:sz w:val="15"/>
                <w:szCs w:val="15"/>
                <w:b w:val="1"/>
                <w:bCs w:val="1"/>
                <w:color w:val="auto"/>
              </w:rPr>
              <w:t>Average</w:t>
            </w:r>
          </w:p>
        </w:tc>
      </w:tr>
      <w:tr>
        <w:trPr>
          <w:trHeight w:val="170"/>
        </w:trPr>
        <w:tc>
          <w:tcPr>
            <w:tcW w:w="3440" w:type="dxa"/>
            <w:vAlign w:val="bottom"/>
          </w:tcPr>
          <w:p>
            <w:pPr>
              <w:spacing w:after="0"/>
              <w:rPr>
                <w:sz w:val="14"/>
                <w:szCs w:val="14"/>
                <w:color w:val="auto"/>
              </w:rPr>
            </w:pPr>
          </w:p>
        </w:tc>
        <w:tc>
          <w:tcPr>
            <w:tcW w:w="2280" w:type="dxa"/>
            <w:vAlign w:val="bottom"/>
          </w:tcPr>
          <w:p>
            <w:pPr>
              <w:jc w:val="center"/>
              <w:ind w:left="1663"/>
              <w:spacing w:after="0" w:line="170" w:lineRule="exact"/>
              <w:rPr>
                <w:sz w:val="20"/>
                <w:szCs w:val="20"/>
                <w:color w:val="auto"/>
              </w:rPr>
            </w:pPr>
            <w:r>
              <w:rPr>
                <w:rFonts w:ascii="Arial" w:cs="Arial" w:eastAsia="Arial" w:hAnsi="Arial"/>
                <w:sz w:val="15"/>
                <w:szCs w:val="15"/>
                <w:b w:val="1"/>
                <w:bCs w:val="1"/>
                <w:color w:val="auto"/>
                <w:w w:val="98"/>
              </w:rPr>
              <w:t>of</w:t>
            </w:r>
          </w:p>
        </w:tc>
        <w:tc>
          <w:tcPr>
            <w:tcW w:w="540" w:type="dxa"/>
            <w:vAlign w:val="bottom"/>
          </w:tcPr>
          <w:p>
            <w:pPr>
              <w:spacing w:after="0"/>
              <w:rPr>
                <w:sz w:val="14"/>
                <w:szCs w:val="14"/>
                <w:color w:val="auto"/>
              </w:rPr>
            </w:pPr>
          </w:p>
        </w:tc>
        <w:tc>
          <w:tcPr>
            <w:tcW w:w="1260" w:type="dxa"/>
            <w:vAlign w:val="bottom"/>
          </w:tcPr>
          <w:p>
            <w:pPr>
              <w:jc w:val="center"/>
              <w:spacing w:after="0" w:line="170" w:lineRule="exact"/>
              <w:rPr>
                <w:sz w:val="20"/>
                <w:szCs w:val="20"/>
                <w:color w:val="auto"/>
              </w:rPr>
            </w:pPr>
            <w:r>
              <w:rPr>
                <w:rFonts w:ascii="Arial" w:cs="Arial" w:eastAsia="Arial" w:hAnsi="Arial"/>
                <w:sz w:val="15"/>
                <w:szCs w:val="15"/>
                <w:b w:val="1"/>
                <w:bCs w:val="1"/>
                <w:color w:val="auto"/>
              </w:rPr>
              <w:t>Contractual</w:t>
            </w:r>
          </w:p>
        </w:tc>
        <w:tc>
          <w:tcPr>
            <w:tcW w:w="360" w:type="dxa"/>
            <w:vAlign w:val="bottom"/>
          </w:tcPr>
          <w:p>
            <w:pPr>
              <w:spacing w:after="0"/>
              <w:rPr>
                <w:sz w:val="14"/>
                <w:szCs w:val="14"/>
                <w:color w:val="auto"/>
              </w:rPr>
            </w:pPr>
          </w:p>
        </w:tc>
        <w:tc>
          <w:tcPr>
            <w:tcW w:w="1220" w:type="dxa"/>
            <w:vAlign w:val="bottom"/>
          </w:tcPr>
          <w:p>
            <w:pPr>
              <w:jc w:val="center"/>
              <w:ind w:right="223"/>
              <w:spacing w:after="0" w:line="170" w:lineRule="exact"/>
              <w:rPr>
                <w:sz w:val="20"/>
                <w:szCs w:val="20"/>
                <w:color w:val="auto"/>
              </w:rPr>
            </w:pPr>
            <w:r>
              <w:rPr>
                <w:rFonts w:ascii="Arial" w:cs="Arial" w:eastAsia="Arial" w:hAnsi="Arial"/>
                <w:sz w:val="15"/>
                <w:szCs w:val="15"/>
                <w:b w:val="1"/>
                <w:bCs w:val="1"/>
                <w:color w:val="auto"/>
              </w:rPr>
              <w:t>Grant Date</w:t>
            </w:r>
          </w:p>
        </w:tc>
      </w:tr>
      <w:tr>
        <w:trPr>
          <w:trHeight w:val="194"/>
        </w:trPr>
        <w:tc>
          <w:tcPr>
            <w:tcW w:w="3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left="1683"/>
              <w:spacing w:after="0"/>
              <w:rPr>
                <w:sz w:val="20"/>
                <w:szCs w:val="20"/>
                <w:color w:val="auto"/>
              </w:rPr>
            </w:pPr>
            <w:r>
              <w:rPr>
                <w:rFonts w:ascii="Arial" w:cs="Arial" w:eastAsia="Arial" w:hAnsi="Arial"/>
                <w:sz w:val="15"/>
                <w:szCs w:val="15"/>
                <w:b w:val="1"/>
                <w:bCs w:val="1"/>
                <w:color w:val="auto"/>
              </w:rPr>
              <w:t>Shares</w:t>
            </w: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3"/>
              <w:spacing w:after="0"/>
              <w:rPr>
                <w:sz w:val="20"/>
                <w:szCs w:val="20"/>
                <w:color w:val="auto"/>
              </w:rPr>
            </w:pPr>
            <w:r>
              <w:rPr>
                <w:rFonts w:ascii="Arial" w:cs="Arial" w:eastAsia="Arial" w:hAnsi="Arial"/>
                <w:sz w:val="15"/>
                <w:szCs w:val="15"/>
                <w:b w:val="1"/>
                <w:bCs w:val="1"/>
                <w:color w:val="auto"/>
              </w:rPr>
              <w:t>Fair Value</w:t>
            </w:r>
          </w:p>
        </w:tc>
      </w:tr>
      <w:tr>
        <w:trPr>
          <w:trHeight w:val="187"/>
        </w:trPr>
        <w:tc>
          <w:tcPr>
            <w:tcW w:w="3440" w:type="dxa"/>
            <w:vAlign w:val="bottom"/>
          </w:tcPr>
          <w:p>
            <w:pPr>
              <w:spacing w:after="0"/>
              <w:rPr>
                <w:sz w:val="16"/>
                <w:szCs w:val="16"/>
                <w:color w:val="auto"/>
              </w:rPr>
            </w:pPr>
          </w:p>
        </w:tc>
        <w:tc>
          <w:tcPr>
            <w:tcW w:w="2820" w:type="dxa"/>
            <w:vAlign w:val="bottom"/>
            <w:gridSpan w:val="2"/>
          </w:tcPr>
          <w:p>
            <w:pPr>
              <w:jc w:val="center"/>
              <w:ind w:left="1123"/>
              <w:spacing w:after="0"/>
              <w:rPr>
                <w:sz w:val="20"/>
                <w:szCs w:val="20"/>
                <w:color w:val="auto"/>
              </w:rPr>
            </w:pPr>
            <w:r>
              <w:rPr>
                <w:rFonts w:ascii="Arial" w:cs="Arial" w:eastAsia="Arial" w:hAnsi="Arial"/>
                <w:sz w:val="15"/>
                <w:szCs w:val="15"/>
                <w:color w:val="auto"/>
              </w:rPr>
              <w:t>(in thousands)</w:t>
            </w:r>
          </w:p>
        </w:tc>
        <w:tc>
          <w:tcPr>
            <w:tcW w:w="1260" w:type="dxa"/>
            <w:vAlign w:val="bottom"/>
          </w:tcPr>
          <w:p>
            <w:pPr>
              <w:jc w:val="center"/>
              <w:spacing w:after="0"/>
              <w:rPr>
                <w:sz w:val="20"/>
                <w:szCs w:val="20"/>
                <w:color w:val="auto"/>
              </w:rPr>
            </w:pPr>
            <w:r>
              <w:rPr>
                <w:rFonts w:ascii="Arial" w:cs="Arial" w:eastAsia="Arial" w:hAnsi="Arial"/>
                <w:sz w:val="15"/>
                <w:szCs w:val="15"/>
                <w:color w:val="auto"/>
              </w:rPr>
              <w:t>(in years)</w:t>
            </w:r>
          </w:p>
        </w:tc>
        <w:tc>
          <w:tcPr>
            <w:tcW w:w="360" w:type="dxa"/>
            <w:vAlign w:val="bottom"/>
          </w:tcPr>
          <w:p>
            <w:pPr>
              <w:spacing w:after="0"/>
              <w:rPr>
                <w:sz w:val="16"/>
                <w:szCs w:val="16"/>
                <w:color w:val="auto"/>
              </w:rPr>
            </w:pPr>
          </w:p>
        </w:tc>
        <w:tc>
          <w:tcPr>
            <w:tcW w:w="1220" w:type="dxa"/>
            <w:vAlign w:val="bottom"/>
          </w:tcPr>
          <w:p>
            <w:pPr>
              <w:jc w:val="right"/>
              <w:ind w:right="203"/>
              <w:spacing w:after="0"/>
              <w:rPr>
                <w:sz w:val="20"/>
                <w:szCs w:val="20"/>
                <w:color w:val="auto"/>
              </w:rPr>
            </w:pPr>
            <w:r>
              <w:rPr>
                <w:rFonts w:ascii="Arial" w:cs="Arial" w:eastAsia="Arial" w:hAnsi="Arial"/>
                <w:sz w:val="15"/>
                <w:szCs w:val="15"/>
                <w:color w:val="auto"/>
              </w:rPr>
              <w:t>(per share)</w:t>
            </w: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Nonvested at beginning of year</w:t>
            </w:r>
          </w:p>
        </w:tc>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798</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56.91</w:t>
            </w: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Granted</w:t>
            </w:r>
          </w:p>
        </w:tc>
        <w:tc>
          <w:tcPr>
            <w:tcW w:w="2280" w:type="dxa"/>
            <w:vAlign w:val="bottom"/>
          </w:tcPr>
          <w:p>
            <w:pPr>
              <w:spacing w:after="0"/>
              <w:rPr>
                <w:sz w:val="17"/>
                <w:szCs w:val="17"/>
                <w:color w:val="auto"/>
              </w:rPr>
            </w:pPr>
          </w:p>
        </w:tc>
        <w:tc>
          <w:tcPr>
            <w:tcW w:w="540" w:type="dxa"/>
            <w:vAlign w:val="bottom"/>
          </w:tcPr>
          <w:p>
            <w:pPr>
              <w:jc w:val="right"/>
              <w:ind w:right="123"/>
              <w:spacing w:after="0"/>
              <w:rPr>
                <w:sz w:val="20"/>
                <w:szCs w:val="20"/>
                <w:color w:val="auto"/>
              </w:rPr>
            </w:pPr>
            <w:r>
              <w:rPr>
                <w:rFonts w:ascii="Arial" w:cs="Arial" w:eastAsia="Arial" w:hAnsi="Arial"/>
                <w:sz w:val="15"/>
                <w:szCs w:val="15"/>
                <w:color w:val="auto"/>
              </w:rPr>
              <w:t>248</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72.71</w:t>
            </w: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(279)</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48.96</w:t>
            </w:r>
          </w:p>
        </w:tc>
      </w:t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Expired or cancelled</w:t>
            </w:r>
          </w:p>
        </w:tc>
        <w:tc>
          <w:tcPr>
            <w:tcW w:w="2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(60)</w:t>
            </w:r>
          </w:p>
        </w:tc>
        <w:tc>
          <w:tcPr>
            <w:tcW w:w="1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43.62</w:t>
            </w:r>
          </w:p>
        </w:tc>
      </w:tr>
      <w:tr>
        <w:trPr>
          <w:trHeight w:val="179"/>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Nonvested at July 29, 2017</w:t>
            </w:r>
          </w:p>
        </w:tc>
        <w:tc>
          <w:tcPr>
            <w:tcW w:w="2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707</w:t>
            </w: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1.7</w:t>
            </w: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66.63</w:t>
            </w:r>
          </w:p>
        </w:tc>
      </w:tr>
      <w:tr>
        <w:trPr>
          <w:trHeight w:val="219"/>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Aggregate value ($ in millions)</w:t>
            </w:r>
          </w:p>
        </w:tc>
        <w:tc>
          <w:tcPr>
            <w:tcW w:w="228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47</w:t>
            </w:r>
          </w:p>
        </w:tc>
        <w:tc>
          <w:tcPr>
            <w:tcW w:w="1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bl>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total value of awards for which restrictions lapsed during the twenty-six weeks ended July 29, 2017 and July 30, 2016 was $14 million and $8 million, respectively. As of July 29, 2017, there was $12 million of total unrecognized compensation cost related to nonvested restricted awards.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Legal Proceedings</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The Company and the Company’s U.S. retirement plan are defendants in a class action (</w:t>
      </w:r>
      <w:r>
        <w:rPr>
          <w:rFonts w:ascii="Arial" w:cs="Arial" w:eastAsia="Arial" w:hAnsi="Arial"/>
          <w:sz w:val="15"/>
          <w:szCs w:val="15"/>
          <w:i w:val="1"/>
          <w:iCs w:val="1"/>
          <w:color w:val="auto"/>
        </w:rPr>
        <w:t>Osberg v. Foot Locker Inc.</w:t>
      </w:r>
      <w:r>
        <w:rPr>
          <w:rFonts w:ascii="Arial" w:cs="Arial" w:eastAsia="Arial" w:hAnsi="Arial"/>
          <w:sz w:val="15"/>
          <w:szCs w:val="15"/>
          <w:color w:val="auto"/>
        </w:rPr>
        <w:t xml:space="preserve"> et ano.,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claims were for breach of fiduciary duty under the Employee Retirement Income Security Act of 1974, as amended, and violation of the statutory provisions governing the content of the Summary Plan Description. During the third quarter of 2015, the trial court ruled that the retirement plan be reformed. As result of this development, the Company recorded a charge of $100 million pre-tax ($61 million after-tax).</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Company appealed the trial court’s decision, and the judgment was stayed pending the outcome of the appeal process. During the second quarter of 2017, the Second Circuit Court of Appeals affirmed the trial court’s decision. In light of this development, the Company reassessed its estimate of the liability. The Company’s updated reasonable estimate of this liability is a range between $150 million and $260 million. The high end of the range reflects the estimated cost to reform the retirement plan in accordance with the court ruling; however, it excludes any legal fees that may be awarded to plaintiff’s counsel. No amount within that range is more probable than any other amount and therefore, in accordance with U.S. GAAP, the Company recorded a charge of $50 million pre-tax ($30 million after-tax) during the second quarter of 2017, bringing the cumulative amount accrued for this matter to $150 million. The accrual has been classified as a long-term liability. The Company will continue to vigorously defend itself in this case. In light of the uncertainties involved in this matter, there is no assurance that the ultimate resolution will not differ from the amount currently accrued by the Company.</w:t>
      </w:r>
    </w:p>
    <w:p>
      <w:pPr>
        <w:spacing w:after="0" w:line="32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and judgments could be rendered or settlements entered into that could adversely affect the Company’s operating results or cash flows in a particular period.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7" w:name="page18"/>
    <w:bookmarkEnd w:id="17"/>
    <w:p>
      <w:pPr>
        <w:ind w:right="2020"/>
        <w:spacing w:after="0" w:line="486" w:lineRule="auto"/>
        <w:rPr>
          <w:sz w:val="20"/>
          <w:szCs w:val="20"/>
          <w:color w:val="auto"/>
        </w:rPr>
      </w:pPr>
      <w:r>
        <w:rPr>
          <w:rFonts w:ascii="Arial" w:cs="Arial" w:eastAsia="Arial" w:hAnsi="Arial"/>
          <w:sz w:val="15"/>
          <w:szCs w:val="15"/>
          <w:b w:val="1"/>
          <w:bCs w:val="1"/>
          <w:i w:val="1"/>
          <w:iCs w:val="1"/>
          <w:color w:val="auto"/>
        </w:rPr>
        <w:t xml:space="preserve">Item 2. Management’s Discussion and Analysis of Financial Condition and Results of Operations </w:t>
      </w:r>
      <w:r>
        <w:rPr>
          <w:rFonts w:ascii="Arial" w:cs="Arial" w:eastAsia="Arial" w:hAnsi="Arial"/>
          <w:sz w:val="15"/>
          <w:szCs w:val="15"/>
          <w:b w:val="1"/>
          <w:bCs w:val="1"/>
          <w:color w:val="auto"/>
        </w:rPr>
        <w:t>Disclosure Regarding Forward-Looking Statements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U.S. Securities and Exchange Commission.</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These forward-looking statements are based largely on our expectations and judgments and are subject to a number of risks and uncertainties, many of which are unforeseeable and beyond our control. For additional discussion on risks and uncertainties that may affect forward-looking statements, see “Risk Factors” disclosed in the 2016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Kids Foot Locker, Lady Foot Locker, Champs Sports, Footaction, Runners Point, Sidestep, and SIX:02. The Direct-to-Customers segment includes Footlocker.com, Inc. and other affiliates, including Eastbay, Inc., and our international ecommerce businesses, which sell to customers through their Internet and mobile sites and catalogs.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The Foot Locker brand is one of the most widely recognized names in the markets in which we operate, epitomizing premium quality for the active lifestyle customer. This brand equity has aided our ability to successfully develop and increase our portfolio of complementary retail store formats, such as Lady Foot Locker and Kids Foot Locker, as well as Footlocker.com, our direct-to-customer business. Through various marketing channels and experiences, including social, digital, broadcast, and print media, as well as various sports sponsorships and events, we reinforce our image with a consistent message </w:t>
      </w:r>
      <w:r>
        <w:rPr>
          <w:rFonts w:ascii="Arial" w:cs="Arial" w:eastAsia="Arial" w:hAnsi="Arial"/>
          <w:sz w:val="15"/>
          <w:szCs w:val="15"/>
          <w:i w:val="1"/>
          <w:iCs w:val="1"/>
          <w:color w:val="auto"/>
        </w:rPr>
        <w:t>—</w:t>
      </w:r>
      <w:r>
        <w:rPr>
          <w:rFonts w:ascii="Arial" w:cs="Arial" w:eastAsia="Arial" w:hAnsi="Arial"/>
          <w:sz w:val="15"/>
          <w:szCs w:val="15"/>
          <w:color w:val="auto"/>
        </w:rPr>
        <w:t xml:space="preserve"> namely, that we are the destination for athletically inspired shoes and apparel with a wide selection of merchandise in a full-service environment.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Store Count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At July 29, 2017, we operated 3,359 stores as compared with 3,363 and 3,401 stores at January 28, 2017 and July 30, 2016, respectively.</w:t>
      </w:r>
    </w:p>
    <w:p>
      <w:pPr>
        <w:spacing w:after="0" w:line="146"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During the first quarter of 2017, the Company entered into a franchise agreement with Fox-Wizel Ltd, for franchised stores operating in Israel. There are 7 franchised stores operating in Israel as of July 29, 2017. Also, during the second quarter of 2017, the Company terminated its franchise agreement with the third party that operated stores in the Republic of Korea. A total of 82 franchised stores were operating at July 29, 2017, as compared with 74 and 69 at January 28, 2017 and July 30, 2016, respectively. Revenue from the franchised stores was not significant for any of the periods presented. These stores are not included in the operating store count above.</w:t>
      </w: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Reconciliation of Non-GAAP Measures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Company presents certain non-GAAP measures, such as sales changes excluding foreign currency fluctuations, adjusted net income before income taxes, adjusted net income, and adjusted diluted earnings per share. Throughout the following discussions, where amounts are expressed as excluding the effects of foreign currency fluctuations, such changes are determined by translating all amounts in both years using the prior-year average foreign exchange rates.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581787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18" w:name="page19"/>
    <w:bookmarkEnd w:id="18"/>
    <w:p>
      <w:pPr>
        <w:jc w:val="both"/>
        <w:spacing w:after="0" w:line="241" w:lineRule="auto"/>
        <w:rPr>
          <w:sz w:val="20"/>
          <w:szCs w:val="20"/>
          <w:color w:val="auto"/>
        </w:rPr>
      </w:pPr>
      <w:r>
        <w:rPr>
          <w:rFonts w:ascii="Arial" w:cs="Arial" w:eastAsia="Arial" w:hAnsi="Arial"/>
          <w:sz w:val="15"/>
          <w:szCs w:val="15"/>
          <w:color w:val="auto"/>
        </w:rPr>
        <w:t>We present these non-GAAP measures because we believe they assist investors in comparing our performance across reporting periods on a consistent basis by excluding items that are not indicative of our core business. Presenting amounts on a constant currency basis is useful to investors because it enables them to better understand the changes in our businesses that are not related to currency movements. In addition, these non-GAAP measures are useful in assessing the Company’s progress in achieving its long-term financial objectives.</w:t>
      </w:r>
    </w:p>
    <w:p>
      <w:pPr>
        <w:spacing w:after="0" w:line="10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non-GAAP financial information is provided in addition to, and not as an alternative to, the Company’s reported results prepared in accordance with GAAP. The Company estimates the tax effect of the non-GAAP adjustments by applying its marginal rate to each of the respective items.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Presented below is a reconciliation of GAAP and non-GAAP results for the thirteen and twenty-six weeks ended July 29, 2017 and July 30, 2016, respectively.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283"/>
              <w:spacing w:after="0"/>
              <w:rPr>
                <w:sz w:val="20"/>
                <w:szCs w:val="20"/>
                <w:color w:val="auto"/>
              </w:rPr>
            </w:pPr>
            <w:r>
              <w:rPr>
                <w:rFonts w:ascii="Arial" w:cs="Arial" w:eastAsia="Arial" w:hAnsi="Arial"/>
                <w:sz w:val="15"/>
                <w:szCs w:val="15"/>
                <w:b w:val="1"/>
                <w:bCs w:val="1"/>
                <w:color w:val="auto"/>
              </w:rPr>
              <w:t>Thirteen weeks ended</w:t>
            </w: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5"/>
                <w:szCs w:val="15"/>
                <w:b w:val="1"/>
                <w:bCs w:val="1"/>
                <w:color w:val="auto"/>
              </w:rPr>
              <w:t>Twenty-six weeks ended</w:t>
            </w:r>
          </w:p>
        </w:tc>
      </w:tr>
      <w:tr>
        <w:trPr>
          <w:trHeight w:val="175"/>
        </w:trPr>
        <w:tc>
          <w:tcPr>
            <w:tcW w:w="4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203"/>
              <w:spacing w:after="0"/>
              <w:rPr>
                <w:sz w:val="20"/>
                <w:szCs w:val="20"/>
                <w:color w:val="auto"/>
              </w:rPr>
            </w:pPr>
            <w:r>
              <w:rPr>
                <w:rFonts w:ascii="Arial" w:cs="Arial" w:eastAsia="Arial" w:hAnsi="Arial"/>
                <w:sz w:val="15"/>
                <w:szCs w:val="15"/>
                <w:b w:val="1"/>
                <w:bCs w:val="1"/>
                <w:color w:val="auto"/>
              </w:rPr>
              <w:t>July 29,</w:t>
            </w:r>
          </w:p>
        </w:tc>
        <w:tc>
          <w:tcPr>
            <w:tcW w:w="260" w:type="dxa"/>
            <w:vAlign w:val="bottom"/>
          </w:tcPr>
          <w:p>
            <w:pPr>
              <w:spacing w:after="0"/>
              <w:rPr>
                <w:sz w:val="15"/>
                <w:szCs w:val="15"/>
                <w:color w:val="auto"/>
              </w:rPr>
            </w:pPr>
          </w:p>
        </w:tc>
        <w:tc>
          <w:tcPr>
            <w:tcW w:w="940" w:type="dxa"/>
            <w:vAlign w:val="bottom"/>
          </w:tcPr>
          <w:p>
            <w:pPr>
              <w:jc w:val="right"/>
              <w:ind w:right="223"/>
              <w:spacing w:after="0"/>
              <w:rPr>
                <w:sz w:val="20"/>
                <w:szCs w:val="20"/>
                <w:color w:val="auto"/>
              </w:rPr>
            </w:pPr>
            <w:r>
              <w:rPr>
                <w:rFonts w:ascii="Arial" w:cs="Arial" w:eastAsia="Arial" w:hAnsi="Arial"/>
                <w:sz w:val="15"/>
                <w:szCs w:val="15"/>
                <w:b w:val="1"/>
                <w:bCs w:val="1"/>
                <w:color w:val="auto"/>
              </w:rPr>
              <w:t>July 30,</w:t>
            </w:r>
          </w:p>
        </w:tc>
        <w:tc>
          <w:tcPr>
            <w:tcW w:w="2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Arial" w:cs="Arial" w:eastAsia="Arial" w:hAnsi="Arial"/>
                <w:sz w:val="15"/>
                <w:szCs w:val="15"/>
                <w:b w:val="1"/>
                <w:bCs w:val="1"/>
                <w:color w:val="auto"/>
              </w:rPr>
              <w:t>July 29,</w:t>
            </w:r>
          </w:p>
        </w:tc>
        <w:tc>
          <w:tcPr>
            <w:tcW w:w="260" w:type="dxa"/>
            <w:vAlign w:val="bottom"/>
          </w:tcPr>
          <w:p>
            <w:pPr>
              <w:spacing w:after="0"/>
              <w:rPr>
                <w:sz w:val="15"/>
                <w:szCs w:val="15"/>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b w:val="1"/>
                <w:bCs w:val="1"/>
                <w:color w:val="auto"/>
              </w:rPr>
              <w:t>July 30,</w:t>
            </w:r>
          </w:p>
        </w:tc>
      </w:tr>
      <w:tr>
        <w:trPr>
          <w:trHeight w:val="194"/>
        </w:trPr>
        <w:tc>
          <w:tcPr>
            <w:tcW w:w="4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2016</w:t>
            </w:r>
          </w:p>
        </w:tc>
      </w:tr>
      <w:tr>
        <w:trPr>
          <w:trHeight w:val="187"/>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623"/>
              <w:spacing w:after="0"/>
              <w:rPr>
                <w:sz w:val="20"/>
                <w:szCs w:val="20"/>
                <w:color w:val="auto"/>
              </w:rPr>
            </w:pPr>
            <w:r>
              <w:rPr>
                <w:rFonts w:ascii="Arial" w:cs="Arial" w:eastAsia="Arial" w:hAnsi="Arial"/>
                <w:sz w:val="15"/>
                <w:szCs w:val="15"/>
                <w:color w:val="auto"/>
              </w:rPr>
              <w:t>($ 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7"/>
        </w:trPr>
        <w:tc>
          <w:tcPr>
            <w:tcW w:w="4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Pre-tax income:</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3"/>
              <w:spacing w:after="0"/>
              <w:rPr>
                <w:sz w:val="20"/>
                <w:szCs w:val="20"/>
                <w:color w:val="auto"/>
              </w:rPr>
            </w:pPr>
            <w:r>
              <w:rPr>
                <w:rFonts w:ascii="Arial" w:cs="Arial" w:eastAsia="Arial" w:hAnsi="Arial"/>
                <w:sz w:val="15"/>
                <w:szCs w:val="15"/>
                <w:b w:val="1"/>
                <w:bCs w:val="1"/>
                <w:color w:val="auto"/>
              </w:rPr>
              <w:t>73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3"/>
              <w:spacing w:after="0"/>
              <w:rPr>
                <w:sz w:val="20"/>
                <w:szCs w:val="20"/>
                <w:color w:val="auto"/>
              </w:rPr>
            </w:pPr>
            <w:r>
              <w:rPr>
                <w:rFonts w:ascii="Arial" w:cs="Arial" w:eastAsia="Arial" w:hAnsi="Arial"/>
                <w:sz w:val="15"/>
                <w:szCs w:val="15"/>
                <w:b w:val="1"/>
                <w:bCs w:val="1"/>
                <w:color w:val="auto"/>
              </w:rPr>
              <w:t>198</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43"/>
              <w:spacing w:after="0"/>
              <w:rPr>
                <w:sz w:val="20"/>
                <w:szCs w:val="20"/>
                <w:color w:val="auto"/>
              </w:rPr>
            </w:pPr>
            <w:r>
              <w:rPr>
                <w:rFonts w:ascii="Arial" w:cs="Arial" w:eastAsia="Arial" w:hAnsi="Arial"/>
                <w:sz w:val="15"/>
                <w:szCs w:val="15"/>
                <w:b w:val="1"/>
                <w:bCs w:val="1"/>
                <w:color w:val="auto"/>
              </w:rPr>
              <w:t>342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496</w:t>
            </w:r>
          </w:p>
        </w:tc>
      </w:tr>
      <w:tr>
        <w:trPr>
          <w:trHeight w:val="207"/>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Pre-tax amounts excluded from GAAP:</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7"/>
        </w:trPr>
        <w:tc>
          <w:tcPr>
            <w:tcW w:w="436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Pension litigation charge</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50</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50</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5"/>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income before income taxes (non-GAAP)</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392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496</w:t>
            </w:r>
          </w:p>
        </w:tc>
      </w:tr>
      <w:tr>
        <w:trPr>
          <w:trHeight w:val="195"/>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7"/>
        </w:trPr>
        <w:tc>
          <w:tcPr>
            <w:tcW w:w="4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After-tax income:</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5"/>
                <w:szCs w:val="15"/>
                <w:color w:val="auto"/>
              </w:rPr>
              <w:t>Net income</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3"/>
              <w:spacing w:after="0"/>
              <w:rPr>
                <w:sz w:val="20"/>
                <w:szCs w:val="20"/>
                <w:color w:val="auto"/>
              </w:rPr>
            </w:pPr>
            <w:r>
              <w:rPr>
                <w:rFonts w:ascii="Arial" w:cs="Arial" w:eastAsia="Arial" w:hAnsi="Arial"/>
                <w:sz w:val="15"/>
                <w:szCs w:val="15"/>
                <w:b w:val="1"/>
                <w:bCs w:val="1"/>
                <w:color w:val="auto"/>
              </w:rPr>
              <w:t>51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3"/>
              <w:spacing w:after="0"/>
              <w:rPr>
                <w:sz w:val="20"/>
                <w:szCs w:val="20"/>
                <w:color w:val="auto"/>
              </w:rPr>
            </w:pPr>
            <w:r>
              <w:rPr>
                <w:rFonts w:ascii="Arial" w:cs="Arial" w:eastAsia="Arial" w:hAnsi="Arial"/>
                <w:sz w:val="15"/>
                <w:szCs w:val="15"/>
                <w:color w:val="auto"/>
              </w:rPr>
              <w:t>127</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43"/>
              <w:spacing w:after="0"/>
              <w:rPr>
                <w:sz w:val="20"/>
                <w:szCs w:val="20"/>
                <w:color w:val="auto"/>
              </w:rPr>
            </w:pPr>
            <w:r>
              <w:rPr>
                <w:rFonts w:ascii="Arial" w:cs="Arial" w:eastAsia="Arial" w:hAnsi="Arial"/>
                <w:sz w:val="15"/>
                <w:szCs w:val="15"/>
                <w:b w:val="1"/>
                <w:bCs w:val="1"/>
                <w:color w:val="auto"/>
              </w:rPr>
              <w:t>231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318</w:t>
            </w:r>
          </w:p>
        </w:tc>
      </w:tr>
      <w:tr>
        <w:trPr>
          <w:trHeight w:val="207"/>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After-tax adjustments excluded from GAAP:</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9"/>
        </w:trPr>
        <w:tc>
          <w:tcPr>
            <w:tcW w:w="4360" w:type="dxa"/>
            <w:vAlign w:val="bottom"/>
          </w:tcPr>
          <w:p>
            <w:pPr>
              <w:ind w:left="220"/>
              <w:spacing w:after="0"/>
              <w:rPr>
                <w:sz w:val="20"/>
                <w:szCs w:val="20"/>
                <w:color w:val="auto"/>
              </w:rPr>
            </w:pPr>
            <w:r>
              <w:rPr>
                <w:rFonts w:ascii="Arial" w:cs="Arial" w:eastAsia="Arial" w:hAnsi="Arial"/>
                <w:sz w:val="15"/>
                <w:szCs w:val="15"/>
                <w:color w:val="auto"/>
              </w:rPr>
              <w:t>Pension litigation charge, net of income tax benefit of $20</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0"/>
        </w:trPr>
        <w:tc>
          <w:tcPr>
            <w:tcW w:w="436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million</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30</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30</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9"/>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net income (non-GAAP)</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81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w:t>
            </w:r>
          </w:p>
        </w:tc>
      </w:tr>
      <w:tr>
        <w:trPr>
          <w:trHeight w:val="195"/>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7"/>
        </w:trPr>
        <w:tc>
          <w:tcPr>
            <w:tcW w:w="4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Earnings per share:</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7"/>
        </w:trPr>
        <w:tc>
          <w:tcPr>
            <w:tcW w:w="4360" w:type="dxa"/>
            <w:vAlign w:val="bottom"/>
          </w:tcPr>
          <w:p>
            <w:pPr>
              <w:spacing w:after="0"/>
              <w:rPr>
                <w:sz w:val="20"/>
                <w:szCs w:val="20"/>
                <w:color w:val="auto"/>
              </w:rPr>
            </w:pPr>
            <w:r>
              <w:rPr>
                <w:rFonts w:ascii="Arial" w:cs="Arial" w:eastAsia="Arial" w:hAnsi="Arial"/>
                <w:sz w:val="15"/>
                <w:szCs w:val="15"/>
                <w:color w:val="auto"/>
              </w:rPr>
              <w:t>Diluted EPS</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3"/>
              <w:spacing w:after="0"/>
              <w:rPr>
                <w:sz w:val="20"/>
                <w:szCs w:val="20"/>
                <w:color w:val="auto"/>
              </w:rPr>
            </w:pPr>
            <w:r>
              <w:rPr>
                <w:rFonts w:ascii="Arial" w:cs="Arial" w:eastAsia="Arial" w:hAnsi="Arial"/>
                <w:sz w:val="15"/>
                <w:szCs w:val="15"/>
                <w:b w:val="1"/>
                <w:bCs w:val="1"/>
                <w:color w:val="auto"/>
              </w:rPr>
              <w:t>0.39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3"/>
              <w:spacing w:after="0"/>
              <w:rPr>
                <w:sz w:val="20"/>
                <w:szCs w:val="20"/>
                <w:color w:val="auto"/>
              </w:rPr>
            </w:pPr>
            <w:r>
              <w:rPr>
                <w:rFonts w:ascii="Arial" w:cs="Arial" w:eastAsia="Arial" w:hAnsi="Arial"/>
                <w:sz w:val="15"/>
                <w:szCs w:val="15"/>
                <w:color w:val="auto"/>
              </w:rPr>
              <w:t>0.94</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43"/>
              <w:spacing w:after="0"/>
              <w:rPr>
                <w:sz w:val="20"/>
                <w:szCs w:val="20"/>
                <w:color w:val="auto"/>
              </w:rPr>
            </w:pPr>
            <w:r>
              <w:rPr>
                <w:rFonts w:ascii="Arial" w:cs="Arial" w:eastAsia="Arial" w:hAnsi="Arial"/>
                <w:sz w:val="15"/>
                <w:szCs w:val="15"/>
                <w:b w:val="1"/>
                <w:bCs w:val="1"/>
                <w:color w:val="auto"/>
              </w:rPr>
              <w:t>1.74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2.33</w:t>
            </w:r>
          </w:p>
        </w:tc>
      </w:tr>
      <w:tr>
        <w:trPr>
          <w:trHeight w:val="207"/>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Diluted EPS amounts excluded from GAAP:</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7"/>
        </w:trPr>
        <w:tc>
          <w:tcPr>
            <w:tcW w:w="436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Pension litigation charge</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0.23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0.23</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9"/>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diluted EPS (non-GAAP)</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0.62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0.94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1.97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w:t>
            </w:r>
          </w:p>
        </w:tc>
      </w:tr>
    </w:tbl>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 xml:space="preserve">During the second quarter ended July 29, 2017, the Company recorded a charge of $50 million, $30 million after-tax or $0.23 per share, related to pension litigation. Please see Item 1. “Financial Statements,” Note 12,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for further information on this item.</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Sales</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All references to comparable-store sales for a given period relate to sales of stores that were open at the period-end and had been open for more than one year. The computation of consolidated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07" w:lineRule="exact"/>
        <w:rPr>
          <w:sz w:val="20"/>
          <w:szCs w:val="20"/>
          <w:color w:val="auto"/>
        </w:rPr>
      </w:pPr>
    </w:p>
    <w:p>
      <w:pPr>
        <w:jc w:val="both"/>
        <w:spacing w:after="0"/>
        <w:rPr>
          <w:sz w:val="20"/>
          <w:szCs w:val="20"/>
          <w:color w:val="auto"/>
        </w:rPr>
      </w:pPr>
      <w:r>
        <w:rPr>
          <w:rFonts w:ascii="Arial" w:cs="Arial" w:eastAsia="Arial" w:hAnsi="Arial"/>
          <w:sz w:val="15"/>
          <w:szCs w:val="15"/>
          <w:color w:val="auto"/>
        </w:rPr>
        <w:t>Sales decreased by $79 million, or 4.4 percent, to $1,701 million for the thirteen weeks ended July 29, 2017, from $1,780 million for the thirteen weeks ended July 30, 2016. For the twenty-six weeks ended July 29, 2017, sales of $3,702 million decreased 1.7 percent from sales of $3,767 million in the corresponding prior-year period. Excluding the effect of foreign currency fluctuations, sales decreased by 4.3 and 1.1 percent for the thirteen and twenty-six weeks ended July 29, 2017, respectively. Comparable-store sales decreased by 6.0 and 2.6 percent for the thirteen and twenty-six weeks ended July 29, 2017, respectively. This reflected a decline in our Athletic Stores segment, partially offset by an increase in our Direct-to-Customers segment.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2"/>
        </w:trPr>
        <w:tc>
          <w:tcPr>
            <w:tcW w:w="3780" w:type="dxa"/>
            <w:vAlign w:val="bottom"/>
            <w:gridSpan w:val="2"/>
          </w:tcPr>
          <w:p>
            <w:pPr>
              <w:spacing w:after="0"/>
              <w:rPr>
                <w:sz w:val="20"/>
                <w:szCs w:val="20"/>
                <w:color w:val="auto"/>
              </w:rPr>
            </w:pPr>
            <w:r>
              <w:rPr>
                <w:rFonts w:ascii="Arial" w:cs="Arial" w:eastAsia="Arial" w:hAnsi="Arial"/>
                <w:sz w:val="15"/>
                <w:szCs w:val="15"/>
                <w:i w:val="1"/>
                <w:iCs w:val="1"/>
                <w:color w:val="auto"/>
              </w:rPr>
              <w:t>Gross Margin</w:t>
            </w:r>
          </w:p>
        </w:tc>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920" w:type="dxa"/>
            <w:vAlign w:val="bottom"/>
            <w:tcBorders>
              <w:top w:val="single" w:sz="8" w:color="auto"/>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ind w:left="640"/>
              <w:spacing w:after="0"/>
              <w:rPr>
                <w:sz w:val="20"/>
                <w:szCs w:val="20"/>
                <w:color w:val="auto"/>
              </w:rPr>
            </w:pPr>
            <w:r>
              <w:rPr>
                <w:rFonts w:ascii="Arial" w:cs="Arial" w:eastAsia="Arial" w:hAnsi="Arial"/>
                <w:sz w:val="15"/>
                <w:szCs w:val="15"/>
                <w:b w:val="1"/>
                <w:bCs w:val="1"/>
                <w:color w:val="auto"/>
              </w:rPr>
              <w:t>Thirteen weeks ended</w:t>
            </w:r>
          </w:p>
        </w:tc>
        <w:tc>
          <w:tcPr>
            <w:tcW w:w="246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5"/>
                <w:szCs w:val="15"/>
                <w:b w:val="1"/>
                <w:bCs w:val="1"/>
                <w:color w:val="auto"/>
              </w:rPr>
              <w:t>Twenty-six weeks ended</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540" w:type="dxa"/>
            <w:vAlign w:val="bottom"/>
          </w:tcPr>
          <w:p>
            <w:pPr>
              <w:ind w:left="500"/>
              <w:spacing w:after="0" w:line="151" w:lineRule="exact"/>
              <w:rPr>
                <w:sz w:val="20"/>
                <w:szCs w:val="20"/>
                <w:color w:val="auto"/>
              </w:rPr>
            </w:pPr>
            <w:r>
              <w:rPr>
                <w:rFonts w:ascii="Arial" w:cs="Arial" w:eastAsia="Arial" w:hAnsi="Arial"/>
                <w:sz w:val="15"/>
                <w:szCs w:val="15"/>
                <w:b w:val="1"/>
                <w:bCs w:val="1"/>
                <w:color w:val="auto"/>
              </w:rPr>
              <w:t>July 29,</w:t>
            </w:r>
          </w:p>
        </w:tc>
        <w:tc>
          <w:tcPr>
            <w:tcW w:w="1320" w:type="dxa"/>
            <w:vAlign w:val="bottom"/>
          </w:tcPr>
          <w:p>
            <w:pPr>
              <w:jc w:val="center"/>
              <w:ind w:right="123"/>
              <w:spacing w:after="0" w:line="151" w:lineRule="exact"/>
              <w:rPr>
                <w:sz w:val="20"/>
                <w:szCs w:val="20"/>
                <w:color w:val="auto"/>
              </w:rPr>
            </w:pPr>
            <w:r>
              <w:rPr>
                <w:rFonts w:ascii="Arial" w:cs="Arial" w:eastAsia="Arial" w:hAnsi="Arial"/>
                <w:sz w:val="15"/>
                <w:szCs w:val="15"/>
                <w:b w:val="1"/>
                <w:bCs w:val="1"/>
                <w:color w:val="auto"/>
              </w:rPr>
              <w:t>July 30,</w:t>
            </w:r>
          </w:p>
        </w:tc>
        <w:tc>
          <w:tcPr>
            <w:tcW w:w="1340" w:type="dxa"/>
            <w:vAlign w:val="bottom"/>
          </w:tcPr>
          <w:p>
            <w:pPr>
              <w:jc w:val="right"/>
              <w:ind w:right="403"/>
              <w:spacing w:after="0" w:line="151" w:lineRule="exact"/>
              <w:rPr>
                <w:sz w:val="20"/>
                <w:szCs w:val="20"/>
                <w:color w:val="auto"/>
              </w:rPr>
            </w:pPr>
            <w:r>
              <w:rPr>
                <w:rFonts w:ascii="Arial" w:cs="Arial" w:eastAsia="Arial" w:hAnsi="Arial"/>
                <w:sz w:val="15"/>
                <w:szCs w:val="15"/>
                <w:b w:val="1"/>
                <w:bCs w:val="1"/>
                <w:color w:val="auto"/>
              </w:rPr>
              <w:t>July 29,</w:t>
            </w:r>
          </w:p>
        </w:tc>
        <w:tc>
          <w:tcPr>
            <w:tcW w:w="112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rPr>
              <w:t>July 30,</w:t>
            </w:r>
          </w:p>
        </w:tc>
        <w:tc>
          <w:tcPr>
            <w:tcW w:w="0" w:type="dxa"/>
            <w:vAlign w:val="bottom"/>
          </w:tcPr>
          <w:p>
            <w:pPr>
              <w:spacing w:after="0"/>
              <w:rPr>
                <w:sz w:val="1"/>
                <w:szCs w:val="1"/>
                <w:color w:val="auto"/>
              </w:rPr>
            </w:pPr>
          </w:p>
        </w:tc>
      </w:tr>
      <w:tr>
        <w:trPr>
          <w:trHeight w:val="194"/>
        </w:trPr>
        <w:tc>
          <w:tcPr>
            <w:tcW w:w="9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2017</w:t>
            </w: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2016</w:t>
            </w:r>
          </w:p>
        </w:tc>
        <w:tc>
          <w:tcPr>
            <w:tcW w:w="13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2017</w:t>
            </w:r>
          </w:p>
        </w:tc>
        <w:tc>
          <w:tcPr>
            <w:tcW w:w="11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87"/>
        </w:trPr>
        <w:tc>
          <w:tcPr>
            <w:tcW w:w="3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Gross margin rate</w:t>
            </w:r>
          </w:p>
        </w:tc>
        <w:tc>
          <w:tcPr>
            <w:tcW w:w="1540" w:type="dxa"/>
            <w:vAlign w:val="bottom"/>
            <w:shd w:val="clear" w:color="auto" w:fill="CCEEFF"/>
          </w:tcPr>
          <w:p>
            <w:pPr>
              <w:ind w:left="780"/>
              <w:spacing w:after="0"/>
              <w:rPr>
                <w:sz w:val="20"/>
                <w:szCs w:val="20"/>
                <w:color w:val="auto"/>
              </w:rPr>
            </w:pPr>
            <w:r>
              <w:rPr>
                <w:rFonts w:ascii="Arial" w:cs="Arial" w:eastAsia="Arial" w:hAnsi="Arial"/>
                <w:sz w:val="15"/>
                <w:szCs w:val="15"/>
                <w:b w:val="1"/>
                <w:bCs w:val="1"/>
                <w:color w:val="auto"/>
              </w:rPr>
              <w:t>29.6 %</w:t>
            </w:r>
          </w:p>
        </w:tc>
        <w:tc>
          <w:tcPr>
            <w:tcW w:w="132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33.0 %</w:t>
            </w:r>
          </w:p>
        </w:tc>
        <w:tc>
          <w:tcPr>
            <w:tcW w:w="1340" w:type="dxa"/>
            <w:vAlign w:val="bottom"/>
            <w:shd w:val="clear" w:color="auto" w:fill="CCEEFF"/>
          </w:tcPr>
          <w:p>
            <w:pPr>
              <w:jc w:val="right"/>
              <w:ind w:right="223"/>
              <w:spacing w:after="0"/>
              <w:rPr>
                <w:sz w:val="20"/>
                <w:szCs w:val="20"/>
                <w:color w:val="auto"/>
              </w:rPr>
            </w:pPr>
            <w:r>
              <w:rPr>
                <w:rFonts w:ascii="Arial" w:cs="Arial" w:eastAsia="Arial" w:hAnsi="Arial"/>
                <w:sz w:val="15"/>
                <w:szCs w:val="15"/>
                <w:b w:val="1"/>
                <w:bCs w:val="1"/>
                <w:color w:val="auto"/>
              </w:rPr>
              <w:t>32.0 %</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34.1 %</w:t>
            </w:r>
          </w:p>
        </w:tc>
        <w:tc>
          <w:tcPr>
            <w:tcW w:w="0" w:type="dxa"/>
            <w:vAlign w:val="bottom"/>
          </w:tcPr>
          <w:p>
            <w:pPr>
              <w:spacing w:after="0"/>
              <w:rPr>
                <w:sz w:val="1"/>
                <w:szCs w:val="1"/>
                <w:color w:val="auto"/>
              </w:rPr>
            </w:pPr>
          </w:p>
        </w:tc>
      </w:tr>
      <w:tr>
        <w:trPr>
          <w:trHeight w:val="207"/>
        </w:trPr>
        <w:tc>
          <w:tcPr>
            <w:tcW w:w="3780" w:type="dxa"/>
            <w:vAlign w:val="bottom"/>
            <w:gridSpan w:val="2"/>
          </w:tcPr>
          <w:p>
            <w:pPr>
              <w:spacing w:after="0"/>
              <w:rPr>
                <w:sz w:val="20"/>
                <w:szCs w:val="20"/>
                <w:color w:val="auto"/>
              </w:rPr>
            </w:pPr>
            <w:r>
              <w:rPr>
                <w:rFonts w:ascii="Arial" w:cs="Arial" w:eastAsia="Arial" w:hAnsi="Arial"/>
                <w:sz w:val="15"/>
                <w:szCs w:val="15"/>
                <w:color w:val="auto"/>
              </w:rPr>
              <w:t>Basis point change in the gross margin rate</w:t>
            </w:r>
          </w:p>
        </w:tc>
        <w:tc>
          <w:tcPr>
            <w:tcW w:w="1540" w:type="dxa"/>
            <w:vAlign w:val="bottom"/>
          </w:tcPr>
          <w:p>
            <w:pPr>
              <w:ind w:left="760"/>
              <w:spacing w:after="0"/>
              <w:rPr>
                <w:sz w:val="20"/>
                <w:szCs w:val="20"/>
                <w:color w:val="auto"/>
              </w:rPr>
            </w:pPr>
            <w:r>
              <w:rPr>
                <w:rFonts w:ascii="Arial" w:cs="Arial" w:eastAsia="Arial" w:hAnsi="Arial"/>
                <w:sz w:val="15"/>
                <w:szCs w:val="15"/>
                <w:b w:val="1"/>
                <w:bCs w:val="1"/>
                <w:color w:val="auto"/>
              </w:rPr>
              <w:t>(340)</w:t>
            </w:r>
          </w:p>
        </w:tc>
        <w:tc>
          <w:tcPr>
            <w:tcW w:w="1320" w:type="dxa"/>
            <w:vAlign w:val="bottom"/>
          </w:tcPr>
          <w:p>
            <w:pPr>
              <w:spacing w:after="0"/>
              <w:rPr>
                <w:sz w:val="17"/>
                <w:szCs w:val="17"/>
                <w:color w:val="auto"/>
              </w:rPr>
            </w:pPr>
          </w:p>
        </w:tc>
        <w:tc>
          <w:tcPr>
            <w:tcW w:w="1340" w:type="dxa"/>
            <w:vAlign w:val="bottom"/>
          </w:tcPr>
          <w:p>
            <w:pPr>
              <w:jc w:val="right"/>
              <w:ind w:right="363"/>
              <w:spacing w:after="0"/>
              <w:rPr>
                <w:sz w:val="20"/>
                <w:szCs w:val="20"/>
                <w:color w:val="auto"/>
              </w:rPr>
            </w:pPr>
            <w:r>
              <w:rPr>
                <w:rFonts w:ascii="Arial" w:cs="Arial" w:eastAsia="Arial" w:hAnsi="Arial"/>
                <w:sz w:val="15"/>
                <w:szCs w:val="15"/>
                <w:b w:val="1"/>
                <w:bCs w:val="1"/>
                <w:color w:val="auto"/>
              </w:rPr>
              <w:t>(210)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Components of the change-</w:t>
            </w:r>
          </w:p>
        </w:tc>
        <w:tc>
          <w:tcPr>
            <w:tcW w:w="1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80" w:type="dxa"/>
            <w:vAlign w:val="bottom"/>
            <w:gridSpan w:val="2"/>
          </w:tcPr>
          <w:p>
            <w:pPr>
              <w:ind w:left="200"/>
              <w:spacing w:after="0"/>
              <w:rPr>
                <w:sz w:val="20"/>
                <w:szCs w:val="20"/>
                <w:color w:val="auto"/>
              </w:rPr>
            </w:pPr>
            <w:r>
              <w:rPr>
                <w:rFonts w:ascii="Arial" w:cs="Arial" w:eastAsia="Arial" w:hAnsi="Arial"/>
                <w:sz w:val="15"/>
                <w:szCs w:val="15"/>
                <w:color w:val="auto"/>
              </w:rPr>
              <w:t>Decline in the merchandise margin rate</w:t>
            </w:r>
          </w:p>
        </w:tc>
        <w:tc>
          <w:tcPr>
            <w:tcW w:w="1540" w:type="dxa"/>
            <w:vAlign w:val="bottom"/>
          </w:tcPr>
          <w:p>
            <w:pPr>
              <w:ind w:left="760"/>
              <w:spacing w:after="0"/>
              <w:rPr>
                <w:sz w:val="20"/>
                <w:szCs w:val="20"/>
                <w:color w:val="auto"/>
              </w:rPr>
            </w:pPr>
            <w:r>
              <w:rPr>
                <w:rFonts w:ascii="Arial" w:cs="Arial" w:eastAsia="Arial" w:hAnsi="Arial"/>
                <w:sz w:val="15"/>
                <w:szCs w:val="15"/>
                <w:b w:val="1"/>
                <w:bCs w:val="1"/>
                <w:color w:val="auto"/>
              </w:rPr>
              <w:t>(200)</w:t>
            </w:r>
          </w:p>
        </w:tc>
        <w:tc>
          <w:tcPr>
            <w:tcW w:w="1320" w:type="dxa"/>
            <w:vAlign w:val="bottom"/>
          </w:tcPr>
          <w:p>
            <w:pPr>
              <w:spacing w:after="0"/>
              <w:rPr>
                <w:sz w:val="17"/>
                <w:szCs w:val="17"/>
                <w:color w:val="auto"/>
              </w:rPr>
            </w:pPr>
          </w:p>
        </w:tc>
        <w:tc>
          <w:tcPr>
            <w:tcW w:w="1340" w:type="dxa"/>
            <w:vAlign w:val="bottom"/>
          </w:tcPr>
          <w:p>
            <w:pPr>
              <w:jc w:val="right"/>
              <w:ind w:right="363"/>
              <w:spacing w:after="0"/>
              <w:rPr>
                <w:sz w:val="20"/>
                <w:szCs w:val="20"/>
                <w:color w:val="auto"/>
              </w:rPr>
            </w:pPr>
            <w:r>
              <w:rPr>
                <w:rFonts w:ascii="Arial" w:cs="Arial" w:eastAsia="Arial" w:hAnsi="Arial"/>
                <w:sz w:val="15"/>
                <w:szCs w:val="15"/>
                <w:b w:val="1"/>
                <w:bCs w:val="1"/>
                <w:color w:val="auto"/>
              </w:rPr>
              <w:t>(120)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Higher occupancy and buyers' compensation</w:t>
            </w:r>
          </w:p>
        </w:tc>
        <w:tc>
          <w:tcPr>
            <w:tcW w:w="1540" w:type="dxa"/>
            <w:vAlign w:val="bottom"/>
            <w:vMerge w:val="restart"/>
            <w:shd w:val="clear" w:color="auto" w:fill="CCEEFF"/>
          </w:tcPr>
          <w:p>
            <w:pPr>
              <w:ind w:left="760"/>
              <w:spacing w:after="0"/>
              <w:rPr>
                <w:sz w:val="20"/>
                <w:szCs w:val="20"/>
                <w:color w:val="auto"/>
              </w:rPr>
            </w:pPr>
            <w:r>
              <w:rPr>
                <w:rFonts w:ascii="Arial" w:cs="Arial" w:eastAsia="Arial" w:hAnsi="Arial"/>
                <w:sz w:val="15"/>
                <w:szCs w:val="15"/>
                <w:b w:val="1"/>
                <w:bCs w:val="1"/>
                <w:color w:val="auto"/>
              </w:rPr>
              <w:t>(140)</w:t>
            </w:r>
          </w:p>
        </w:tc>
        <w:tc>
          <w:tcPr>
            <w:tcW w:w="132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(90)</w:t>
            </w: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5"/>
                <w:szCs w:val="15"/>
                <w:color w:val="auto"/>
              </w:rPr>
              <w:t>expense rate</w:t>
            </w:r>
          </w:p>
        </w:tc>
        <w:tc>
          <w:tcPr>
            <w:tcW w:w="1540" w:type="dxa"/>
            <w:vAlign w:val="bottom"/>
            <w:tcBorders>
              <w:bottom w:val="single" w:sz="8" w:color="auto"/>
            </w:tcBorders>
            <w:vMerge w:val="continue"/>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vMerge w:val="continue"/>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Gross margin is calculated as sales minus cost of sales. Cost of sales includes: the cost of merchandise, freight, distribution costs including related depreciation expense, shipping and handling, occupancy and buyers’ compensation. Occupancy costs include rent, common area maintenance charges, real estate taxes, general maintenance, and utilities. The gross margin rate decreased by 340 and 210 basis points for the thirteen and twenty-six weeks ended July 29, 2017, respectively.</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merchandise margin rate decline for both the quarter and year-to-date periods primarily reflected a higher markdown rate in both our Athletic Stores and Direct-to-Customers segments as we were more promotional. The increased promotional activity was necessary to stimulate sales and ensure that inventory levels remained current and in line with the pace of sales.</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higher occupancy and buyers’ compensation expense rate for both the quarter and year-to-date periods reflected higher rent-related costs coupled with a decrease in sales. Higher occupancy costs are primarily attributed to several high-profile location leases entered into recently.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gridSpan w:val="3"/>
          </w:tcPr>
          <w:p>
            <w:pPr>
              <w:spacing w:after="0"/>
              <w:rPr>
                <w:sz w:val="20"/>
                <w:szCs w:val="20"/>
                <w:color w:val="auto"/>
              </w:rPr>
            </w:pPr>
            <w:r>
              <w:rPr>
                <w:rFonts w:ascii="Arial" w:cs="Arial" w:eastAsia="Arial" w:hAnsi="Arial"/>
                <w:sz w:val="15"/>
                <w:szCs w:val="15"/>
                <w:i w:val="1"/>
                <w:iCs w:val="1"/>
                <w:color w:val="auto"/>
              </w:rPr>
              <w:t>Selling, General and Administrative Expenses (SG&amp;A)</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96"/>
        </w:trPr>
        <w:tc>
          <w:tcPr>
            <w:tcW w:w="29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5"/>
                <w:szCs w:val="15"/>
                <w:b w:val="1"/>
                <w:bCs w:val="1"/>
                <w:color w:val="auto"/>
              </w:rPr>
              <w:t>Thirteen weeks ended</w:t>
            </w: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5"/>
                <w:szCs w:val="15"/>
                <w:b w:val="1"/>
                <w:bCs w:val="1"/>
                <w:color w:val="auto"/>
              </w:rPr>
              <w:t>Twenty-six weeks ended</w:t>
            </w:r>
          </w:p>
        </w:tc>
      </w:tr>
      <w:tr>
        <w:trPr>
          <w:trHeight w:val="187"/>
        </w:trPr>
        <w:tc>
          <w:tcPr>
            <w:tcW w:w="2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July 29, 2017</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July 30, 2016</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July 29, 2017</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July 30, 2016</w:t>
            </w:r>
          </w:p>
        </w:tc>
      </w:tr>
      <w:tr>
        <w:trPr>
          <w:trHeight w:val="187"/>
        </w:trPr>
        <w:tc>
          <w:tcPr>
            <w:tcW w:w="2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3"/>
          </w:tcPr>
          <w:p>
            <w:pPr>
              <w:jc w:val="right"/>
              <w:ind w:right="923"/>
              <w:spacing w:after="0"/>
              <w:rPr>
                <w:sz w:val="20"/>
                <w:szCs w:val="20"/>
                <w:color w:val="auto"/>
              </w:rPr>
            </w:pPr>
            <w:r>
              <w:rPr>
                <w:rFonts w:ascii="Arial" w:cs="Arial" w:eastAsia="Arial" w:hAnsi="Arial"/>
                <w:sz w:val="15"/>
                <w:szCs w:val="15"/>
                <w:color w:val="auto"/>
              </w:rPr>
              <w:t>($ in millions)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7"/>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SG&amp;A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710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711</w:t>
            </w:r>
          </w:p>
        </w:tc>
      </w:tr>
      <w:tr>
        <w:trPr>
          <w:trHeight w:val="207"/>
        </w:trPr>
        <w:tc>
          <w:tcPr>
            <w:tcW w:w="2900" w:type="dxa"/>
            <w:vAlign w:val="bottom"/>
          </w:tcPr>
          <w:p>
            <w:pPr>
              <w:spacing w:after="0"/>
              <w:rPr>
                <w:sz w:val="20"/>
                <w:szCs w:val="20"/>
                <w:color w:val="auto"/>
              </w:rPr>
            </w:pPr>
            <w:r>
              <w:rPr>
                <w:rFonts w:ascii="Arial" w:cs="Arial" w:eastAsia="Arial" w:hAnsi="Arial"/>
                <w:sz w:val="15"/>
                <w:szCs w:val="15"/>
                <w:color w:val="auto"/>
              </w:rPr>
              <w:t>$ Change</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83"/>
              <w:spacing w:after="0"/>
              <w:rPr>
                <w:sz w:val="20"/>
                <w:szCs w:val="20"/>
                <w:color w:val="auto"/>
              </w:rPr>
            </w:pPr>
            <w:r>
              <w:rPr>
                <w:rFonts w:ascii="Arial" w:cs="Arial" w:eastAsia="Arial" w:hAnsi="Arial"/>
                <w:sz w:val="15"/>
                <w:szCs w:val="15"/>
                <w:b w:val="1"/>
                <w:bCs w:val="1"/>
                <w:color w:val="auto"/>
              </w:rPr>
              <w:t>(11)</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03"/>
              <w:spacing w:after="0"/>
              <w:rPr>
                <w:sz w:val="20"/>
                <w:szCs w:val="20"/>
                <w:color w:val="auto"/>
              </w:rPr>
            </w:pPr>
            <w:r>
              <w:rPr>
                <w:rFonts w:ascii="Arial" w:cs="Arial" w:eastAsia="Arial" w:hAnsi="Arial"/>
                <w:sz w:val="15"/>
                <w:szCs w:val="15"/>
                <w:b w:val="1"/>
                <w:bCs w:val="1"/>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Pr>
          <w:p>
            <w:pPr>
              <w:spacing w:after="0"/>
              <w:rPr>
                <w:sz w:val="17"/>
                <w:szCs w:val="17"/>
                <w:color w:val="auto"/>
              </w:rPr>
            </w:pPr>
          </w:p>
        </w:tc>
      </w:tr>
      <w:tr>
        <w:trPr>
          <w:trHeight w:val="207"/>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(3.1)%</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(0.1)%</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7"/>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SG&amp;A as a percentage of sales</w:t>
            </w: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19.9 %</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19.7 %</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19.2 %</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18.9 %</w:t>
            </w:r>
          </w:p>
        </w:tc>
      </w:tr>
    </w:tbl>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The effect of foreign currency fluctuations for the thirteen weeks ended July 29, 2017 was not significant. For the twenty-six weeks ended July 29, 2017, excluding the effect of foreign currency fluctuations, SG&amp;A expense increased by $5 million as compared with the corresponding prior-year period. Comparing the SG&amp;A expense rate to the prior-year periods, the rate increased by 20 and 30 basis points for the thirteen and twenty-six weeks ended July 29, 2017, respectively</w:t>
      </w:r>
      <w:r>
        <w:rPr>
          <w:rFonts w:ascii="Arial" w:cs="Arial" w:eastAsia="Arial" w:hAnsi="Arial"/>
          <w:sz w:val="16"/>
          <w:szCs w:val="16"/>
          <w:color w:val="auto"/>
        </w:rPr>
        <w:t>.</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higher SG&amp;A expense rate for both the quarter and year-to-date periods, as compared with the corresponding prior-year periods, was driven by the Athletic Stores segment and was primarily related to higher store-related compensation costs. Wages were higher mainly due to minimum wage increases, as well as related payroll taxes and benefits. As a percentage of sales, store wages and related costs increased due to the decline in sales as we were not able to reduce staffing levels commensurate with the rate of decline in sales. Our Direct-to-Customers segment’s SG&amp;A expense rate declined for both the quarter and year-to-date periods reflecting increased marketing efforts in order to drive traffic to its websites, offset by a decline in incentive compensation accruals due to the underperformance relative to planned results. Additionally, corporate expense significantly declined during the second quarter and year-to-date periods reflecting primarily reduced incentive compensation expense.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08" w:right="13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2"/>
        </w:trPr>
        <w:tc>
          <w:tcPr>
            <w:tcW w:w="2860" w:type="dxa"/>
            <w:vAlign w:val="bottom"/>
            <w:gridSpan w:val="2"/>
          </w:tcPr>
          <w:p>
            <w:pPr>
              <w:spacing w:after="0"/>
              <w:rPr>
                <w:sz w:val="20"/>
                <w:szCs w:val="20"/>
                <w:color w:val="auto"/>
              </w:rPr>
            </w:pPr>
            <w:r>
              <w:rPr>
                <w:rFonts w:ascii="Arial" w:cs="Arial" w:eastAsia="Arial" w:hAnsi="Arial"/>
                <w:sz w:val="15"/>
                <w:szCs w:val="15"/>
                <w:i w:val="1"/>
                <w:iCs w:val="1"/>
                <w:color w:val="auto"/>
              </w:rPr>
              <w:t>Depreciation and Amortization</w:t>
            </w: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96"/>
        </w:trPr>
        <w:tc>
          <w:tcPr>
            <w:tcW w:w="206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5"/>
                <w:szCs w:val="15"/>
                <w:b w:val="1"/>
                <w:bCs w:val="1"/>
                <w:color w:val="auto"/>
              </w:rPr>
              <w:t>Thirteen weeks ended</w:t>
            </w: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5"/>
                <w:szCs w:val="15"/>
                <w:b w:val="1"/>
                <w:bCs w:val="1"/>
                <w:color w:val="auto"/>
              </w:rPr>
              <w:t>Twenty-six weeks ended</w:t>
            </w:r>
          </w:p>
        </w:tc>
      </w:tr>
      <w:tr>
        <w:trPr>
          <w:trHeight w:val="187"/>
        </w:trPr>
        <w:tc>
          <w:tcPr>
            <w:tcW w:w="20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July 29, 2017</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July 30, 2016</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July 29, 2017</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July 30, 2016</w:t>
            </w:r>
          </w:p>
        </w:tc>
      </w:tr>
      <w:tr>
        <w:trPr>
          <w:trHeight w:val="187"/>
        </w:trPr>
        <w:tc>
          <w:tcPr>
            <w:tcW w:w="2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3"/>
          </w:tcPr>
          <w:p>
            <w:pPr>
              <w:jc w:val="right"/>
              <w:ind w:right="923"/>
              <w:spacing w:after="0"/>
              <w:rPr>
                <w:sz w:val="20"/>
                <w:szCs w:val="20"/>
                <w:color w:val="auto"/>
              </w:rPr>
            </w:pPr>
            <w:r>
              <w:rPr>
                <w:rFonts w:ascii="Arial" w:cs="Arial" w:eastAsia="Arial" w:hAnsi="Arial"/>
                <w:sz w:val="15"/>
                <w:szCs w:val="15"/>
                <w:color w:val="auto"/>
              </w:rPr>
              <w:t>($ in millions)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7"/>
        </w:trPr>
        <w:tc>
          <w:tcPr>
            <w:tcW w:w="2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78</w:t>
            </w:r>
          </w:p>
        </w:tc>
      </w:tr>
      <w:tr>
        <w:trPr>
          <w:trHeight w:val="207"/>
        </w:trPr>
        <w:tc>
          <w:tcPr>
            <w:tcW w:w="2860" w:type="dxa"/>
            <w:vAlign w:val="bottom"/>
            <w:gridSpan w:val="2"/>
          </w:tcPr>
          <w:p>
            <w:pPr>
              <w:spacing w:after="0"/>
              <w:rPr>
                <w:sz w:val="20"/>
                <w:szCs w:val="20"/>
                <w:color w:val="auto"/>
              </w:rPr>
            </w:pPr>
            <w:r>
              <w:rPr>
                <w:rFonts w:ascii="Arial" w:cs="Arial" w:eastAsia="Arial" w:hAnsi="Arial"/>
                <w:sz w:val="15"/>
                <w:szCs w:val="15"/>
                <w:color w:val="auto"/>
              </w:rPr>
              <w:t>$ Change</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123"/>
              <w:spacing w:after="0"/>
              <w:rPr>
                <w:sz w:val="20"/>
                <w:szCs w:val="20"/>
                <w:color w:val="auto"/>
              </w:rPr>
            </w:pPr>
            <w:r>
              <w:rPr>
                <w:rFonts w:ascii="Arial" w:cs="Arial" w:eastAsia="Arial" w:hAnsi="Arial"/>
                <w:sz w:val="15"/>
                <w:szCs w:val="15"/>
                <w:b w:val="1"/>
                <w:bCs w:val="1"/>
                <w:color w:val="auto"/>
              </w:rPr>
              <w:t>3</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43"/>
              <w:spacing w:after="0"/>
              <w:rPr>
                <w:sz w:val="20"/>
                <w:szCs w:val="20"/>
                <w:color w:val="auto"/>
              </w:rPr>
            </w:pPr>
            <w:r>
              <w:rPr>
                <w:rFonts w:ascii="Arial" w:cs="Arial" w:eastAsia="Arial" w:hAnsi="Arial"/>
                <w:sz w:val="15"/>
                <w:szCs w:val="15"/>
                <w:b w:val="1"/>
                <w:bCs w:val="1"/>
                <w:color w:val="auto"/>
              </w:rPr>
              <w:t>5</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2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 Change</w:t>
            </w:r>
          </w:p>
        </w:tc>
        <w:tc>
          <w:tcPr>
            <w:tcW w:w="9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7.7 %</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6.4 %</w:t>
            </w: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bl>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Depreciation and amortization increased by $3 million and $5 million for the thirteen and twenty-six weeks ended July 29, 2017, respectively, as compared with the corresponding prior-year periods. The increase in depreciation and amortization reflected increased capital spending on store projects, enhancing our digital sites, and various other technologies and infrastructure.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gridSpan w:val="2"/>
          </w:tcPr>
          <w:p>
            <w:pPr>
              <w:spacing w:after="0"/>
              <w:rPr>
                <w:sz w:val="20"/>
                <w:szCs w:val="20"/>
                <w:color w:val="auto"/>
              </w:rPr>
            </w:pPr>
            <w:r>
              <w:rPr>
                <w:rFonts w:ascii="Arial" w:cs="Arial" w:eastAsia="Arial" w:hAnsi="Arial"/>
                <w:sz w:val="15"/>
                <w:szCs w:val="15"/>
                <w:i w:val="1"/>
                <w:iCs w:val="1"/>
                <w:color w:val="auto"/>
              </w:rPr>
              <w:t>Interest Expense, Net</w:t>
            </w: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96"/>
        </w:trPr>
        <w:tc>
          <w:tcPr>
            <w:tcW w:w="1480" w:type="dxa"/>
            <w:vAlign w:val="bottom"/>
            <w:tcBorders>
              <w:top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ind w:left="380"/>
              <w:spacing w:after="0"/>
              <w:rPr>
                <w:sz w:val="20"/>
                <w:szCs w:val="20"/>
                <w:color w:val="auto"/>
              </w:rPr>
            </w:pPr>
            <w:r>
              <w:rPr>
                <w:rFonts w:ascii="Arial" w:cs="Arial" w:eastAsia="Arial" w:hAnsi="Arial"/>
                <w:sz w:val="15"/>
                <w:szCs w:val="15"/>
                <w:b w:val="1"/>
                <w:bCs w:val="1"/>
                <w:color w:val="auto"/>
              </w:rPr>
              <w:t>Thirteen weeks ended</w:t>
            </w: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300"/>
              <w:spacing w:after="0"/>
              <w:rPr>
                <w:sz w:val="20"/>
                <w:szCs w:val="20"/>
                <w:color w:val="auto"/>
              </w:rPr>
            </w:pPr>
            <w:r>
              <w:rPr>
                <w:rFonts w:ascii="Arial" w:cs="Arial" w:eastAsia="Arial" w:hAnsi="Arial"/>
                <w:sz w:val="15"/>
                <w:szCs w:val="15"/>
                <w:b w:val="1"/>
                <w:bCs w:val="1"/>
                <w:color w:val="auto"/>
              </w:rPr>
              <w:t>Twenty-six weeks ended</w:t>
            </w:r>
          </w:p>
        </w:tc>
      </w:tr>
      <w:tr>
        <w:trPr>
          <w:trHeight w:val="187"/>
        </w:trPr>
        <w:tc>
          <w:tcPr>
            <w:tcW w:w="1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July 29, 2017</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July 30, 2016</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July 29, 2017</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July 30, 2016</w:t>
            </w:r>
          </w:p>
        </w:tc>
      </w:tr>
      <w:tr>
        <w:trPr>
          <w:trHeight w:val="187"/>
        </w:trPr>
        <w:tc>
          <w:tcPr>
            <w:tcW w:w="1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3"/>
          </w:tcPr>
          <w:p>
            <w:pPr>
              <w:ind w:left="740"/>
              <w:spacing w:after="0"/>
              <w:rPr>
                <w:sz w:val="20"/>
                <w:szCs w:val="20"/>
                <w:color w:val="auto"/>
              </w:rPr>
            </w:pPr>
            <w:r>
              <w:rPr>
                <w:rFonts w:ascii="Arial" w:cs="Arial" w:eastAsia="Arial" w:hAnsi="Arial"/>
                <w:sz w:val="15"/>
                <w:szCs w:val="15"/>
                <w:color w:val="auto"/>
              </w:rPr>
              <w:t>($ in millions)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shd w:val="clear" w:color="auto" w:fill="CCEEFF"/>
          </w:tcPr>
          <w:p>
            <w:pPr>
              <w:jc w:val="center"/>
              <w:ind w:left="743"/>
              <w:spacing w:after="0"/>
              <w:rPr>
                <w:sz w:val="20"/>
                <w:szCs w:val="20"/>
                <w:color w:val="auto"/>
              </w:rPr>
            </w:pPr>
            <w:r>
              <w:rPr>
                <w:rFonts w:ascii="Arial" w:cs="Arial" w:eastAsia="Arial" w:hAnsi="Arial"/>
                <w:sz w:val="15"/>
                <w:szCs w:val="15"/>
                <w:b w:val="1"/>
                <w:bCs w:val="1"/>
                <w:color w:val="auto"/>
                <w:w w:val="95"/>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center"/>
              <w:ind w:left="743"/>
              <w:spacing w:after="0"/>
              <w:rPr>
                <w:sz w:val="20"/>
                <w:szCs w:val="20"/>
                <w:color w:val="auto"/>
              </w:rPr>
            </w:pPr>
            <w:r>
              <w:rPr>
                <w:rFonts w:ascii="Arial" w:cs="Arial" w:eastAsia="Arial" w:hAnsi="Arial"/>
                <w:sz w:val="15"/>
                <w:szCs w:val="15"/>
                <w:color w:val="auto"/>
                <w:w w:val="95"/>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center"/>
              <w:ind w:left="743"/>
              <w:spacing w:after="0"/>
              <w:rPr>
                <w:sz w:val="20"/>
                <w:szCs w:val="20"/>
                <w:color w:val="auto"/>
              </w:rPr>
            </w:pPr>
            <w:r>
              <w:rPr>
                <w:rFonts w:ascii="Arial" w:cs="Arial" w:eastAsia="Arial" w:hAnsi="Arial"/>
                <w:sz w:val="15"/>
                <w:szCs w:val="15"/>
                <w:b w:val="1"/>
                <w:bCs w:val="1"/>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center"/>
              <w:ind w:left="843"/>
              <w:spacing w:after="0"/>
              <w:rPr>
                <w:sz w:val="20"/>
                <w:szCs w:val="20"/>
                <w:color w:val="auto"/>
              </w:rPr>
            </w:pPr>
            <w:r>
              <w:rPr>
                <w:rFonts w:ascii="Arial" w:cs="Arial" w:eastAsia="Arial" w:hAnsi="Arial"/>
                <w:sz w:val="15"/>
                <w:szCs w:val="15"/>
                <w:color w:val="auto"/>
                <w:w w:val="95"/>
              </w:rPr>
              <w:t>6</w:t>
            </w:r>
          </w:p>
        </w:tc>
      </w:tr>
      <w:tr>
        <w:trPr>
          <w:trHeight w:val="207"/>
        </w:trPr>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Interest income</w:t>
            </w:r>
          </w:p>
        </w:tc>
        <w:tc>
          <w:tcPr>
            <w:tcW w:w="9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723"/>
              <w:spacing w:after="0"/>
              <w:rPr>
                <w:sz w:val="20"/>
                <w:szCs w:val="20"/>
                <w:color w:val="auto"/>
              </w:rPr>
            </w:pPr>
            <w:r>
              <w:rPr>
                <w:rFonts w:ascii="Arial" w:cs="Arial" w:eastAsia="Arial" w:hAnsi="Arial"/>
                <w:sz w:val="15"/>
                <w:szCs w:val="15"/>
                <w:b w:val="1"/>
                <w:bCs w:val="1"/>
                <w:color w:val="auto"/>
                <w:w w:val="97"/>
              </w:rPr>
              <w:t>(4)</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743"/>
              <w:spacing w:after="0"/>
              <w:rPr>
                <w:sz w:val="20"/>
                <w:szCs w:val="20"/>
                <w:color w:val="auto"/>
              </w:rPr>
            </w:pPr>
            <w:r>
              <w:rPr>
                <w:rFonts w:ascii="Arial" w:cs="Arial" w:eastAsia="Arial" w:hAnsi="Arial"/>
                <w:sz w:val="15"/>
                <w:szCs w:val="15"/>
                <w:color w:val="auto"/>
              </w:rPr>
              <w:t>(2)</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723"/>
              <w:spacing w:after="0"/>
              <w:rPr>
                <w:sz w:val="20"/>
                <w:szCs w:val="20"/>
                <w:color w:val="auto"/>
              </w:rPr>
            </w:pPr>
            <w:r>
              <w:rPr>
                <w:rFonts w:ascii="Arial" w:cs="Arial" w:eastAsia="Arial" w:hAnsi="Arial"/>
                <w:sz w:val="15"/>
                <w:szCs w:val="15"/>
                <w:b w:val="1"/>
                <w:bCs w:val="1"/>
                <w:color w:val="auto"/>
              </w:rPr>
              <w:t>(7)</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823"/>
              <w:spacing w:after="0"/>
              <w:rPr>
                <w:sz w:val="20"/>
                <w:szCs w:val="20"/>
                <w:color w:val="auto"/>
              </w:rPr>
            </w:pPr>
            <w:r>
              <w:rPr>
                <w:rFonts w:ascii="Arial" w:cs="Arial" w:eastAsia="Arial" w:hAnsi="Arial"/>
                <w:sz w:val="15"/>
                <w:szCs w:val="15"/>
                <w:color w:val="auto"/>
                <w:w w:val="97"/>
              </w:rPr>
              <w:t>(5)</w:t>
            </w:r>
          </w:p>
        </w:tc>
      </w:tr>
      <w:tr>
        <w:trPr>
          <w:trHeight w:val="179"/>
        </w:trPr>
        <w:tc>
          <w:tcPr>
            <w:tcW w:w="2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Interest (income) / expense, net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shd w:val="clear" w:color="auto" w:fill="CCEEFF"/>
          </w:tcPr>
          <w:p>
            <w:pPr>
              <w:jc w:val="center"/>
              <w:ind w:left="723"/>
              <w:spacing w:after="0"/>
              <w:rPr>
                <w:sz w:val="20"/>
                <w:szCs w:val="20"/>
                <w:color w:val="auto"/>
              </w:rPr>
            </w:pPr>
            <w:r>
              <w:rPr>
                <w:rFonts w:ascii="Arial" w:cs="Arial" w:eastAsia="Arial" w:hAnsi="Arial"/>
                <w:sz w:val="15"/>
                <w:szCs w:val="15"/>
                <w:b w:val="1"/>
                <w:bCs w:val="1"/>
                <w:color w:val="auto"/>
                <w:w w:val="97"/>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center"/>
              <w:ind w:left="743"/>
              <w:spacing w:after="0"/>
              <w:rPr>
                <w:sz w:val="20"/>
                <w:szCs w:val="20"/>
                <w:color w:val="auto"/>
              </w:rPr>
            </w:pPr>
            <w:r>
              <w:rPr>
                <w:rFonts w:ascii="Arial" w:cs="Arial" w:eastAsia="Arial" w:hAnsi="Arial"/>
                <w:sz w:val="15"/>
                <w:szCs w:val="15"/>
                <w:color w:val="auto"/>
                <w:w w:val="95"/>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shd w:val="clear" w:color="auto" w:fill="CCEEFF"/>
          </w:tcPr>
          <w:p>
            <w:pPr>
              <w:jc w:val="center"/>
              <w:ind w:left="723"/>
              <w:spacing w:after="0"/>
              <w:rPr>
                <w:sz w:val="20"/>
                <w:szCs w:val="20"/>
                <w:color w:val="auto"/>
              </w:rPr>
            </w:pPr>
            <w:r>
              <w:rPr>
                <w:rFonts w:ascii="Arial" w:cs="Arial" w:eastAsia="Arial" w:hAnsi="Arial"/>
                <w:sz w:val="15"/>
                <w:szCs w:val="15"/>
                <w:b w:val="1"/>
                <w:bCs w:val="1"/>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center"/>
              <w:ind w:left="843"/>
              <w:spacing w:after="0"/>
              <w:rPr>
                <w:sz w:val="20"/>
                <w:szCs w:val="20"/>
                <w:color w:val="auto"/>
              </w:rPr>
            </w:pPr>
            <w:r>
              <w:rPr>
                <w:rFonts w:ascii="Arial" w:cs="Arial" w:eastAsia="Arial" w:hAnsi="Arial"/>
                <w:sz w:val="15"/>
                <w:szCs w:val="15"/>
                <w:color w:val="auto"/>
                <w:w w:val="95"/>
              </w:rPr>
              <w:t>1</w:t>
            </w:r>
          </w:p>
        </w:tc>
      </w:tr>
    </w:tbl>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Interest income increased by $2 million for both the thirteen and twenty-six weeks ended July 29, 2017, as compared with the corresponding prior-year periods, due to higher average interest rates earned on our cash investments.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Income Taxes</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recorded income tax provisions of $22 million and $111 million, which represented effective tax rates of 30.9 percent and 32.6 percent for the thirteen and twenty-six weeks ended July 29, 2017, respectively. For the thirteen and twenty-six weeks ended July 30, 2016, the Company recorded income tax provisions of $71 million and $178 million, which represented an effective tax rate of 35.9 percent for both periods. The Company’s interim provision for income taxes is measured using an annual effective tax rate adjusted for discrete items that occur within the periods presented.</w:t>
      </w:r>
    </w:p>
    <w:p>
      <w:pPr>
        <w:spacing w:after="0" w:line="7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regularly assesses the adequacy of its provisions for income tax contingencies in accordance with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The changes in the tax reserves were not significant for any of the periods presented.</w:t>
      </w:r>
    </w:p>
    <w:p>
      <w:pPr>
        <w:spacing w:after="0" w:line="9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Company adopted ASU 2016-09 during the first quarter of 2017 requiring excess tax benefits or deficiencies from share-based compensation to be recorded as a component of the income tax provision, rather than to equity. The excess tax benefits recorded in the thirteen weeks ended July 29, 2017 were not significant. For the twenty-six weeks ended July 29, 2017, the excess tax benefits recognized were $7 million.</w:t>
      </w:r>
    </w:p>
    <w:p>
      <w:pPr>
        <w:spacing w:after="0" w:line="9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For the thirteen and twenty-six weeks ended July 29, 2017, the Company recorded a pension-related litigation charge of $50 million with a related tax benefit of $20 million. This litigation charge reduced the overall effective rate because it reduced the proportion of the Company’s worldwide income taxed in the United States, where the tax rates are the highest.</w:t>
      </w:r>
    </w:p>
    <w:p>
      <w:pPr>
        <w:spacing w:after="0" w:line="6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Excluding the excess tax benefits and the impact of the litigation charge, the effective tax rate for the thirteen and twenty-six weeks ended July 29, 2017 decreased as compared with the corresponding prior-year periods primarily due to a higher proportion of income earned in international jurisdictions with lower tax rates.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Company currently expects its full-year tax rate to approximate 34 percent excluding the effect of any nonrecurring items that may occur. The actual tax rate will vary depending on the level of stock option exercise activity and the stock price at exercise. Additionally, the actual tax rate will also vary depending on the level and mix of income earned in the United States, as compared with our international operations.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08" w:right="1399" w:bottom="1440" w:gutter="0" w:footer="0" w:header="0"/>
        </w:sectPr>
      </w:pPr>
    </w:p>
    <w:bookmarkStart w:id="21" w:name="page22"/>
    <w:bookmarkEnd w:id="21"/>
    <w:p>
      <w:pPr>
        <w:spacing w:after="0"/>
        <w:rPr>
          <w:sz w:val="20"/>
          <w:szCs w:val="20"/>
          <w:color w:val="auto"/>
        </w:rPr>
      </w:pPr>
      <w:r>
        <w:rPr>
          <w:rFonts w:ascii="Arial" w:cs="Arial" w:eastAsia="Arial" w:hAnsi="Arial"/>
          <w:sz w:val="15"/>
          <w:szCs w:val="15"/>
          <w:i w:val="1"/>
          <w:iCs w:val="1"/>
          <w:u w:val="single" w:color="auto"/>
          <w:color w:val="auto"/>
        </w:rPr>
        <w:t>Net Income</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For the thirteen weeks ended July 29, 2017, net income decreased by $76 million, or 60 percent, and diluted earnings per share decreased by 59 percent to $0.39 per share, as compared with the corresponding prior-year period. For the twenty-six weeks ended July 29, 2017, net income decreased by $87 million, or 27 percent, and diluted earnings per share decreased by 25 percent to $1.74 per share, as compared with the corresponding prior-year period.</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have two reportable segments, Athletic Stores and Direct-to-Customers, which are based on our method of internal reporting. We evaluate performance based on several factors, the primary financial measure of which is division results. Division profit reflects income before income taxes, pension litigation charge, corporate expense, non-operating income, and net interest (income) / expense. The following table summarizes results by segment: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ind w:left="360"/>
              <w:spacing w:after="0"/>
              <w:rPr>
                <w:sz w:val="20"/>
                <w:szCs w:val="20"/>
                <w:color w:val="auto"/>
              </w:rPr>
            </w:pPr>
            <w:r>
              <w:rPr>
                <w:rFonts w:ascii="Arial" w:cs="Arial" w:eastAsia="Arial" w:hAnsi="Arial"/>
                <w:sz w:val="15"/>
                <w:szCs w:val="15"/>
                <w:b w:val="1"/>
                <w:bCs w:val="1"/>
                <w:color w:val="auto"/>
              </w:rPr>
              <w:t>Thirteen weeks ended</w:t>
            </w: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323"/>
              <w:spacing w:after="0"/>
              <w:rPr>
                <w:sz w:val="20"/>
                <w:szCs w:val="20"/>
                <w:color w:val="auto"/>
              </w:rPr>
            </w:pPr>
            <w:r>
              <w:rPr>
                <w:rFonts w:ascii="Arial" w:cs="Arial" w:eastAsia="Arial" w:hAnsi="Arial"/>
                <w:sz w:val="15"/>
                <w:szCs w:val="15"/>
                <w:b w:val="1"/>
                <w:bCs w:val="1"/>
                <w:color w:val="auto"/>
              </w:rPr>
              <w:t>Twenty-six weeks ended</w:t>
            </w:r>
          </w:p>
        </w:tc>
      </w:tr>
      <w:tr>
        <w:trPr>
          <w:trHeight w:val="187"/>
        </w:trPr>
        <w:tc>
          <w:tcPr>
            <w:tcW w:w="3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July 29, 2017</w:t>
            </w: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July 30, 2016</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July 29, 2017</w:t>
            </w:r>
          </w:p>
        </w:tc>
        <w:tc>
          <w:tcPr>
            <w:tcW w:w="12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July 30, 2016</w:t>
            </w:r>
          </w:p>
        </w:tc>
      </w:tr>
      <w:tr>
        <w:trPr>
          <w:trHeight w:val="175"/>
        </w:trPr>
        <w:tc>
          <w:tcPr>
            <w:tcW w:w="3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60" w:type="dxa"/>
            <w:vAlign w:val="bottom"/>
            <w:gridSpan w:val="3"/>
          </w:tcPr>
          <w:p>
            <w:pPr>
              <w:jc w:val="right"/>
              <w:ind w:right="883"/>
              <w:spacing w:after="0"/>
              <w:rPr>
                <w:sz w:val="20"/>
                <w:szCs w:val="20"/>
                <w:color w:val="auto"/>
              </w:rPr>
            </w:pPr>
            <w:r>
              <w:rPr>
                <w:rFonts w:ascii="Arial" w:cs="Arial" w:eastAsia="Arial" w:hAnsi="Arial"/>
                <w:sz w:val="15"/>
                <w:szCs w:val="15"/>
                <w:color w:val="auto"/>
              </w:rPr>
              <w:t>($ in millions)</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5"/>
        </w:trPr>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5"/>
        </w:trPr>
        <w:tc>
          <w:tcPr>
            <w:tcW w:w="3660" w:type="dxa"/>
            <w:vAlign w:val="bottom"/>
          </w:tcPr>
          <w:p>
            <w:pPr>
              <w:spacing w:after="0"/>
              <w:rPr>
                <w:sz w:val="20"/>
                <w:szCs w:val="20"/>
                <w:color w:val="auto"/>
              </w:rPr>
            </w:pPr>
            <w:r>
              <w:rPr>
                <w:rFonts w:ascii="Arial" w:cs="Arial" w:eastAsia="Arial" w:hAnsi="Arial"/>
                <w:sz w:val="15"/>
                <w:szCs w:val="15"/>
                <w:color w:val="auto"/>
              </w:rPr>
              <w:t>Athletic Stores</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103"/>
              <w:spacing w:after="0"/>
              <w:rPr>
                <w:sz w:val="20"/>
                <w:szCs w:val="20"/>
                <w:color w:val="auto"/>
              </w:rPr>
            </w:pPr>
            <w:r>
              <w:rPr>
                <w:rFonts w:ascii="Arial" w:cs="Arial" w:eastAsia="Arial" w:hAnsi="Arial"/>
                <w:sz w:val="15"/>
                <w:szCs w:val="15"/>
                <w:b w:val="1"/>
                <w:bCs w:val="1"/>
                <w:color w:val="auto"/>
              </w:rPr>
              <w:t>1,485</w:t>
            </w:r>
          </w:p>
        </w:tc>
        <w:tc>
          <w:tcPr>
            <w:tcW w:w="780" w:type="dxa"/>
            <w:vAlign w:val="bottom"/>
          </w:tcPr>
          <w:p>
            <w:pPr>
              <w:ind w:left="14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63"/>
              <w:spacing w:after="0"/>
              <w:rPr>
                <w:sz w:val="20"/>
                <w:szCs w:val="20"/>
                <w:color w:val="auto"/>
              </w:rPr>
            </w:pPr>
            <w:r>
              <w:rPr>
                <w:rFonts w:ascii="Arial" w:cs="Arial" w:eastAsia="Arial" w:hAnsi="Arial"/>
                <w:sz w:val="15"/>
                <w:szCs w:val="15"/>
                <w:color w:val="auto"/>
              </w:rPr>
              <w:t>1,576</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03"/>
              <w:spacing w:after="0"/>
              <w:rPr>
                <w:sz w:val="20"/>
                <w:szCs w:val="20"/>
                <w:color w:val="auto"/>
              </w:rPr>
            </w:pPr>
            <w:r>
              <w:rPr>
                <w:rFonts w:ascii="Arial" w:cs="Arial" w:eastAsia="Arial" w:hAnsi="Arial"/>
                <w:sz w:val="15"/>
                <w:szCs w:val="15"/>
                <w:b w:val="1"/>
                <w:bCs w:val="1"/>
                <w:color w:val="auto"/>
              </w:rPr>
              <w:t>3,207</w:t>
            </w:r>
          </w:p>
        </w:tc>
        <w:tc>
          <w:tcPr>
            <w:tcW w:w="5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3,311</w:t>
            </w:r>
          </w:p>
        </w:tc>
      </w:tr>
      <w:tr>
        <w:trPr>
          <w:trHeight w:val="195"/>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Direct-to-Customers</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216</w:t>
            </w:r>
          </w:p>
        </w:tc>
        <w:tc>
          <w:tcPr>
            <w:tcW w:w="7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204</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495</w:t>
            </w:r>
          </w:p>
        </w:tc>
        <w:tc>
          <w:tcPr>
            <w:tcW w:w="5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456</w:t>
            </w:r>
          </w:p>
        </w:tc>
      </w:tr>
      <w:tr>
        <w:trPr>
          <w:trHeight w:val="175"/>
        </w:trPr>
        <w:tc>
          <w:tcPr>
            <w:tcW w:w="3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1,701</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1,780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3,702</w:t>
            </w:r>
          </w:p>
        </w:tc>
        <w:tc>
          <w:tcPr>
            <w:tcW w:w="5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3,767</w:t>
            </w:r>
          </w:p>
        </w:tc>
      </w:tr>
      <w:tr>
        <w:trPr>
          <w:trHeight w:val="175"/>
        </w:trPr>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Results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5"/>
        </w:trPr>
        <w:tc>
          <w:tcPr>
            <w:tcW w:w="3660" w:type="dxa"/>
            <w:vAlign w:val="bottom"/>
          </w:tcPr>
          <w:p>
            <w:pPr>
              <w:spacing w:after="0"/>
              <w:rPr>
                <w:sz w:val="20"/>
                <w:szCs w:val="20"/>
                <w:color w:val="auto"/>
              </w:rPr>
            </w:pPr>
            <w:r>
              <w:rPr>
                <w:rFonts w:ascii="Arial" w:cs="Arial" w:eastAsia="Arial" w:hAnsi="Arial"/>
                <w:sz w:val="15"/>
                <w:szCs w:val="15"/>
                <w:color w:val="auto"/>
              </w:rPr>
              <w:t>Athletic Stores</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103"/>
              <w:spacing w:after="0"/>
              <w:rPr>
                <w:sz w:val="20"/>
                <w:szCs w:val="20"/>
                <w:color w:val="auto"/>
              </w:rPr>
            </w:pPr>
            <w:r>
              <w:rPr>
                <w:rFonts w:ascii="Arial" w:cs="Arial" w:eastAsia="Arial" w:hAnsi="Arial"/>
                <w:sz w:val="15"/>
                <w:szCs w:val="15"/>
                <w:b w:val="1"/>
                <w:bCs w:val="1"/>
                <w:color w:val="auto"/>
              </w:rPr>
              <w:t>109</w:t>
            </w:r>
          </w:p>
        </w:tc>
        <w:tc>
          <w:tcPr>
            <w:tcW w:w="780" w:type="dxa"/>
            <w:vAlign w:val="bottom"/>
          </w:tcPr>
          <w:p>
            <w:pPr>
              <w:ind w:left="14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63"/>
              <w:spacing w:after="0"/>
              <w:rPr>
                <w:sz w:val="20"/>
                <w:szCs w:val="20"/>
                <w:color w:val="auto"/>
              </w:rPr>
            </w:pPr>
            <w:r>
              <w:rPr>
                <w:rFonts w:ascii="Arial" w:cs="Arial" w:eastAsia="Arial" w:hAnsi="Arial"/>
                <w:sz w:val="15"/>
                <w:szCs w:val="15"/>
                <w:color w:val="auto"/>
              </w:rPr>
              <w:t>193</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03"/>
              <w:spacing w:after="0"/>
              <w:rPr>
                <w:sz w:val="20"/>
                <w:szCs w:val="20"/>
                <w:color w:val="auto"/>
              </w:rPr>
            </w:pPr>
            <w:r>
              <w:rPr>
                <w:rFonts w:ascii="Arial" w:cs="Arial" w:eastAsia="Arial" w:hAnsi="Arial"/>
                <w:sz w:val="15"/>
                <w:szCs w:val="15"/>
                <w:b w:val="1"/>
                <w:bCs w:val="1"/>
                <w:color w:val="auto"/>
              </w:rPr>
              <w:t>350</w:t>
            </w:r>
          </w:p>
        </w:tc>
        <w:tc>
          <w:tcPr>
            <w:tcW w:w="5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470</w:t>
            </w:r>
          </w:p>
        </w:tc>
      </w:tr>
      <w:tr>
        <w:trPr>
          <w:trHeight w:val="195"/>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Direct-to-Customers</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20</w:t>
            </w:r>
          </w:p>
        </w:tc>
        <w:tc>
          <w:tcPr>
            <w:tcW w:w="7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22</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62</w:t>
            </w:r>
          </w:p>
        </w:tc>
        <w:tc>
          <w:tcPr>
            <w:tcW w:w="5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175"/>
        </w:trPr>
        <w:tc>
          <w:tcPr>
            <w:tcW w:w="3660" w:type="dxa"/>
            <w:vAlign w:val="bottom"/>
          </w:tcPr>
          <w:p>
            <w:pPr>
              <w:spacing w:after="0"/>
              <w:rPr>
                <w:sz w:val="20"/>
                <w:szCs w:val="20"/>
                <w:color w:val="auto"/>
              </w:rPr>
            </w:pPr>
            <w:r>
              <w:rPr>
                <w:rFonts w:ascii="Arial" w:cs="Arial" w:eastAsia="Arial" w:hAnsi="Arial"/>
                <w:sz w:val="15"/>
                <w:szCs w:val="15"/>
                <w:color w:val="auto"/>
              </w:rPr>
              <w:t>Division profit</w:t>
            </w:r>
          </w:p>
        </w:tc>
        <w:tc>
          <w:tcPr>
            <w:tcW w:w="240" w:type="dxa"/>
            <w:vAlign w:val="bottom"/>
          </w:tcPr>
          <w:p>
            <w:pPr>
              <w:spacing w:after="0"/>
              <w:rPr>
                <w:sz w:val="15"/>
                <w:szCs w:val="15"/>
                <w:color w:val="auto"/>
              </w:rPr>
            </w:pPr>
          </w:p>
        </w:tc>
        <w:tc>
          <w:tcPr>
            <w:tcW w:w="1220" w:type="dxa"/>
            <w:vAlign w:val="bottom"/>
          </w:tcPr>
          <w:p>
            <w:pPr>
              <w:jc w:val="right"/>
              <w:ind w:right="103"/>
              <w:spacing w:after="0"/>
              <w:rPr>
                <w:sz w:val="20"/>
                <w:szCs w:val="20"/>
                <w:color w:val="auto"/>
              </w:rPr>
            </w:pPr>
            <w:r>
              <w:rPr>
                <w:rFonts w:ascii="Arial" w:cs="Arial" w:eastAsia="Arial" w:hAnsi="Arial"/>
                <w:sz w:val="15"/>
                <w:szCs w:val="15"/>
                <w:b w:val="1"/>
                <w:bCs w:val="1"/>
                <w:color w:val="auto"/>
              </w:rPr>
              <w:t>129</w:t>
            </w:r>
          </w:p>
        </w:tc>
        <w:tc>
          <w:tcPr>
            <w:tcW w:w="780" w:type="dxa"/>
            <w:vAlign w:val="bottom"/>
          </w:tcPr>
          <w:p>
            <w:pPr>
              <w:spacing w:after="0"/>
              <w:rPr>
                <w:sz w:val="15"/>
                <w:szCs w:val="15"/>
                <w:color w:val="auto"/>
              </w:rPr>
            </w:pPr>
          </w:p>
        </w:tc>
        <w:tc>
          <w:tcPr>
            <w:tcW w:w="540" w:type="dxa"/>
            <w:vAlign w:val="bottom"/>
          </w:tcPr>
          <w:p>
            <w:pPr>
              <w:jc w:val="right"/>
              <w:ind w:right="63"/>
              <w:spacing w:after="0"/>
              <w:rPr>
                <w:sz w:val="20"/>
                <w:szCs w:val="20"/>
                <w:color w:val="auto"/>
              </w:rPr>
            </w:pPr>
            <w:r>
              <w:rPr>
                <w:rFonts w:ascii="Arial" w:cs="Arial" w:eastAsia="Arial" w:hAnsi="Arial"/>
                <w:sz w:val="15"/>
                <w:szCs w:val="15"/>
                <w:color w:val="auto"/>
              </w:rPr>
              <w:t>215</w:t>
            </w:r>
          </w:p>
        </w:tc>
        <w:tc>
          <w:tcPr>
            <w:tcW w:w="180" w:type="dxa"/>
            <w:vAlign w:val="bottom"/>
          </w:tcPr>
          <w:p>
            <w:pPr>
              <w:spacing w:after="0"/>
              <w:rPr>
                <w:sz w:val="15"/>
                <w:szCs w:val="15"/>
                <w:color w:val="auto"/>
              </w:rPr>
            </w:pPr>
          </w:p>
        </w:tc>
        <w:tc>
          <w:tcPr>
            <w:tcW w:w="1240" w:type="dxa"/>
            <w:vAlign w:val="bottom"/>
          </w:tcPr>
          <w:p>
            <w:pPr>
              <w:jc w:val="right"/>
              <w:ind w:right="103"/>
              <w:spacing w:after="0"/>
              <w:rPr>
                <w:sz w:val="20"/>
                <w:szCs w:val="20"/>
                <w:color w:val="auto"/>
              </w:rPr>
            </w:pPr>
            <w:r>
              <w:rPr>
                <w:rFonts w:ascii="Arial" w:cs="Arial" w:eastAsia="Arial" w:hAnsi="Arial"/>
                <w:sz w:val="15"/>
                <w:szCs w:val="15"/>
                <w:b w:val="1"/>
                <w:bCs w:val="1"/>
                <w:color w:val="auto"/>
              </w:rPr>
              <w:t>412</w:t>
            </w:r>
          </w:p>
        </w:tc>
        <w:tc>
          <w:tcPr>
            <w:tcW w:w="5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530</w:t>
            </w:r>
          </w:p>
        </w:tc>
      </w:tr>
      <w:tr>
        <w:trPr>
          <w:trHeight w:val="195"/>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Less: Pension litigation charge </w:t>
            </w:r>
            <w:r>
              <w:rPr>
                <w:rFonts w:ascii="Arial" w:cs="Arial" w:eastAsia="Arial" w:hAnsi="Arial"/>
                <w:sz w:val="8"/>
                <w:szCs w:val="8"/>
                <w:color w:val="auto"/>
              </w:rPr>
              <w:t>(1)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50</w:t>
            </w: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50</w:t>
            </w: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3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Less: Corporate expense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7</w:t>
            </w:r>
          </w:p>
        </w:tc>
        <w:tc>
          <w:tcPr>
            <w:tcW w:w="7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17</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22</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r>
      <w:tr>
        <w:trPr>
          <w:trHeight w:val="175"/>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Operating profit</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72</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198</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340</w:t>
            </w: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w:t>
            </w:r>
          </w:p>
        </w:tc>
      </w:tr>
      <w:tr>
        <w:trPr>
          <w:trHeight w:val="195"/>
        </w:trPr>
        <w:tc>
          <w:tcPr>
            <w:tcW w:w="3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(2)</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r>
      <w:tr>
        <w:trPr>
          <w:trHeight w:val="381"/>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Earnings before interest expense and income taxes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72</w:t>
            </w:r>
          </w:p>
        </w:tc>
        <w:tc>
          <w:tcPr>
            <w:tcW w:w="7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199</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341</w:t>
            </w:r>
          </w:p>
        </w:tc>
        <w:tc>
          <w:tcPr>
            <w:tcW w:w="5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w:t>
            </w:r>
          </w:p>
        </w:tc>
      </w:tr>
      <w:tr>
        <w:trPr>
          <w:trHeight w:val="195"/>
        </w:trPr>
        <w:tc>
          <w:tcPr>
            <w:tcW w:w="3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Interest (income) / expense, net</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w:t>
            </w:r>
          </w:p>
        </w:tc>
        <w:tc>
          <w:tcPr>
            <w:tcW w:w="7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7"/>
        </w:trPr>
        <w:tc>
          <w:tcPr>
            <w:tcW w:w="366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Income before income taxes</w:t>
            </w:r>
          </w:p>
        </w:tc>
        <w:tc>
          <w:tcPr>
            <w:tcW w:w="2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shd w:val="clear" w:color="auto" w:fill="CCEEFF"/>
          </w:tcPr>
          <w:p>
            <w:pPr>
              <w:jc w:val="right"/>
              <w:ind w:right="103"/>
              <w:spacing w:after="0" w:line="163" w:lineRule="exact"/>
              <w:rPr>
                <w:sz w:val="20"/>
                <w:szCs w:val="20"/>
                <w:color w:val="auto"/>
              </w:rPr>
            </w:pPr>
            <w:r>
              <w:rPr>
                <w:rFonts w:ascii="Arial" w:cs="Arial" w:eastAsia="Arial" w:hAnsi="Arial"/>
                <w:sz w:val="15"/>
                <w:szCs w:val="15"/>
                <w:b w:val="1"/>
                <w:bCs w:val="1"/>
                <w:color w:val="auto"/>
              </w:rPr>
              <w:t>73</w:t>
            </w:r>
          </w:p>
        </w:tc>
        <w:tc>
          <w:tcPr>
            <w:tcW w:w="780" w:type="dxa"/>
            <w:vAlign w:val="bottom"/>
            <w:tcBorders>
              <w:bottom w:val="single" w:sz="8" w:color="auto"/>
            </w:tcBorders>
            <w:shd w:val="clear" w:color="auto" w:fill="CCEEFF"/>
          </w:tcPr>
          <w:p>
            <w:pPr>
              <w:ind w:left="140"/>
              <w:spacing w:after="0" w:line="163"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ind w:right="63"/>
              <w:spacing w:after="0" w:line="163" w:lineRule="exact"/>
              <w:rPr>
                <w:sz w:val="20"/>
                <w:szCs w:val="20"/>
                <w:color w:val="auto"/>
              </w:rPr>
            </w:pPr>
            <w:r>
              <w:rPr>
                <w:rFonts w:ascii="Arial" w:cs="Arial" w:eastAsia="Arial" w:hAnsi="Arial"/>
                <w:sz w:val="15"/>
                <w:szCs w:val="15"/>
                <w:color w:val="auto"/>
              </w:rPr>
              <w:t>198</w:t>
            </w:r>
          </w:p>
        </w:tc>
        <w:tc>
          <w:tcPr>
            <w:tcW w:w="1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shd w:val="clear" w:color="auto" w:fill="CCEEFF"/>
          </w:tcPr>
          <w:p>
            <w:pPr>
              <w:jc w:val="right"/>
              <w:ind w:right="103"/>
              <w:spacing w:after="0" w:line="163" w:lineRule="exact"/>
              <w:rPr>
                <w:sz w:val="20"/>
                <w:szCs w:val="20"/>
                <w:color w:val="auto"/>
              </w:rPr>
            </w:pPr>
            <w:r>
              <w:rPr>
                <w:rFonts w:ascii="Arial" w:cs="Arial" w:eastAsia="Arial" w:hAnsi="Arial"/>
                <w:sz w:val="15"/>
                <w:szCs w:val="15"/>
                <w:b w:val="1"/>
                <w:bCs w:val="1"/>
                <w:color w:val="auto"/>
              </w:rPr>
              <w:t>342</w:t>
            </w:r>
          </w:p>
        </w:tc>
        <w:tc>
          <w:tcPr>
            <w:tcW w:w="520" w:type="dxa"/>
            <w:vAlign w:val="bottom"/>
            <w:tcBorders>
              <w:bottom w:val="single" w:sz="8" w:color="auto"/>
            </w:tcBorders>
            <w:shd w:val="clear" w:color="auto" w:fill="CCEEFF"/>
          </w:tcPr>
          <w:p>
            <w:pPr>
              <w:jc w:val="right"/>
              <w:ind w:right="223"/>
              <w:spacing w:after="0" w:line="163"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496</w:t>
            </w:r>
          </w:p>
        </w:tc>
      </w:tr>
    </w:tbl>
    <w:p>
      <w:pPr>
        <w:spacing w:after="0" w:line="158" w:lineRule="exact"/>
        <w:rPr>
          <w:sz w:val="20"/>
          <w:szCs w:val="20"/>
          <w:color w:val="auto"/>
        </w:rPr>
      </w:pPr>
    </w:p>
    <w:p>
      <w:pPr>
        <w:ind w:left="280" w:hanging="275"/>
        <w:spacing w:after="0" w:line="246" w:lineRule="auto"/>
        <w:tabs>
          <w:tab w:leader="none" w:pos="280" w:val="left"/>
        </w:tabs>
        <w:numPr>
          <w:ilvl w:val="0"/>
          <w:numId w:val="7"/>
        </w:numPr>
        <w:rPr>
          <w:rFonts w:ascii="Arial" w:cs="Arial" w:eastAsia="Arial" w:hAnsi="Arial"/>
          <w:sz w:val="11"/>
          <w:szCs w:val="11"/>
          <w:color w:val="auto"/>
        </w:rPr>
      </w:pPr>
      <w:r>
        <w:rPr>
          <w:rFonts w:ascii="Arial" w:cs="Arial" w:eastAsia="Arial" w:hAnsi="Arial"/>
          <w:sz w:val="12"/>
          <w:szCs w:val="12"/>
          <w:color w:val="auto"/>
        </w:rPr>
        <w:t xml:space="preserve">Included in the thirteen and twenty-six weeks ended July 29, 2017 is a pre-tax litigation charge of $50 million relating to a pension litigation matter described further in Note 12, </w:t>
      </w:r>
      <w:r>
        <w:rPr>
          <w:rFonts w:ascii="Arial" w:cs="Arial" w:eastAsia="Arial" w:hAnsi="Arial"/>
          <w:sz w:val="12"/>
          <w:szCs w:val="12"/>
          <w:i w:val="1"/>
          <w:iCs w:val="1"/>
          <w:color w:val="auto"/>
        </w:rPr>
        <w:t>Legal Proceedings</w:t>
      </w:r>
      <w:r>
        <w:rPr>
          <w:rFonts w:ascii="Arial" w:cs="Arial" w:eastAsia="Arial" w:hAnsi="Arial"/>
          <w:sz w:val="12"/>
          <w:szCs w:val="12"/>
          <w:color w:val="auto"/>
        </w:rPr>
        <w:t>.</w:t>
      </w:r>
    </w:p>
    <w:p>
      <w:pPr>
        <w:spacing w:after="0" w:line="57" w:lineRule="exact"/>
        <w:rPr>
          <w:rFonts w:ascii="Arial" w:cs="Arial" w:eastAsia="Arial" w:hAnsi="Arial"/>
          <w:sz w:val="11"/>
          <w:szCs w:val="11"/>
          <w:color w:val="auto"/>
        </w:rPr>
      </w:pPr>
    </w:p>
    <w:p>
      <w:pPr>
        <w:ind w:left="280" w:hanging="275"/>
        <w:spacing w:after="0" w:line="246" w:lineRule="auto"/>
        <w:tabs>
          <w:tab w:leader="none" w:pos="280" w:val="left"/>
        </w:tabs>
        <w:numPr>
          <w:ilvl w:val="0"/>
          <w:numId w:val="7"/>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royalty income, insurance recoveries and the changes in fair value, premiums paid, and realized gains and losses associated with foreign currency option contracts.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gridSpan w:val="2"/>
          </w:tcPr>
          <w:p>
            <w:pPr>
              <w:spacing w:after="0"/>
              <w:rPr>
                <w:sz w:val="20"/>
                <w:szCs w:val="20"/>
                <w:color w:val="auto"/>
              </w:rPr>
            </w:pPr>
            <w:r>
              <w:rPr>
                <w:rFonts w:ascii="Arial" w:cs="Arial" w:eastAsia="Arial" w:hAnsi="Arial"/>
                <w:sz w:val="15"/>
                <w:szCs w:val="15"/>
                <w:i w:val="1"/>
                <w:iCs w:val="1"/>
                <w:color w:val="auto"/>
              </w:rPr>
              <w:t>Athletic Stores</w:t>
            </w:r>
          </w:p>
        </w:tc>
        <w:tc>
          <w:tcPr>
            <w:tcW w:w="1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5"/>
        </w:trPr>
        <w:tc>
          <w:tcPr>
            <w:tcW w:w="1000" w:type="dxa"/>
            <w:vAlign w:val="bottom"/>
            <w:tcBorders>
              <w:top w:val="single" w:sz="8" w:color="auto"/>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Thirteen weeks ended</w:t>
            </w: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5"/>
                <w:szCs w:val="15"/>
                <w:b w:val="1"/>
                <w:bCs w:val="1"/>
                <w:color w:val="auto"/>
              </w:rPr>
              <w:t>Twenty-six weeks ended</w:t>
            </w:r>
          </w:p>
        </w:tc>
      </w:tr>
      <w:tr>
        <w:trPr>
          <w:trHeight w:val="187"/>
        </w:trPr>
        <w:tc>
          <w:tcPr>
            <w:tcW w:w="10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2"/>
          </w:tcPr>
          <w:p>
            <w:pPr>
              <w:ind w:left="1180"/>
              <w:spacing w:after="0"/>
              <w:rPr>
                <w:sz w:val="20"/>
                <w:szCs w:val="20"/>
                <w:color w:val="auto"/>
              </w:rPr>
            </w:pPr>
            <w:r>
              <w:rPr>
                <w:rFonts w:ascii="Arial" w:cs="Arial" w:eastAsia="Arial" w:hAnsi="Arial"/>
                <w:sz w:val="15"/>
                <w:szCs w:val="15"/>
                <w:b w:val="1"/>
                <w:bCs w:val="1"/>
                <w:color w:val="auto"/>
              </w:rPr>
              <w:t>July 29, 2017</w:t>
            </w: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July 30, 2016</w:t>
            </w: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July 29, 2017</w:t>
            </w: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July 30, 2016</w:t>
            </w:r>
          </w:p>
        </w:tc>
      </w:tr>
      <w:tr>
        <w:trPr>
          <w:trHeight w:val="187"/>
        </w:trPr>
        <w:tc>
          <w:tcPr>
            <w:tcW w:w="10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80" w:type="dxa"/>
            <w:vAlign w:val="bottom"/>
            <w:gridSpan w:val="3"/>
          </w:tcPr>
          <w:p>
            <w:pPr>
              <w:jc w:val="right"/>
              <w:ind w:right="903"/>
              <w:spacing w:after="0"/>
              <w:rPr>
                <w:sz w:val="20"/>
                <w:szCs w:val="20"/>
                <w:color w:val="auto"/>
              </w:rPr>
            </w:pPr>
            <w:r>
              <w:rPr>
                <w:rFonts w:ascii="Arial" w:cs="Arial" w:eastAsia="Arial" w:hAnsi="Arial"/>
                <w:sz w:val="15"/>
                <w:szCs w:val="15"/>
                <w:color w:val="auto"/>
              </w:rPr>
              <w:t>($ in millions)</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7"/>
        </w:trPr>
        <w:tc>
          <w:tcPr>
            <w:tcW w:w="2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w:t>
            </w:r>
          </w:p>
        </w:tc>
        <w:tc>
          <w:tcPr>
            <w:tcW w:w="1400" w:type="dxa"/>
            <w:vAlign w:val="bottom"/>
            <w:shd w:val="clear" w:color="auto" w:fill="CCEEFF"/>
          </w:tcPr>
          <w:p>
            <w:pPr>
              <w:ind w:left="1180"/>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1,485</w:t>
            </w:r>
          </w:p>
        </w:tc>
        <w:tc>
          <w:tcPr>
            <w:tcW w:w="6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1,576</w:t>
            </w:r>
          </w:p>
        </w:tc>
        <w:tc>
          <w:tcPr>
            <w:tcW w:w="26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3,207</w:t>
            </w:r>
          </w:p>
        </w:tc>
        <w:tc>
          <w:tcPr>
            <w:tcW w:w="44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3,311</w:t>
            </w:r>
          </w:p>
        </w:tc>
      </w:tr>
      <w:tr>
        <w:trPr>
          <w:trHeight w:val="207"/>
        </w:trPr>
        <w:tc>
          <w:tcPr>
            <w:tcW w:w="2640" w:type="dxa"/>
            <w:vAlign w:val="bottom"/>
            <w:gridSpan w:val="2"/>
          </w:tcPr>
          <w:p>
            <w:pPr>
              <w:spacing w:after="0"/>
              <w:rPr>
                <w:sz w:val="20"/>
                <w:szCs w:val="20"/>
                <w:color w:val="auto"/>
              </w:rPr>
            </w:pPr>
            <w:r>
              <w:rPr>
                <w:rFonts w:ascii="Arial" w:cs="Arial" w:eastAsia="Arial" w:hAnsi="Arial"/>
                <w:sz w:val="15"/>
                <w:szCs w:val="15"/>
                <w:color w:val="auto"/>
              </w:rPr>
              <w:t>$ Change</w:t>
            </w:r>
          </w:p>
        </w:tc>
        <w:tc>
          <w:tcPr>
            <w:tcW w:w="1400" w:type="dxa"/>
            <w:vAlign w:val="bottom"/>
          </w:tcPr>
          <w:p>
            <w:pPr>
              <w:ind w:left="1180"/>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143"/>
              <w:spacing w:after="0"/>
              <w:rPr>
                <w:sz w:val="20"/>
                <w:szCs w:val="20"/>
                <w:color w:val="auto"/>
              </w:rPr>
            </w:pPr>
            <w:r>
              <w:rPr>
                <w:rFonts w:ascii="Arial" w:cs="Arial" w:eastAsia="Arial" w:hAnsi="Arial"/>
                <w:sz w:val="15"/>
                <w:szCs w:val="15"/>
                <w:b w:val="1"/>
                <w:bCs w:val="1"/>
                <w:color w:val="auto"/>
              </w:rPr>
              <w:t>(91)</w:t>
            </w: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123"/>
              <w:spacing w:after="0"/>
              <w:rPr>
                <w:sz w:val="20"/>
                <w:szCs w:val="20"/>
                <w:color w:val="auto"/>
              </w:rPr>
            </w:pPr>
            <w:r>
              <w:rPr>
                <w:rFonts w:ascii="Arial" w:cs="Arial" w:eastAsia="Arial" w:hAnsi="Arial"/>
                <w:sz w:val="15"/>
                <w:szCs w:val="15"/>
                <w:b w:val="1"/>
                <w:bCs w:val="1"/>
                <w:color w:val="auto"/>
              </w:rPr>
              <w:t>(104)</w:t>
            </w:r>
          </w:p>
        </w:tc>
        <w:tc>
          <w:tcPr>
            <w:tcW w:w="440" w:type="dxa"/>
            <w:vAlign w:val="bottom"/>
          </w:tcPr>
          <w:p>
            <w:pPr>
              <w:ind w:left="8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r>
      <w:tr>
        <w:trPr>
          <w:trHeight w:val="207"/>
        </w:trPr>
        <w:tc>
          <w:tcPr>
            <w:tcW w:w="2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Change</w:t>
            </w: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(5.8)%</w:t>
            </w: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(3.1)%</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7"/>
        </w:trPr>
        <w:tc>
          <w:tcPr>
            <w:tcW w:w="2640" w:type="dxa"/>
            <w:vAlign w:val="bottom"/>
            <w:gridSpan w:val="2"/>
          </w:tcPr>
          <w:p>
            <w:pPr>
              <w:spacing w:after="0"/>
              <w:rPr>
                <w:sz w:val="20"/>
                <w:szCs w:val="20"/>
                <w:color w:val="auto"/>
              </w:rPr>
            </w:pPr>
            <w:r>
              <w:rPr>
                <w:rFonts w:ascii="Arial" w:cs="Arial" w:eastAsia="Arial" w:hAnsi="Arial"/>
                <w:sz w:val="15"/>
                <w:szCs w:val="15"/>
                <w:color w:val="auto"/>
              </w:rPr>
              <w:t>Division profit</w:t>
            </w:r>
          </w:p>
        </w:tc>
        <w:tc>
          <w:tcPr>
            <w:tcW w:w="1400" w:type="dxa"/>
            <w:vAlign w:val="bottom"/>
          </w:tcPr>
          <w:p>
            <w:pPr>
              <w:ind w:left="1180"/>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183"/>
              <w:spacing w:after="0"/>
              <w:rPr>
                <w:sz w:val="20"/>
                <w:szCs w:val="20"/>
                <w:color w:val="auto"/>
              </w:rPr>
            </w:pPr>
            <w:r>
              <w:rPr>
                <w:rFonts w:ascii="Arial" w:cs="Arial" w:eastAsia="Arial" w:hAnsi="Arial"/>
                <w:sz w:val="15"/>
                <w:szCs w:val="15"/>
                <w:b w:val="1"/>
                <w:bCs w:val="1"/>
                <w:color w:val="auto"/>
              </w:rPr>
              <w:t>109</w:t>
            </w:r>
          </w:p>
        </w:tc>
        <w:tc>
          <w:tcPr>
            <w:tcW w:w="680" w:type="dxa"/>
            <w:vAlign w:val="bottom"/>
          </w:tcPr>
          <w:p>
            <w:pPr>
              <w:ind w:left="6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163"/>
              <w:spacing w:after="0"/>
              <w:rPr>
                <w:sz w:val="20"/>
                <w:szCs w:val="20"/>
                <w:color w:val="auto"/>
              </w:rPr>
            </w:pPr>
            <w:r>
              <w:rPr>
                <w:rFonts w:ascii="Arial" w:cs="Arial" w:eastAsia="Arial" w:hAnsi="Arial"/>
                <w:sz w:val="15"/>
                <w:szCs w:val="15"/>
                <w:color w:val="auto"/>
              </w:rPr>
              <w:t>193</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163"/>
              <w:spacing w:after="0"/>
              <w:rPr>
                <w:sz w:val="20"/>
                <w:szCs w:val="20"/>
                <w:color w:val="auto"/>
              </w:rPr>
            </w:pPr>
            <w:r>
              <w:rPr>
                <w:rFonts w:ascii="Arial" w:cs="Arial" w:eastAsia="Arial" w:hAnsi="Arial"/>
                <w:sz w:val="15"/>
                <w:szCs w:val="15"/>
                <w:b w:val="1"/>
                <w:bCs w:val="1"/>
                <w:color w:val="auto"/>
              </w:rPr>
              <w:t>350</w:t>
            </w:r>
          </w:p>
        </w:tc>
        <w:tc>
          <w:tcPr>
            <w:tcW w:w="440" w:type="dxa"/>
            <w:vAlign w:val="bottom"/>
          </w:tcPr>
          <w:p>
            <w:pPr>
              <w:ind w:left="8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63"/>
              <w:spacing w:after="0"/>
              <w:rPr>
                <w:sz w:val="20"/>
                <w:szCs w:val="20"/>
                <w:color w:val="auto"/>
              </w:rPr>
            </w:pPr>
            <w:r>
              <w:rPr>
                <w:rFonts w:ascii="Arial" w:cs="Arial" w:eastAsia="Arial" w:hAnsi="Arial"/>
                <w:sz w:val="15"/>
                <w:szCs w:val="15"/>
                <w:color w:val="auto"/>
              </w:rPr>
              <w:t>470</w:t>
            </w:r>
          </w:p>
        </w:tc>
      </w:tr>
      <w:tr>
        <w:trPr>
          <w:trHeight w:val="207"/>
        </w:trPr>
        <w:tc>
          <w:tcPr>
            <w:tcW w:w="2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Division profit margin</w:t>
            </w:r>
          </w:p>
        </w:tc>
        <w:tc>
          <w:tcPr>
            <w:tcW w:w="1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7.3 %</w:t>
            </w:r>
          </w:p>
        </w:tc>
        <w:tc>
          <w:tcPr>
            <w:tcW w:w="6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12.2 %</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10.9 %</w:t>
            </w: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14.2 %</w:t>
            </w:r>
          </w:p>
        </w:tc>
      </w:tr>
    </w:tbl>
    <w:p>
      <w:pPr>
        <w:spacing w:after="0" w:line="12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Excluding the effect of foreign currency fluctuations, Athletic Stores segment sales decreased by 5.5 percent and 2.5 percent for the thirteen and twenty-six weeks ended July 29, 2017, respectively, as compared with the corresponding prior-year periods. The sales decline for the current quarter and year-to-date periods, excluding the effect of foreign currency fluctuations, was across almost all of our store banners with the exception of our Foot Locker Canada and SIX:02 businesses, which increased sales.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3" w:right="1399" w:bottom="1440" w:gutter="0" w:footer="0" w:header="0"/>
        </w:sectPr>
      </w:pPr>
    </w:p>
    <w:bookmarkStart w:id="22" w:name="page23"/>
    <w:bookmarkEnd w:id="22"/>
    <w:p>
      <w:pPr>
        <w:jc w:val="both"/>
        <w:spacing w:after="0" w:line="239" w:lineRule="auto"/>
        <w:rPr>
          <w:sz w:val="20"/>
          <w:szCs w:val="20"/>
          <w:color w:val="auto"/>
        </w:rPr>
      </w:pPr>
      <w:r>
        <w:rPr>
          <w:rFonts w:ascii="Arial" w:cs="Arial" w:eastAsia="Arial" w:hAnsi="Arial"/>
          <w:sz w:val="15"/>
          <w:szCs w:val="15"/>
          <w:color w:val="auto"/>
        </w:rPr>
        <w:t>Comparable-store sales decreased by 7.5 percent and 4.2 percent for the thirteen and twenty-six weeks ended July 29, 2017, respectively, as compared with the corresponding prior-year periods. The overall decline in comparable-store sales was largely due to a decrease in footwear sales for both the quarter and year-to-date periods. Men’s, women’s and children’s footwear all experienced comparable-store sales declines, with children’s footwear experiencing the largest decline. Accordingly, Kids Foot Locker was the banner most negatively affected. The comparable-sales increase in men’s lifestyle running footwear for both the quarter and year-to-date periods for the majority of our store banners was not enough to compensate for the comparable-store declines in basketball, especially the Jordan brand, and court lifestyle footwear. Women’s court styles mainly contributed to the comparable-store sales decline in women’s footwear both domestically and internationally for the quarter and year-to-date periods. The decline in most of our footwear categories for both the quarter and year-to-date periods was the result of insufficient product availability of certain styles and the lack of product innovation in select categories to suit our customer’s quickly changing style preferences.</w:t>
      </w:r>
    </w:p>
    <w:p>
      <w:pPr>
        <w:spacing w:after="0" w:line="70"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decline in footwear sales was partially offset by gains in apparel sales, as the majority of our store banners experienced apparel sales gains for both the thirteen and twenty-six weeks ended July 29, 2017. Most of our banners benefited from gains in men’s branded and outerwear apparel, which was partially offset by declines in private label and licensed apparel for both the quarter and year-to-date periods. Additionally, women’s apparel performed well for our SIX:02 banner for both the quarter and year-to-date periods, although this was largely driven by increased markdowns. Children’s apparel experienced a comparable-store sales decline for the current quarter, while total sales increased during the period due to an increase in net store openings. For the year-to-date period children’s apparel, both total and comparable-store sales increased as compared to the corresponding prior-year period.</w:t>
      </w:r>
    </w:p>
    <w:p>
      <w:pPr>
        <w:spacing w:after="0" w:line="9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Athletic Stores division profit decreased by 43.5 percent and 25.5 percent for the thirteen and twenty-six weeks ended July 29, 2017, respectively, as compared with the corresponding prior-year periods. The decline in division profit for both the quarter and year-to-date periods was attributable primarily to a lower gross margin rate, coupled with a higher SG&amp;A expense rate.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Direct-to-Customers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Thirteen weeks ended</w:t>
            </w: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Twenty-six weeks ended</w:t>
            </w:r>
          </w:p>
        </w:tc>
        <w:tc>
          <w:tcPr>
            <w:tcW w:w="540" w:type="dxa"/>
            <w:vAlign w:val="bottom"/>
            <w:tcBorders>
              <w:bottom w:val="single" w:sz="8" w:color="auto"/>
            </w:tcBorders>
          </w:tcPr>
          <w:p>
            <w:pPr>
              <w:spacing w:after="0"/>
              <w:rPr>
                <w:sz w:val="16"/>
                <w:szCs w:val="16"/>
                <w:color w:val="auto"/>
              </w:rPr>
            </w:pPr>
          </w:p>
        </w:tc>
      </w:tr>
      <w:tr>
        <w:trPr>
          <w:trHeight w:val="187"/>
        </w:trPr>
        <w:tc>
          <w:tcPr>
            <w:tcW w:w="26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2"/>
          </w:tcPr>
          <w:p>
            <w:pPr>
              <w:ind w:left="1180"/>
              <w:spacing w:after="0"/>
              <w:rPr>
                <w:sz w:val="20"/>
                <w:szCs w:val="20"/>
                <w:color w:val="auto"/>
              </w:rPr>
            </w:pPr>
            <w:r>
              <w:rPr>
                <w:rFonts w:ascii="Arial" w:cs="Arial" w:eastAsia="Arial" w:hAnsi="Arial"/>
                <w:sz w:val="15"/>
                <w:szCs w:val="15"/>
                <w:b w:val="1"/>
                <w:bCs w:val="1"/>
                <w:color w:val="auto"/>
              </w:rPr>
              <w:t>July 29, 2017</w:t>
            </w: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July 30, 2016</w:t>
            </w: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July 29, 2017</w:t>
            </w: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July 30, 2016</w:t>
            </w:r>
          </w:p>
        </w:tc>
      </w:tr>
      <w:tr>
        <w:trPr>
          <w:trHeight w:val="187"/>
        </w:trPr>
        <w:tc>
          <w:tcPr>
            <w:tcW w:w="2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40" w:type="dxa"/>
            <w:vAlign w:val="bottom"/>
            <w:gridSpan w:val="3"/>
          </w:tcPr>
          <w:p>
            <w:pPr>
              <w:jc w:val="right"/>
              <w:ind w:right="903"/>
              <w:spacing w:after="0"/>
              <w:rPr>
                <w:sz w:val="20"/>
                <w:szCs w:val="20"/>
                <w:color w:val="auto"/>
              </w:rPr>
            </w:pPr>
            <w:r>
              <w:rPr>
                <w:rFonts w:ascii="Arial" w:cs="Arial" w:eastAsia="Arial" w:hAnsi="Arial"/>
                <w:sz w:val="15"/>
                <w:szCs w:val="15"/>
                <w:color w:val="auto"/>
              </w:rPr>
              <w:t>($ in millions)</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7"/>
        </w:trPr>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Sales</w:t>
            </w:r>
          </w:p>
        </w:tc>
        <w:tc>
          <w:tcPr>
            <w:tcW w:w="1400" w:type="dxa"/>
            <w:vAlign w:val="bottom"/>
            <w:shd w:val="clear" w:color="auto" w:fill="CCEEFF"/>
          </w:tcPr>
          <w:p>
            <w:pPr>
              <w:ind w:left="1180"/>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216</w:t>
            </w:r>
          </w:p>
        </w:tc>
        <w:tc>
          <w:tcPr>
            <w:tcW w:w="72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204</w:t>
            </w:r>
          </w:p>
        </w:tc>
        <w:tc>
          <w:tcPr>
            <w:tcW w:w="26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495</w:t>
            </w:r>
          </w:p>
        </w:tc>
        <w:tc>
          <w:tcPr>
            <w:tcW w:w="8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456</w:t>
            </w:r>
          </w:p>
        </w:tc>
      </w:tr>
      <w:tr>
        <w:trPr>
          <w:trHeight w:val="207"/>
        </w:trPr>
        <w:tc>
          <w:tcPr>
            <w:tcW w:w="2640" w:type="dxa"/>
            <w:vAlign w:val="bottom"/>
          </w:tcPr>
          <w:p>
            <w:pPr>
              <w:spacing w:after="0"/>
              <w:rPr>
                <w:sz w:val="20"/>
                <w:szCs w:val="20"/>
                <w:color w:val="auto"/>
              </w:rPr>
            </w:pPr>
            <w:r>
              <w:rPr>
                <w:rFonts w:ascii="Arial" w:cs="Arial" w:eastAsia="Arial" w:hAnsi="Arial"/>
                <w:sz w:val="15"/>
                <w:szCs w:val="15"/>
                <w:color w:val="auto"/>
              </w:rPr>
              <w:t>$ Change</w:t>
            </w:r>
          </w:p>
        </w:tc>
        <w:tc>
          <w:tcPr>
            <w:tcW w:w="1400" w:type="dxa"/>
            <w:vAlign w:val="bottom"/>
          </w:tcPr>
          <w:p>
            <w:pPr>
              <w:ind w:left="1180"/>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183"/>
              <w:spacing w:after="0"/>
              <w:rPr>
                <w:sz w:val="20"/>
                <w:szCs w:val="20"/>
                <w:color w:val="auto"/>
              </w:rPr>
            </w:pPr>
            <w:r>
              <w:rPr>
                <w:rFonts w:ascii="Arial" w:cs="Arial" w:eastAsia="Arial" w:hAnsi="Arial"/>
                <w:sz w:val="15"/>
                <w:szCs w:val="15"/>
                <w:b w:val="1"/>
                <w:bCs w:val="1"/>
                <w:color w:val="auto"/>
              </w:rPr>
              <w:t>12</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163"/>
              <w:spacing w:after="0"/>
              <w:rPr>
                <w:sz w:val="20"/>
                <w:szCs w:val="20"/>
                <w:color w:val="auto"/>
              </w:rPr>
            </w:pPr>
            <w:r>
              <w:rPr>
                <w:rFonts w:ascii="Arial" w:cs="Arial" w:eastAsia="Arial" w:hAnsi="Arial"/>
                <w:sz w:val="15"/>
                <w:szCs w:val="15"/>
                <w:b w:val="1"/>
                <w:bCs w:val="1"/>
                <w:color w:val="auto"/>
              </w:rPr>
              <w:t>39</w:t>
            </w: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7"/>
        </w:trPr>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5.9 %</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8.6 %</w:t>
            </w: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7"/>
        </w:trPr>
        <w:tc>
          <w:tcPr>
            <w:tcW w:w="2640" w:type="dxa"/>
            <w:vAlign w:val="bottom"/>
          </w:tcPr>
          <w:p>
            <w:pPr>
              <w:spacing w:after="0"/>
              <w:rPr>
                <w:sz w:val="20"/>
                <w:szCs w:val="20"/>
                <w:color w:val="auto"/>
              </w:rPr>
            </w:pPr>
            <w:r>
              <w:rPr>
                <w:rFonts w:ascii="Arial" w:cs="Arial" w:eastAsia="Arial" w:hAnsi="Arial"/>
                <w:sz w:val="15"/>
                <w:szCs w:val="15"/>
                <w:color w:val="auto"/>
              </w:rPr>
              <w:t>Division profit</w:t>
            </w:r>
          </w:p>
        </w:tc>
        <w:tc>
          <w:tcPr>
            <w:tcW w:w="1400" w:type="dxa"/>
            <w:vAlign w:val="bottom"/>
          </w:tcPr>
          <w:p>
            <w:pPr>
              <w:ind w:left="1180"/>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183"/>
              <w:spacing w:after="0"/>
              <w:rPr>
                <w:sz w:val="20"/>
                <w:szCs w:val="20"/>
                <w:color w:val="auto"/>
              </w:rPr>
            </w:pPr>
            <w:r>
              <w:rPr>
                <w:rFonts w:ascii="Arial" w:cs="Arial" w:eastAsia="Arial" w:hAnsi="Arial"/>
                <w:sz w:val="15"/>
                <w:szCs w:val="15"/>
                <w:b w:val="1"/>
                <w:bCs w:val="1"/>
                <w:color w:val="auto"/>
              </w:rPr>
              <w:t>20</w:t>
            </w:r>
          </w:p>
        </w:tc>
        <w:tc>
          <w:tcPr>
            <w:tcW w:w="720" w:type="dxa"/>
            <w:vAlign w:val="bottom"/>
          </w:tcPr>
          <w:p>
            <w:pPr>
              <w:ind w:left="6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63"/>
              <w:spacing w:after="0"/>
              <w:rPr>
                <w:sz w:val="20"/>
                <w:szCs w:val="20"/>
                <w:color w:val="auto"/>
              </w:rPr>
            </w:pPr>
            <w:r>
              <w:rPr>
                <w:rFonts w:ascii="Arial" w:cs="Arial" w:eastAsia="Arial" w:hAnsi="Arial"/>
                <w:sz w:val="15"/>
                <w:szCs w:val="15"/>
                <w:color w:val="auto"/>
              </w:rPr>
              <w:t>22</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163"/>
              <w:spacing w:after="0"/>
              <w:rPr>
                <w:sz w:val="20"/>
                <w:szCs w:val="20"/>
                <w:color w:val="auto"/>
              </w:rPr>
            </w:pPr>
            <w:r>
              <w:rPr>
                <w:rFonts w:ascii="Arial" w:cs="Arial" w:eastAsia="Arial" w:hAnsi="Arial"/>
                <w:sz w:val="15"/>
                <w:szCs w:val="15"/>
                <w:b w:val="1"/>
                <w:bCs w:val="1"/>
                <w:color w:val="auto"/>
              </w:rPr>
              <w:t>62</w:t>
            </w:r>
          </w:p>
        </w:tc>
        <w:tc>
          <w:tcPr>
            <w:tcW w:w="800" w:type="dxa"/>
            <w:vAlign w:val="bottom"/>
          </w:tcPr>
          <w:p>
            <w:pPr>
              <w:ind w:left="8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163"/>
              <w:spacing w:after="0"/>
              <w:rPr>
                <w:sz w:val="20"/>
                <w:szCs w:val="20"/>
                <w:color w:val="auto"/>
              </w:rPr>
            </w:pPr>
            <w:r>
              <w:rPr>
                <w:rFonts w:ascii="Arial" w:cs="Arial" w:eastAsia="Arial" w:hAnsi="Arial"/>
                <w:sz w:val="15"/>
                <w:szCs w:val="15"/>
                <w:color w:val="auto"/>
              </w:rPr>
              <w:t>60</w:t>
            </w:r>
          </w:p>
        </w:tc>
      </w:tr>
      <w:tr>
        <w:trPr>
          <w:trHeight w:val="207"/>
        </w:trPr>
        <w:tc>
          <w:tcPr>
            <w:tcW w:w="2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Division profit margin</w:t>
            </w:r>
          </w:p>
        </w:tc>
        <w:tc>
          <w:tcPr>
            <w:tcW w:w="1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9.3 %</w:t>
            </w:r>
          </w:p>
        </w:tc>
        <w:tc>
          <w:tcPr>
            <w:tcW w:w="7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10.8 %</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12.5 %</w:t>
            </w:r>
          </w:p>
        </w:tc>
        <w:tc>
          <w:tcPr>
            <w:tcW w:w="8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13.2 %</w:t>
            </w:r>
          </w:p>
        </w:tc>
      </w:tr>
    </w:tbl>
    <w:p>
      <w:pPr>
        <w:spacing w:after="0" w:line="6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Comparable-sales for the Direct-to-Customers segment increased by 5.4 percent and 9.1 percent for the thirteen and twenty-six weeks ended July 29, 2017, respectively, as compared with the corresponding prior-year periods. This reflected our continued growth of ecommerce sales associated with our store-banner websites, both domestically and internationally. Additionally, Eastbay experienced gains during the current quarter and year-to-date periods.</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footwear category continued to deliver the strongest gains during the current quarter and year-to-date periods. The footwear gains related to our domestic store-banner websites for both the quarter and year-to-date periods were driven by strong results in women’s casual styles, children’s footwear and lifestyle running. These gains were partially offset by declines in women’s running, football, and training. The Jordan brand experienced declines during the current quarter, but performed well for the year-to-date period. The footwear gains related to our international store-banner websites for both the quarter and year-to-date periods were primarily driven by men’s and women’s lifestyle running styles.</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Direct-to-Customers division profit for the thirteen weeks ended July 29, 2017 decreased by $2 million, as compared with the corresponding prior-year period, and increased by $2 million for the year-to-date period. Division profit, as a percentage of sales, declined 150 basis points and 70 basis points for the thirteen and twenty-six weeks ended July 29, 2017, respectively, as compared with the corresponding prior-year periods. While sales increased, the gross margin rate declined due to increased markdowns due to additional promotional activity and, to a lesser degree, higher shipping and handling expense. Partially offsetting the gross margin decline was an expense rate improvement primarily related to lower incentive compensation expense in light of current performance as compared with our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20"/>
                <w:szCs w:val="20"/>
                <w:color w:val="auto"/>
              </w:rPr>
            </w:pPr>
            <w:r>
              <w:rPr>
                <w:rFonts w:ascii="Arial" w:cs="Arial" w:eastAsia="Arial" w:hAnsi="Arial"/>
                <w:sz w:val="15"/>
                <w:szCs w:val="15"/>
                <w:b w:val="1"/>
                <w:bCs w:val="1"/>
                <w:color w:val="auto"/>
              </w:rPr>
              <w:t>Corporate Expense</w:t>
            </w: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19"/>
        </w:trPr>
        <w:tc>
          <w:tcPr>
            <w:tcW w:w="26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5"/>
                <w:szCs w:val="15"/>
                <w:b w:val="1"/>
                <w:bCs w:val="1"/>
                <w:color w:val="auto"/>
              </w:rPr>
              <w:t>Thirteen weeks ended</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Twenty-six weeks ended</w:t>
            </w:r>
          </w:p>
        </w:tc>
        <w:tc>
          <w:tcPr>
            <w:tcW w:w="480" w:type="dxa"/>
            <w:vAlign w:val="bottom"/>
            <w:tcBorders>
              <w:bottom w:val="single" w:sz="8" w:color="auto"/>
            </w:tcBorders>
          </w:tcPr>
          <w:p>
            <w:pPr>
              <w:spacing w:after="0"/>
              <w:rPr>
                <w:sz w:val="24"/>
                <w:szCs w:val="24"/>
                <w:color w:val="auto"/>
              </w:rPr>
            </w:pPr>
          </w:p>
        </w:tc>
      </w:tr>
      <w:tr>
        <w:trPr>
          <w:trHeight w:val="187"/>
        </w:trPr>
        <w:tc>
          <w:tcPr>
            <w:tcW w:w="26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1200"/>
              <w:spacing w:after="0"/>
              <w:rPr>
                <w:sz w:val="20"/>
                <w:szCs w:val="20"/>
                <w:color w:val="auto"/>
              </w:rPr>
            </w:pPr>
            <w:r>
              <w:rPr>
                <w:rFonts w:ascii="Arial" w:cs="Arial" w:eastAsia="Arial" w:hAnsi="Arial"/>
                <w:sz w:val="15"/>
                <w:szCs w:val="15"/>
                <w:b w:val="1"/>
                <w:bCs w:val="1"/>
                <w:color w:val="auto"/>
              </w:rPr>
              <w:t>July 29, 2017</w:t>
            </w: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July 30, 2016</w:t>
            </w:r>
          </w:p>
        </w:tc>
        <w:tc>
          <w:tcPr>
            <w:tcW w:w="136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July 29, 2017</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July 30, 2016</w:t>
            </w:r>
          </w:p>
        </w:tc>
      </w:tr>
      <w:tr>
        <w:trPr>
          <w:trHeight w:val="187"/>
        </w:trPr>
        <w:tc>
          <w:tcPr>
            <w:tcW w:w="2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700" w:type="dxa"/>
            <w:vAlign w:val="bottom"/>
            <w:gridSpan w:val="3"/>
          </w:tcPr>
          <w:p>
            <w:pPr>
              <w:ind w:left="40"/>
              <w:spacing w:after="0"/>
              <w:rPr>
                <w:sz w:val="20"/>
                <w:szCs w:val="20"/>
                <w:color w:val="auto"/>
              </w:rPr>
            </w:pPr>
            <w:r>
              <w:rPr>
                <w:rFonts w:ascii="Arial" w:cs="Arial" w:eastAsia="Arial" w:hAnsi="Arial"/>
                <w:sz w:val="15"/>
                <w:szCs w:val="15"/>
                <w:color w:val="auto"/>
              </w:rPr>
              <w:t>in millions)</w:t>
            </w: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7"/>
        </w:trPr>
        <w:tc>
          <w:tcPr>
            <w:tcW w:w="262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w:t>
            </w:r>
          </w:p>
        </w:tc>
        <w:tc>
          <w:tcPr>
            <w:tcW w:w="1420" w:type="dxa"/>
            <w:vAlign w:val="bottom"/>
            <w:shd w:val="clear" w:color="auto" w:fill="CCEEFF"/>
          </w:tcPr>
          <w:p>
            <w:pPr>
              <w:ind w:left="1200"/>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7</w:t>
            </w:r>
          </w:p>
        </w:tc>
        <w:tc>
          <w:tcPr>
            <w:tcW w:w="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17</w:t>
            </w:r>
          </w:p>
        </w:tc>
        <w:tc>
          <w:tcPr>
            <w:tcW w:w="34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22</w:t>
            </w:r>
          </w:p>
        </w:tc>
        <w:tc>
          <w:tcPr>
            <w:tcW w:w="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36</w:t>
            </w:r>
          </w:p>
        </w:tc>
      </w:tr>
      <w:tr>
        <w:trPr>
          <w:trHeight w:val="207"/>
        </w:trPr>
        <w:tc>
          <w:tcPr>
            <w:tcW w:w="2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(10)</w:t>
            </w: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(14)</w:t>
            </w: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r>
    </w:tbl>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Corporate expense consists of unallocated SG&amp;A,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$4 million and $7 million for the thirteen and twenty-six weeks ended July 29, 2017, respectively, which remained unchanged as compared with the corresponding prior-year periods.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allocation of corporate expense to the operating divisions is adjusted annually based upon an internal study; accordingly, the allocation increased by $1 million and $3 million for the thirteen and twenty-six weeks ended July 29, 2017, respectively, thus reducing corporate expense. Excluding the corporate allocation change, corporate expense decreased by $9 million and $11 million for the thirteen and twenty-six weeks ended July 29, 2017, respectively.</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decrease for the thirteen weeks and twenty-six weeks ended July 29, 2017 was primarily due to a decrease in incentive compensation and share-based compensation expense of $10 million as compared with the corresponding prior-year periods, reflecting the Company’s underperformance compared to its plan. This decline was partially offset by increased corporate support costs such as information technology and real estate management. Additionally, the decline for the twenty-six weeks ended July 29, 2017 was due to the prior-year corporate headquarters relocation costs of $4 million.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Liquidity</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5"/>
          <w:szCs w:val="15"/>
          <w:color w:val="auto"/>
        </w:rPr>
        <w:t>Our primary source of liquidity has been cash flow from earnings, while the principal uses of cash have been: to fund inventory and other working capital requirements; to finance capital expenditures related to store openings, store remodelings, Internet and mobile sites, information systems, and other support facilities; to make retirement plan contributions, quarterly dividend payments, and interest payments; and to fund other cash requirements to support the development of our short-term and long-term operating strategies. We generally finance real estate with operating leases. We believe our cash, cash equivalents, and future cash flow from operations will be adequate to fund these requirements.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 As of July 29, 2017, just under $1.2 billion remained available under the Company’s current share repurchase program.</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As discussed further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 during the second quarter of 2017, in connection with our pension litigation, we recorded a pre-tax charge of $50 million ($30 million after-tax or $0.23 per diluted share). The Company previously recorded a pre-tax charge of $100 million during 2015. This period’s charge reflects the Company’s revised estimate of its exposure for the matter, bringing the total pre-tax amount accrued to $150 million. In light of the uncertainties involved in this matter, there is no assurance that the ultimate resolution will not differ from the amount currently accrued by us. The total accrual of $150 million has been classified as a long-term liability due to the uncertainty involved with the resolution of this litigation. The pension plan is currently sufficiently funded to initially absorb a $150 million liability and, accordingly, we currently do not anticipate the need to make any pension contributions in the near term in connection with this matter. The timing and the amount of contributions to the pension plan are dependent on the funded status of the plan and various other factors, such as interest rates and the performance of the plan’s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24" w:name="page25"/>
    <w:bookmarkEnd w:id="24"/>
    <w:p>
      <w:pPr>
        <w:jc w:val="both"/>
        <w:spacing w:after="0" w:line="241" w:lineRule="auto"/>
        <w:rPr>
          <w:sz w:val="20"/>
          <w:szCs w:val="20"/>
          <w:color w:val="auto"/>
        </w:rPr>
      </w:pPr>
      <w:r>
        <w:rPr>
          <w:rFonts w:ascii="Arial" w:cs="Arial" w:eastAsia="Arial" w:hAnsi="Arial"/>
          <w:sz w:val="15"/>
          <w:szCs w:val="15"/>
          <w:color w:val="auto"/>
        </w:rPr>
        <w:t>Any material adverse change in customer demand, fashion trends, competitive market forces, or customer acceptance of our merchandise mix and retail locations,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needs from business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Operating Activities</w:t>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Twenty-six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5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5"/>
                <w:szCs w:val="15"/>
                <w:b w:val="1"/>
                <w:bCs w:val="1"/>
                <w:color w:val="auto"/>
              </w:rPr>
              <w:t>July 29,</w:t>
            </w:r>
          </w:p>
        </w:tc>
        <w:tc>
          <w:tcPr>
            <w:tcW w:w="5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283"/>
              <w:spacing w:after="0" w:line="139" w:lineRule="exact"/>
              <w:rPr>
                <w:sz w:val="20"/>
                <w:szCs w:val="20"/>
                <w:color w:val="auto"/>
              </w:rPr>
            </w:pPr>
            <w:r>
              <w:rPr>
                <w:rFonts w:ascii="Arial" w:cs="Arial" w:eastAsia="Arial" w:hAnsi="Arial"/>
                <w:sz w:val="15"/>
                <w:szCs w:val="15"/>
                <w:b w:val="1"/>
                <w:bCs w:val="1"/>
                <w:color w:val="auto"/>
              </w:rPr>
              <w:t>July 30,</w:t>
            </w:r>
          </w:p>
        </w:tc>
      </w:tr>
      <w:tr>
        <w:trPr>
          <w:trHeight w:val="194"/>
        </w:trPr>
        <w:tc>
          <w:tcPr>
            <w:tcW w:w="45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4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color w:val="auto"/>
              </w:rPr>
              <w:t>($ in millions)</w:t>
            </w:r>
          </w:p>
        </w:tc>
        <w:tc>
          <w:tcPr>
            <w:tcW w:w="1000" w:type="dxa"/>
            <w:vAlign w:val="bottom"/>
          </w:tcPr>
          <w:p>
            <w:pPr>
              <w:spacing w:after="0"/>
              <w:rPr>
                <w:sz w:val="16"/>
                <w:szCs w:val="16"/>
                <w:color w:val="auto"/>
              </w:rPr>
            </w:pPr>
          </w:p>
        </w:tc>
      </w:tr>
      <w:tr>
        <w:trPr>
          <w:trHeight w:val="182"/>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580" w:type="dxa"/>
            <w:vAlign w:val="bottom"/>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52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251</w:t>
            </w:r>
          </w:p>
        </w:tc>
        <w:tc>
          <w:tcPr>
            <w:tcW w:w="4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w:t>
            </w:r>
          </w:p>
        </w:tc>
      </w:tr>
      <w:tr>
        <w:trPr>
          <w:trHeight w:val="182"/>
        </w:trPr>
        <w:tc>
          <w:tcPr>
            <w:tcW w:w="45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58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(134)</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bl>
    <w:p>
      <w:pPr>
        <w:spacing w:after="0" w:line="116"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The amount provided by operating activities reflects net income adjusted for non-cash items and working capital changes. Adjustments to net income for non-cash items include depreciation and amortization, and share-based compensation expense. The decrease from the prior year primarily reflects working capital changes and the decline in net income as compared with the prior year.</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Investing Activities</w:t>
      </w:r>
    </w:p>
    <w:p>
      <w:pPr>
        <w:spacing w:after="0" w:line="44"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Twenty-six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6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5"/>
                <w:szCs w:val="15"/>
                <w:b w:val="1"/>
                <w:bCs w:val="1"/>
                <w:color w:val="auto"/>
              </w:rPr>
              <w:t>July 29,</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283"/>
              <w:spacing w:after="0" w:line="139" w:lineRule="exact"/>
              <w:rPr>
                <w:sz w:val="20"/>
                <w:szCs w:val="20"/>
                <w:color w:val="auto"/>
              </w:rPr>
            </w:pPr>
            <w:r>
              <w:rPr>
                <w:rFonts w:ascii="Arial" w:cs="Arial" w:eastAsia="Arial" w:hAnsi="Arial"/>
                <w:sz w:val="15"/>
                <w:szCs w:val="15"/>
                <w:b w:val="1"/>
                <w:bCs w:val="1"/>
                <w:color w:val="auto"/>
              </w:rPr>
              <w:t>July 30,</w:t>
            </w:r>
          </w:p>
        </w:tc>
      </w:tr>
      <w:tr>
        <w:trPr>
          <w:trHeight w:val="194"/>
        </w:trPr>
        <w:tc>
          <w:tcPr>
            <w:tcW w:w="4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2017</w:t>
            </w:r>
          </w:p>
        </w:tc>
        <w:tc>
          <w:tcPr>
            <w:tcW w:w="5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43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1000" w:type="dxa"/>
            <w:vAlign w:val="bottom"/>
          </w:tcPr>
          <w:p>
            <w:pPr>
              <w:spacing w:after="0"/>
              <w:rPr>
                <w:sz w:val="16"/>
                <w:szCs w:val="16"/>
                <w:color w:val="auto"/>
              </w:rPr>
            </w:pPr>
          </w:p>
        </w:tc>
      </w:tr>
      <w:tr>
        <w:trPr>
          <w:trHeight w:val="182"/>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2740" w:type="dxa"/>
            <w:vAlign w:val="bottom"/>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150</w:t>
            </w:r>
          </w:p>
        </w:tc>
        <w:tc>
          <w:tcPr>
            <w:tcW w:w="5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r>
      <w:tr>
        <w:trPr>
          <w:trHeight w:val="182"/>
        </w:trPr>
        <w:tc>
          <w:tcPr>
            <w:tcW w:w="4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74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19</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bl>
    <w:p>
      <w:pPr>
        <w:spacing w:after="0" w:line="128"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Capital expenditures were $19 million higher than the prior year. The increase was due to increased spending on corporate technology projects and cash payments related to the 2016 capital program. The Company’s full-year capital spending is expected to be approximately $274 million, which includes $204 million related to the remodeling or relocation of approximately 190 existing stores and the opening of approximately 90 new stores, as well as $70 million for the development of information systems, websites, and infrastructure, including supply chain initiatives.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Financing Activities</w:t>
      </w:r>
    </w:p>
    <w:p>
      <w:pPr>
        <w:spacing w:after="0" w:line="44"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Twenty-six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6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5"/>
                <w:szCs w:val="15"/>
                <w:b w:val="1"/>
                <w:bCs w:val="1"/>
                <w:color w:val="auto"/>
              </w:rPr>
              <w:t>July 29,</w:t>
            </w:r>
          </w:p>
        </w:tc>
        <w:tc>
          <w:tcPr>
            <w:tcW w:w="5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283"/>
              <w:spacing w:after="0" w:line="139" w:lineRule="exact"/>
              <w:rPr>
                <w:sz w:val="20"/>
                <w:szCs w:val="20"/>
                <w:color w:val="auto"/>
              </w:rPr>
            </w:pPr>
            <w:r>
              <w:rPr>
                <w:rFonts w:ascii="Arial" w:cs="Arial" w:eastAsia="Arial" w:hAnsi="Arial"/>
                <w:sz w:val="15"/>
                <w:szCs w:val="15"/>
                <w:b w:val="1"/>
                <w:bCs w:val="1"/>
                <w:color w:val="auto"/>
              </w:rPr>
              <w:t>July 30,</w:t>
            </w:r>
          </w:p>
        </w:tc>
      </w:tr>
      <w:tr>
        <w:trPr>
          <w:trHeight w:val="194"/>
        </w:trPr>
        <w:tc>
          <w:tcPr>
            <w:tcW w:w="4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43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color w:val="auto"/>
              </w:rPr>
              <w:t>($ in millions)</w:t>
            </w:r>
          </w:p>
        </w:tc>
        <w:tc>
          <w:tcPr>
            <w:tcW w:w="1000" w:type="dxa"/>
            <w:vAlign w:val="bottom"/>
          </w:tcPr>
          <w:p>
            <w:pPr>
              <w:spacing w:after="0"/>
              <w:rPr>
                <w:sz w:val="16"/>
                <w:szCs w:val="16"/>
                <w:color w:val="auto"/>
              </w:rPr>
            </w:pPr>
          </w:p>
        </w:tc>
      </w:tr>
      <w:tr>
        <w:trPr>
          <w:trHeight w:val="182"/>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2740" w:type="dxa"/>
            <w:vAlign w:val="bottom"/>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52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135</w:t>
            </w:r>
          </w:p>
        </w:tc>
        <w:tc>
          <w:tcPr>
            <w:tcW w:w="4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r>
      <w:tr>
        <w:trPr>
          <w:trHeight w:val="182"/>
        </w:trPr>
        <w:tc>
          <w:tcPr>
            <w:tcW w:w="4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74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(205)</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bl>
    <w:p>
      <w:pPr>
        <w:spacing w:after="0" w:line="128" w:lineRule="exact"/>
        <w:rPr>
          <w:sz w:val="20"/>
          <w:szCs w:val="20"/>
          <w:color w:val="auto"/>
        </w:rPr>
      </w:pPr>
    </w:p>
    <w:p>
      <w:pPr>
        <w:jc w:val="both"/>
        <w:spacing w:after="0"/>
        <w:rPr>
          <w:sz w:val="20"/>
          <w:szCs w:val="20"/>
          <w:color w:val="auto"/>
        </w:rPr>
      </w:pPr>
      <w:r>
        <w:rPr>
          <w:rFonts w:ascii="Arial" w:cs="Arial" w:eastAsia="Arial" w:hAnsi="Arial"/>
          <w:sz w:val="15"/>
          <w:szCs w:val="15"/>
          <w:color w:val="auto"/>
        </w:rPr>
        <w:t>During the twenty-six weeks ended July 29, 2017, we repurchased 896,100 shares of our common stock for $59 million, as compared with 4,724,691 shares repurchased for $276 million in the corresponding prior-year period. The Company also declared and paid dividends during the first two quarters of 2017 and 2016 of $82 million and $74 million, respectively. This represented quarterly rates of $0.31 and $0.275 per share for 2017 and 2016, respectively. Additionally, we received proceeds from the issuance of common stock in connection with employee stock programs of $10 million and $14 million for the twenty-six weeks ended July 29, 2017 and July 30, 2016, respectively. Also, during the twenty-six weeks ended July 29, 2017 and July 30, 2016, the Company paid $9 million and $6 million, respectively, to satisfy tax withholding obligations relating to the vesting of share-based equity awards. The activity for the twenty-six weeks ended July 29, 2017 also reflected an increase of $1 million relating to treasury stock reissued under the employee stock purchase plan. Included in financing activities for the prior year were fees of $2 million paid in connection with the new credit agreement.</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6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January 28, 2017.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Descriptions of the recently issued and adopted accounting principles are included Item 1. “Financial Statements” in Note 1,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to the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4. Controls and Procedures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Company’s management performed an evaluation under the supervision and with the participation of the Company’s Chief Executive Officer (“CEO”) and Chief Financial Officer (“CFO”), and completed an evaluation as of July 29, 2017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During the quarter ended July 29, 2017,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Legal Proceedings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 xml:space="preserve">Information regarding the Company’s legal proceedings is contained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1A. Risk Factors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There were no material changes to the risk factors disclosed in the 2016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2. Unregistered Sales of Equity Securities and Use of Proceeds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provides information with respect to shares of the Company’s common stock that the Company repurchased during the thirteen weeks ended July 29, 2017:</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43"/>
              <w:spacing w:after="0"/>
              <w:rPr>
                <w:sz w:val="20"/>
                <w:szCs w:val="20"/>
                <w:color w:val="auto"/>
              </w:rPr>
            </w:pPr>
            <w:r>
              <w:rPr>
                <w:rFonts w:ascii="Arial" w:cs="Arial" w:eastAsia="Arial" w:hAnsi="Arial"/>
                <w:sz w:val="15"/>
                <w:szCs w:val="15"/>
                <w:b w:val="1"/>
                <w:bCs w:val="1"/>
                <w:color w:val="auto"/>
              </w:rPr>
              <w:t>Approximate</w:t>
            </w:r>
          </w:p>
        </w:tc>
      </w:tr>
      <w:tr>
        <w:trPr>
          <w:trHeight w:val="182"/>
        </w:trPr>
        <w:tc>
          <w:tcPr>
            <w:tcW w:w="2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60" w:type="dxa"/>
            <w:vAlign w:val="bottom"/>
          </w:tcPr>
          <w:p>
            <w:pPr>
              <w:jc w:val="center"/>
              <w:ind w:right="43"/>
              <w:spacing w:after="0"/>
              <w:rPr>
                <w:sz w:val="20"/>
                <w:szCs w:val="20"/>
                <w:color w:val="auto"/>
              </w:rPr>
            </w:pPr>
            <w:r>
              <w:rPr>
                <w:rFonts w:ascii="Arial" w:cs="Arial" w:eastAsia="Arial" w:hAnsi="Arial"/>
                <w:sz w:val="15"/>
                <w:szCs w:val="15"/>
                <w:b w:val="1"/>
                <w:bCs w:val="1"/>
                <w:color w:val="auto"/>
              </w:rPr>
              <w:t>Total Number of</w:t>
            </w:r>
          </w:p>
        </w:tc>
        <w:tc>
          <w:tcPr>
            <w:tcW w:w="260" w:type="dxa"/>
            <w:vAlign w:val="bottom"/>
          </w:tcPr>
          <w:p>
            <w:pPr>
              <w:spacing w:after="0"/>
              <w:rPr>
                <w:sz w:val="15"/>
                <w:szCs w:val="15"/>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Dollar Value of</w:t>
            </w:r>
          </w:p>
        </w:tc>
      </w:tr>
      <w:tr>
        <w:trPr>
          <w:trHeight w:val="182"/>
        </w:trPr>
        <w:tc>
          <w:tcPr>
            <w:tcW w:w="2180" w:type="dxa"/>
            <w:vAlign w:val="bottom"/>
          </w:tcPr>
          <w:p>
            <w:pPr>
              <w:spacing w:after="0"/>
              <w:rPr>
                <w:sz w:val="15"/>
                <w:szCs w:val="15"/>
                <w:color w:val="auto"/>
              </w:rPr>
            </w:pPr>
          </w:p>
        </w:tc>
        <w:tc>
          <w:tcPr>
            <w:tcW w:w="1800" w:type="dxa"/>
            <w:vAlign w:val="bottom"/>
          </w:tcPr>
          <w:p>
            <w:pPr>
              <w:jc w:val="center"/>
              <w:ind w:left="243"/>
              <w:spacing w:after="0"/>
              <w:rPr>
                <w:sz w:val="20"/>
                <w:szCs w:val="20"/>
                <w:color w:val="auto"/>
              </w:rPr>
            </w:pPr>
            <w:r>
              <w:rPr>
                <w:rFonts w:ascii="Arial" w:cs="Arial" w:eastAsia="Arial" w:hAnsi="Arial"/>
                <w:sz w:val="15"/>
                <w:szCs w:val="15"/>
                <w:b w:val="1"/>
                <w:bCs w:val="1"/>
                <w:color w:val="auto"/>
              </w:rPr>
              <w:t>Total</w:t>
            </w:r>
          </w:p>
        </w:tc>
        <w:tc>
          <w:tcPr>
            <w:tcW w:w="320" w:type="dxa"/>
            <w:vAlign w:val="bottom"/>
          </w:tcPr>
          <w:p>
            <w:pPr>
              <w:spacing w:after="0"/>
              <w:rPr>
                <w:sz w:val="15"/>
                <w:szCs w:val="15"/>
                <w:color w:val="auto"/>
              </w:rPr>
            </w:pPr>
          </w:p>
        </w:tc>
        <w:tc>
          <w:tcPr>
            <w:tcW w:w="1160" w:type="dxa"/>
            <w:vAlign w:val="bottom"/>
          </w:tcPr>
          <w:p>
            <w:pPr>
              <w:jc w:val="center"/>
              <w:ind w:right="363"/>
              <w:spacing w:after="0"/>
              <w:rPr>
                <w:sz w:val="20"/>
                <w:szCs w:val="20"/>
                <w:color w:val="auto"/>
              </w:rPr>
            </w:pPr>
            <w:r>
              <w:rPr>
                <w:rFonts w:ascii="Arial" w:cs="Arial" w:eastAsia="Arial" w:hAnsi="Arial"/>
                <w:sz w:val="15"/>
                <w:szCs w:val="15"/>
                <w:b w:val="1"/>
                <w:bCs w:val="1"/>
                <w:color w:val="auto"/>
              </w:rPr>
              <w:t>Average</w:t>
            </w:r>
          </w:p>
        </w:tc>
        <w:tc>
          <w:tcPr>
            <w:tcW w:w="2060" w:type="dxa"/>
            <w:vAlign w:val="bottom"/>
          </w:tcPr>
          <w:p>
            <w:pPr>
              <w:jc w:val="center"/>
              <w:ind w:right="63"/>
              <w:spacing w:after="0"/>
              <w:rPr>
                <w:sz w:val="20"/>
                <w:szCs w:val="20"/>
                <w:color w:val="auto"/>
              </w:rPr>
            </w:pPr>
            <w:r>
              <w:rPr>
                <w:rFonts w:ascii="Arial" w:cs="Arial" w:eastAsia="Arial" w:hAnsi="Arial"/>
                <w:sz w:val="15"/>
                <w:szCs w:val="15"/>
                <w:b w:val="1"/>
                <w:bCs w:val="1"/>
                <w:color w:val="auto"/>
              </w:rPr>
              <w:t>Shares Purchased as</w:t>
            </w:r>
          </w:p>
        </w:tc>
        <w:tc>
          <w:tcPr>
            <w:tcW w:w="1580" w:type="dxa"/>
            <w:vAlign w:val="bottom"/>
            <w:gridSpan w:val="2"/>
          </w:tcPr>
          <w:p>
            <w:pPr>
              <w:jc w:val="center"/>
              <w:spacing w:after="0"/>
              <w:rPr>
                <w:sz w:val="20"/>
                <w:szCs w:val="20"/>
                <w:color w:val="auto"/>
              </w:rPr>
            </w:pPr>
            <w:r>
              <w:rPr>
                <w:rFonts w:ascii="Arial" w:cs="Arial" w:eastAsia="Arial" w:hAnsi="Arial"/>
                <w:sz w:val="15"/>
                <w:szCs w:val="15"/>
                <w:b w:val="1"/>
                <w:bCs w:val="1"/>
                <w:color w:val="auto"/>
              </w:rPr>
              <w:t>Shares that may</w:t>
            </w:r>
          </w:p>
        </w:tc>
      </w:tr>
      <w:tr>
        <w:trPr>
          <w:trHeight w:val="182"/>
        </w:trPr>
        <w:tc>
          <w:tcPr>
            <w:tcW w:w="2180" w:type="dxa"/>
            <w:vAlign w:val="bottom"/>
          </w:tcPr>
          <w:p>
            <w:pPr>
              <w:spacing w:after="0"/>
              <w:rPr>
                <w:sz w:val="15"/>
                <w:szCs w:val="15"/>
                <w:color w:val="auto"/>
              </w:rPr>
            </w:pPr>
          </w:p>
        </w:tc>
        <w:tc>
          <w:tcPr>
            <w:tcW w:w="1800" w:type="dxa"/>
            <w:vAlign w:val="bottom"/>
          </w:tcPr>
          <w:p>
            <w:pPr>
              <w:jc w:val="center"/>
              <w:ind w:left="223"/>
              <w:spacing w:after="0"/>
              <w:rPr>
                <w:sz w:val="20"/>
                <w:szCs w:val="20"/>
                <w:color w:val="auto"/>
              </w:rPr>
            </w:pPr>
            <w:r>
              <w:rPr>
                <w:rFonts w:ascii="Arial" w:cs="Arial" w:eastAsia="Arial" w:hAnsi="Arial"/>
                <w:sz w:val="15"/>
                <w:szCs w:val="15"/>
                <w:b w:val="1"/>
                <w:bCs w:val="1"/>
                <w:color w:val="auto"/>
              </w:rPr>
              <w:t>Number</w:t>
            </w:r>
          </w:p>
        </w:tc>
        <w:tc>
          <w:tcPr>
            <w:tcW w:w="320" w:type="dxa"/>
            <w:vAlign w:val="bottom"/>
          </w:tcPr>
          <w:p>
            <w:pPr>
              <w:spacing w:after="0"/>
              <w:rPr>
                <w:sz w:val="15"/>
                <w:szCs w:val="15"/>
                <w:color w:val="auto"/>
              </w:rPr>
            </w:pPr>
          </w:p>
        </w:tc>
        <w:tc>
          <w:tcPr>
            <w:tcW w:w="1160" w:type="dxa"/>
            <w:vAlign w:val="bottom"/>
          </w:tcPr>
          <w:p>
            <w:pPr>
              <w:jc w:val="center"/>
              <w:ind w:right="383"/>
              <w:spacing w:after="0"/>
              <w:rPr>
                <w:sz w:val="20"/>
                <w:szCs w:val="20"/>
                <w:color w:val="auto"/>
              </w:rPr>
            </w:pPr>
            <w:r>
              <w:rPr>
                <w:rFonts w:ascii="Arial" w:cs="Arial" w:eastAsia="Arial" w:hAnsi="Arial"/>
                <w:sz w:val="15"/>
                <w:szCs w:val="15"/>
                <w:b w:val="1"/>
                <w:bCs w:val="1"/>
                <w:color w:val="auto"/>
              </w:rPr>
              <w:t>Price</w:t>
            </w:r>
          </w:p>
        </w:tc>
        <w:tc>
          <w:tcPr>
            <w:tcW w:w="2060" w:type="dxa"/>
            <w:vAlign w:val="bottom"/>
          </w:tcPr>
          <w:p>
            <w:pPr>
              <w:jc w:val="center"/>
              <w:ind w:right="63"/>
              <w:spacing w:after="0"/>
              <w:rPr>
                <w:sz w:val="20"/>
                <w:szCs w:val="20"/>
                <w:color w:val="auto"/>
              </w:rPr>
            </w:pPr>
            <w:r>
              <w:rPr>
                <w:rFonts w:ascii="Arial" w:cs="Arial" w:eastAsia="Arial" w:hAnsi="Arial"/>
                <w:sz w:val="15"/>
                <w:szCs w:val="15"/>
                <w:b w:val="1"/>
                <w:bCs w:val="1"/>
                <w:color w:val="auto"/>
              </w:rPr>
              <w:t>Part of Publicly</w:t>
            </w:r>
          </w:p>
        </w:tc>
        <w:tc>
          <w:tcPr>
            <w:tcW w:w="1580" w:type="dxa"/>
            <w:vAlign w:val="bottom"/>
            <w:gridSpan w:val="2"/>
          </w:tcPr>
          <w:p>
            <w:pPr>
              <w:jc w:val="center"/>
              <w:spacing w:after="0"/>
              <w:rPr>
                <w:sz w:val="20"/>
                <w:szCs w:val="20"/>
                <w:color w:val="auto"/>
              </w:rPr>
            </w:pPr>
            <w:r>
              <w:rPr>
                <w:rFonts w:ascii="Arial" w:cs="Arial" w:eastAsia="Arial" w:hAnsi="Arial"/>
                <w:sz w:val="15"/>
                <w:szCs w:val="15"/>
                <w:b w:val="1"/>
                <w:bCs w:val="1"/>
                <w:color w:val="auto"/>
              </w:rPr>
              <w:t>yet be Purchased</w:t>
            </w:r>
          </w:p>
        </w:tc>
      </w:tr>
      <w:tr>
        <w:trPr>
          <w:trHeight w:val="195"/>
        </w:trPr>
        <w:tc>
          <w:tcPr>
            <w:tcW w:w="2180" w:type="dxa"/>
            <w:vAlign w:val="bottom"/>
          </w:tcPr>
          <w:p>
            <w:pPr>
              <w:spacing w:after="0"/>
              <w:rPr>
                <w:sz w:val="16"/>
                <w:szCs w:val="16"/>
                <w:color w:val="auto"/>
              </w:rPr>
            </w:pPr>
          </w:p>
        </w:tc>
        <w:tc>
          <w:tcPr>
            <w:tcW w:w="1800" w:type="dxa"/>
            <w:vAlign w:val="bottom"/>
          </w:tcPr>
          <w:p>
            <w:pPr>
              <w:jc w:val="center"/>
              <w:ind w:left="223"/>
              <w:spacing w:after="0"/>
              <w:rPr>
                <w:sz w:val="20"/>
                <w:szCs w:val="20"/>
                <w:color w:val="auto"/>
              </w:rPr>
            </w:pPr>
            <w:r>
              <w:rPr>
                <w:rFonts w:ascii="Arial" w:cs="Arial" w:eastAsia="Arial" w:hAnsi="Arial"/>
                <w:sz w:val="15"/>
                <w:szCs w:val="15"/>
                <w:b w:val="1"/>
                <w:bCs w:val="1"/>
                <w:color w:val="auto"/>
              </w:rPr>
              <w:t>of Shares</w:t>
            </w:r>
          </w:p>
        </w:tc>
        <w:tc>
          <w:tcPr>
            <w:tcW w:w="320" w:type="dxa"/>
            <w:vAlign w:val="bottom"/>
          </w:tcPr>
          <w:p>
            <w:pPr>
              <w:spacing w:after="0"/>
              <w:rPr>
                <w:sz w:val="16"/>
                <w:szCs w:val="16"/>
                <w:color w:val="auto"/>
              </w:rPr>
            </w:pPr>
          </w:p>
        </w:tc>
        <w:tc>
          <w:tcPr>
            <w:tcW w:w="1160" w:type="dxa"/>
            <w:vAlign w:val="bottom"/>
          </w:tcPr>
          <w:p>
            <w:pPr>
              <w:jc w:val="center"/>
              <w:ind w:right="383"/>
              <w:spacing w:after="0"/>
              <w:rPr>
                <w:sz w:val="20"/>
                <w:szCs w:val="20"/>
                <w:color w:val="auto"/>
              </w:rPr>
            </w:pPr>
            <w:r>
              <w:rPr>
                <w:rFonts w:ascii="Arial" w:cs="Arial" w:eastAsia="Arial" w:hAnsi="Arial"/>
                <w:sz w:val="15"/>
                <w:szCs w:val="15"/>
                <w:b w:val="1"/>
                <w:bCs w:val="1"/>
                <w:color w:val="auto"/>
              </w:rPr>
              <w:t>Paid Per</w:t>
            </w:r>
          </w:p>
        </w:tc>
        <w:tc>
          <w:tcPr>
            <w:tcW w:w="2060" w:type="dxa"/>
            <w:vAlign w:val="bottom"/>
          </w:tcPr>
          <w:p>
            <w:pPr>
              <w:jc w:val="center"/>
              <w:ind w:right="43"/>
              <w:spacing w:after="0"/>
              <w:rPr>
                <w:sz w:val="20"/>
                <w:szCs w:val="20"/>
                <w:color w:val="auto"/>
              </w:rPr>
            </w:pPr>
            <w:r>
              <w:rPr>
                <w:rFonts w:ascii="Arial" w:cs="Arial" w:eastAsia="Arial" w:hAnsi="Arial"/>
                <w:sz w:val="15"/>
                <w:szCs w:val="15"/>
                <w:b w:val="1"/>
                <w:bCs w:val="1"/>
                <w:color w:val="auto"/>
              </w:rPr>
              <w:t>Announced</w:t>
            </w:r>
          </w:p>
        </w:tc>
        <w:tc>
          <w:tcPr>
            <w:tcW w:w="260" w:type="dxa"/>
            <w:vAlign w:val="bottom"/>
          </w:tcPr>
          <w:p>
            <w:pPr>
              <w:spacing w:after="0"/>
              <w:rPr>
                <w:sz w:val="16"/>
                <w:szCs w:val="16"/>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Under the</w:t>
            </w:r>
          </w:p>
        </w:tc>
      </w:tr>
      <w:tr>
        <w:trPr>
          <w:trHeight w:val="194"/>
        </w:trPr>
        <w:tc>
          <w:tcPr>
            <w:tcW w:w="2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Purchased</w:t>
            </w:r>
          </w:p>
        </w:tc>
        <w:tc>
          <w:tcPr>
            <w:tcW w:w="1800" w:type="dxa"/>
            <w:vAlign w:val="bottom"/>
            <w:tcBorders>
              <w:bottom w:val="single" w:sz="8" w:color="auto"/>
            </w:tcBorders>
          </w:tcPr>
          <w:p>
            <w:pPr>
              <w:jc w:val="center"/>
              <w:ind w:left="243"/>
              <w:spacing w:after="0"/>
              <w:rPr>
                <w:sz w:val="20"/>
                <w:szCs w:val="20"/>
                <w:color w:val="auto"/>
              </w:rPr>
            </w:pPr>
            <w:r>
              <w:rPr>
                <w:rFonts w:ascii="Arial" w:cs="Arial" w:eastAsia="Arial" w:hAnsi="Arial"/>
                <w:sz w:val="15"/>
                <w:szCs w:val="15"/>
                <w:b w:val="1"/>
                <w:bCs w:val="1"/>
                <w:color w:val="auto"/>
              </w:rPr>
              <w:t xml:space="preserve">Purchased </w:t>
            </w:r>
            <w:r>
              <w:rPr>
                <w:rFonts w:ascii="Arial" w:cs="Arial" w:eastAsia="Arial" w:hAnsi="Arial"/>
                <w:sz w:val="8"/>
                <w:szCs w:val="8"/>
                <w:color w:val="auto"/>
              </w:rPr>
              <w:t>(1)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03"/>
              <w:spacing w:after="0"/>
              <w:rPr>
                <w:sz w:val="20"/>
                <w:szCs w:val="20"/>
                <w:color w:val="auto"/>
              </w:rPr>
            </w:pPr>
            <w:r>
              <w:rPr>
                <w:rFonts w:ascii="Arial" w:cs="Arial" w:eastAsia="Arial" w:hAnsi="Arial"/>
                <w:sz w:val="15"/>
                <w:szCs w:val="15"/>
                <w:b w:val="1"/>
                <w:bCs w:val="1"/>
                <w:color w:val="auto"/>
              </w:rPr>
              <w:t xml:space="preserve">Share </w:t>
            </w:r>
            <w:r>
              <w:rPr>
                <w:rFonts w:ascii="Arial" w:cs="Arial" w:eastAsia="Arial" w:hAnsi="Arial"/>
                <w:sz w:val="8"/>
                <w:szCs w:val="8"/>
                <w:color w:val="auto"/>
              </w:rPr>
              <w:t>(1)</w:t>
            </w:r>
          </w:p>
        </w:tc>
        <w:tc>
          <w:tcPr>
            <w:tcW w:w="206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r>
      <w:tr>
        <w:trPr>
          <w:trHeight w:val="187"/>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April 30 - May 27, 2017</w:t>
            </w:r>
          </w:p>
        </w:tc>
        <w:tc>
          <w:tcPr>
            <w:tcW w:w="1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200,155</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59.76</w:t>
            </w:r>
          </w:p>
        </w:tc>
        <w:tc>
          <w:tcPr>
            <w:tcW w:w="20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200,000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1,175,348,788</w:t>
            </w:r>
          </w:p>
        </w:tc>
      </w:tr>
      <w:tr>
        <w:trPr>
          <w:trHeight w:val="207"/>
        </w:trPr>
        <w:tc>
          <w:tcPr>
            <w:tcW w:w="2180" w:type="dxa"/>
            <w:vAlign w:val="bottom"/>
          </w:tcPr>
          <w:p>
            <w:pPr>
              <w:spacing w:after="0"/>
              <w:rPr>
                <w:sz w:val="20"/>
                <w:szCs w:val="20"/>
                <w:color w:val="auto"/>
              </w:rPr>
            </w:pPr>
            <w:r>
              <w:rPr>
                <w:rFonts w:ascii="Arial" w:cs="Arial" w:eastAsia="Arial" w:hAnsi="Arial"/>
                <w:sz w:val="15"/>
                <w:szCs w:val="15"/>
                <w:color w:val="auto"/>
              </w:rPr>
              <w:t>May 28 - July 1, 2017</w:t>
            </w:r>
          </w:p>
        </w:tc>
        <w:tc>
          <w:tcPr>
            <w:tcW w:w="1800" w:type="dxa"/>
            <w:vAlign w:val="bottom"/>
          </w:tcPr>
          <w:p>
            <w:pPr>
              <w:jc w:val="right"/>
              <w:ind w:right="143"/>
              <w:spacing w:after="0"/>
              <w:rPr>
                <w:sz w:val="20"/>
                <w:szCs w:val="20"/>
                <w:color w:val="auto"/>
              </w:rPr>
            </w:pPr>
            <w:r>
              <w:rPr>
                <w:rFonts w:ascii="Arial" w:cs="Arial" w:eastAsia="Arial" w:hAnsi="Arial"/>
                <w:sz w:val="15"/>
                <w:szCs w:val="15"/>
                <w:color w:val="auto"/>
              </w:rPr>
              <w:t>152,254</w:t>
            </w:r>
          </w:p>
        </w:tc>
        <w:tc>
          <w:tcPr>
            <w:tcW w:w="320" w:type="dxa"/>
            <w:vAlign w:val="bottom"/>
          </w:tcPr>
          <w:p>
            <w:pPr>
              <w:spacing w:after="0"/>
              <w:rPr>
                <w:sz w:val="17"/>
                <w:szCs w:val="17"/>
                <w:color w:val="auto"/>
              </w:rPr>
            </w:pPr>
          </w:p>
        </w:tc>
        <w:tc>
          <w:tcPr>
            <w:tcW w:w="1160" w:type="dxa"/>
            <w:vAlign w:val="bottom"/>
          </w:tcPr>
          <w:p>
            <w:pPr>
              <w:jc w:val="right"/>
              <w:ind w:right="143"/>
              <w:spacing w:after="0"/>
              <w:rPr>
                <w:sz w:val="20"/>
                <w:szCs w:val="20"/>
                <w:color w:val="auto"/>
              </w:rPr>
            </w:pPr>
            <w:r>
              <w:rPr>
                <w:rFonts w:ascii="Arial" w:cs="Arial" w:eastAsia="Arial" w:hAnsi="Arial"/>
                <w:sz w:val="15"/>
                <w:szCs w:val="15"/>
                <w:color w:val="auto"/>
              </w:rPr>
              <w:t>58.90</w:t>
            </w:r>
          </w:p>
        </w:tc>
        <w:tc>
          <w:tcPr>
            <w:tcW w:w="2060" w:type="dxa"/>
            <w:vAlign w:val="bottom"/>
          </w:tcPr>
          <w:p>
            <w:pPr>
              <w:jc w:val="right"/>
              <w:ind w:right="123"/>
              <w:spacing w:after="0"/>
              <w:rPr>
                <w:sz w:val="20"/>
                <w:szCs w:val="20"/>
                <w:color w:val="auto"/>
              </w:rPr>
            </w:pPr>
            <w:r>
              <w:rPr>
                <w:rFonts w:ascii="Arial" w:cs="Arial" w:eastAsia="Arial" w:hAnsi="Arial"/>
                <w:sz w:val="15"/>
                <w:szCs w:val="15"/>
                <w:color w:val="auto"/>
              </w:rPr>
              <w:t>150,000</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1,166,512,859</w:t>
            </w:r>
          </w:p>
        </w:tc>
      </w:tr>
      <w:tr>
        <w:trPr>
          <w:trHeight w:val="207"/>
        </w:trPr>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July 2 - July 29, 2017</w:t>
            </w:r>
          </w:p>
        </w:tc>
        <w:tc>
          <w:tcPr>
            <w:tcW w:w="1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20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1,166,512,859</w:t>
            </w:r>
          </w:p>
        </w:tc>
      </w:tr>
      <w:tr>
        <w:trPr>
          <w:trHeight w:val="187"/>
        </w:trPr>
        <w:tc>
          <w:tcPr>
            <w:tcW w:w="2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352,409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59.39</w:t>
            </w:r>
          </w:p>
        </w:tc>
        <w:tc>
          <w:tcPr>
            <w:tcW w:w="20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350,000</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bl>
    <w:p>
      <w:pPr>
        <w:spacing w:after="0" w:line="109" w:lineRule="exact"/>
        <w:rPr>
          <w:sz w:val="20"/>
          <w:szCs w:val="20"/>
          <w:color w:val="auto"/>
        </w:rPr>
      </w:pPr>
    </w:p>
    <w:p>
      <w:pPr>
        <w:jc w:val="both"/>
        <w:ind w:left="840" w:right="20" w:hanging="642"/>
        <w:spacing w:after="0" w:line="239" w:lineRule="auto"/>
        <w:tabs>
          <w:tab w:leader="none" w:pos="840" w:val="left"/>
        </w:tabs>
        <w:numPr>
          <w:ilvl w:val="0"/>
          <w:numId w:val="8"/>
        </w:numPr>
        <w:rPr>
          <w:rFonts w:ascii="Arial" w:cs="Arial" w:eastAsia="Arial" w:hAnsi="Arial"/>
          <w:sz w:val="11"/>
          <w:szCs w:val="11"/>
          <w:color w:val="auto"/>
        </w:rPr>
      </w:pPr>
      <w:r>
        <w:rPr>
          <w:rFonts w:ascii="Arial" w:cs="Arial" w:eastAsia="Arial" w:hAnsi="Arial"/>
          <w:sz w:val="12"/>
          <w:szCs w:val="12"/>
          <w:color w:val="auto"/>
        </w:rPr>
        <w:t>These columns also reflect shares acquired in satisfaction of the tax withholding obligations of holders of restricted stock units and restricted stock awards which vested during the quarter. The calculation of the average price paid per share includes all fees, commissions, and other costs associated with the repurchase of such shares.</w:t>
      </w:r>
    </w:p>
    <w:p>
      <w:pPr>
        <w:spacing w:after="0" w:line="98" w:lineRule="exact"/>
        <w:rPr>
          <w:rFonts w:ascii="Arial" w:cs="Arial" w:eastAsia="Arial" w:hAnsi="Arial"/>
          <w:sz w:val="11"/>
          <w:szCs w:val="11"/>
          <w:color w:val="auto"/>
        </w:rPr>
      </w:pPr>
    </w:p>
    <w:p>
      <w:pPr>
        <w:ind w:left="840" w:hanging="642"/>
        <w:spacing w:after="0"/>
        <w:tabs>
          <w:tab w:leader="none" w:pos="840" w:val="left"/>
        </w:tabs>
        <w:numPr>
          <w:ilvl w:val="0"/>
          <w:numId w:val="8"/>
        </w:numPr>
        <w:rPr>
          <w:rFonts w:ascii="Arial" w:cs="Arial" w:eastAsia="Arial" w:hAnsi="Arial"/>
          <w:sz w:val="11"/>
          <w:szCs w:val="11"/>
          <w:color w:val="auto"/>
        </w:rPr>
      </w:pPr>
      <w:r>
        <w:rPr>
          <w:rFonts w:ascii="Arial" w:cs="Arial" w:eastAsia="Arial" w:hAnsi="Arial"/>
          <w:sz w:val="12"/>
          <w:szCs w:val="12"/>
          <w:color w:val="auto"/>
        </w:rPr>
        <w:t>On February 14, 2017, the Board of Directors approved a 3-year, $1.2 billion share repurchase program extending through January 2020.</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6. Exhibits</w:t>
      </w:r>
    </w:p>
    <w:p>
      <w:pPr>
        <w:spacing w:after="0" w:line="186" w:lineRule="exact"/>
        <w:rPr>
          <w:sz w:val="20"/>
          <w:szCs w:val="20"/>
          <w:color w:val="auto"/>
        </w:rPr>
      </w:pPr>
    </w:p>
    <w:p>
      <w:pPr>
        <w:ind w:left="600" w:hanging="381"/>
        <w:spacing w:after="0"/>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Exhibits</w:t>
      </w:r>
    </w:p>
    <w:p>
      <w:pPr>
        <w:spacing w:after="0" w:line="22"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5"/>
          <w:szCs w:val="15"/>
          <w:color w:val="auto"/>
        </w:rPr>
        <w:t>The exhibits that are in this report immediately follow the index.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5"/>
          <w:szCs w:val="15"/>
          <w:b w:val="1"/>
          <w:bCs w:val="1"/>
          <w:color w:val="auto"/>
        </w:rPr>
        <w:t>SIGNATURE</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Pursuant to the requirements of the Securities Exchange Act of 1934, the Company has duly caused this report to be signed on its behalf by the undersigned thereunto duly authorized.</w:t>
      </w:r>
    </w:p>
    <w:p>
      <w:pPr>
        <w:spacing w:after="0" w:line="389" w:lineRule="exact"/>
        <w:rPr>
          <w:sz w:val="20"/>
          <w:szCs w:val="20"/>
          <w:color w:val="auto"/>
        </w:rPr>
      </w:pPr>
    </w:p>
    <w:p>
      <w:pPr>
        <w:spacing w:after="0"/>
        <w:tabs>
          <w:tab w:leader="none" w:pos="4540" w:val="left"/>
        </w:tabs>
        <w:rPr>
          <w:sz w:val="20"/>
          <w:szCs w:val="20"/>
          <w:color w:val="auto"/>
        </w:rPr>
      </w:pPr>
      <w:r>
        <w:rPr>
          <w:rFonts w:ascii="Arial" w:cs="Arial" w:eastAsia="Arial" w:hAnsi="Arial"/>
          <w:sz w:val="15"/>
          <w:szCs w:val="15"/>
          <w:color w:val="auto"/>
        </w:rPr>
        <w:t>Date: September 6, 2017</w:t>
      </w:r>
      <w:r>
        <w:rPr>
          <w:sz w:val="20"/>
          <w:szCs w:val="20"/>
          <w:color w:val="auto"/>
        </w:rPr>
        <w:tab/>
      </w:r>
      <w:r>
        <w:rPr>
          <w:rFonts w:ascii="Arial" w:cs="Arial" w:eastAsia="Arial" w:hAnsi="Arial"/>
          <w:sz w:val="15"/>
          <w:szCs w:val="15"/>
          <w:color w:val="auto"/>
        </w:rPr>
        <w:t>FOOT LOCKER, INC.</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1905</wp:posOffset>
            </wp:positionV>
            <wp:extent cx="288861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8615" cy="7620"/>
                    </a:xfrm>
                    <a:prstGeom prst="rect">
                      <a:avLst/>
                    </a:prstGeom>
                    <a:noFill/>
                  </pic:spPr>
                </pic:pic>
              </a:graphicData>
            </a:graphic>
          </wp:anchor>
        </w:drawing>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LAUREN B. PETERS</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700" w:right="1399" w:bottom="1440" w:gutter="0" w:footer="0" w:header="0"/>
        </w:sectPr>
      </w:pPr>
    </w:p>
    <w:bookmarkStart w:id="27" w:name="page28"/>
    <w:bookmarkEnd w:id="27"/>
    <w:p>
      <w:pPr>
        <w:ind w:left="376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INDEX OF EXHIBITS</w:t>
      </w:r>
    </w:p>
    <w:p>
      <w:pPr>
        <w:sectPr>
          <w:pgSz w:w="11900" w:h="16838" w:orient="portrait"/>
          <w:cols w:equalWidth="0" w:num="1">
            <w:col w:w="9019"/>
          </w:cols>
          <w:pgMar w:left="1440" w:top="311" w:right="1440" w:bottom="1440" w:gutter="0" w:footer="0" w:header="0"/>
        </w:sect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Exhibit No.</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12*</w:t>
      </w:r>
    </w:p>
    <w:p>
      <w:pPr>
        <w:spacing w:after="0" w:line="10" w:lineRule="exact"/>
        <w:rPr>
          <w:sz w:val="20"/>
          <w:szCs w:val="20"/>
          <w:color w:val="auto"/>
        </w:rPr>
      </w:pPr>
    </w:p>
    <w:p>
      <w:pPr>
        <w:jc w:val="center"/>
        <w:ind w:left="120"/>
        <w:spacing w:after="0"/>
        <w:rPr>
          <w:sz w:val="20"/>
          <w:szCs w:val="20"/>
          <w:color w:val="auto"/>
        </w:rPr>
      </w:pPr>
      <w:r>
        <w:rPr>
          <w:rFonts w:ascii="Arial" w:cs="Arial" w:eastAsia="Arial" w:hAnsi="Arial"/>
          <w:sz w:val="15"/>
          <w:szCs w:val="15"/>
          <w:color w:val="auto"/>
        </w:rPr>
        <w:t>15*</w:t>
      </w:r>
    </w:p>
    <w:p>
      <w:pPr>
        <w:spacing w:after="0" w:line="95" w:lineRule="exact"/>
        <w:rPr>
          <w:sz w:val="20"/>
          <w:szCs w:val="20"/>
          <w:color w:val="auto"/>
        </w:rPr>
      </w:pPr>
    </w:p>
    <w:p>
      <w:pPr>
        <w:jc w:val="center"/>
        <w:ind w:left="120"/>
        <w:spacing w:after="0"/>
        <w:rPr>
          <w:sz w:val="20"/>
          <w:szCs w:val="20"/>
          <w:color w:val="auto"/>
        </w:rPr>
      </w:pPr>
      <w:r>
        <w:rPr>
          <w:rFonts w:ascii="Arial" w:cs="Arial" w:eastAsia="Arial" w:hAnsi="Arial"/>
          <w:sz w:val="15"/>
          <w:szCs w:val="15"/>
          <w:color w:val="auto"/>
        </w:rPr>
        <w:t>31.1*</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31.2*</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32**</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99*</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101.INS*</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101.SCH*</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101.CAL*</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101.DEF*</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101.LAB*</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101.PRE*</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47625</wp:posOffset>
            </wp:positionV>
            <wp:extent cx="5777230" cy="1155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7230" cy="11557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Computation of Ratio of Earnings to Fixed Charges.</w:t>
        </w:r>
      </w:hyperlink>
    </w:p>
    <w:p>
      <w:pPr>
        <w:spacing w:after="0" w:line="10" w:lineRule="exact"/>
        <w:rPr>
          <w:sz w:val="20"/>
          <w:szCs w:val="20"/>
          <w:color w:val="auto"/>
        </w:rPr>
      </w:pPr>
    </w:p>
    <w:p>
      <w:pPr>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Accountants’ Acknowledgement.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5080</wp:posOffset>
            </wp:positionV>
            <wp:extent cx="5777230" cy="224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77230" cy="224155"/>
                    </a:xfrm>
                    <a:prstGeom prst="rect">
                      <a:avLst/>
                    </a:prstGeom>
                    <a:noFill/>
                  </pic:spPr>
                </pic:pic>
              </a:graphicData>
            </a:graphic>
          </wp:anchor>
        </w:drawing>
      </w:r>
    </w:p>
    <w:p>
      <w:pPr>
        <w:ind w:right="39"/>
        <w:spacing w:after="0" w:line="241" w:lineRule="auto"/>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Certification of Chief Executive Officer Pursuant to Rule 13a-14(a) or 15d-14(a), as adopted pursuant to Section 302 of the</w:t>
        </w:r>
      </w:hyperlink>
      <w:r>
        <w:rPr>
          <w:rFonts w:ascii="Arial" w:cs="Arial" w:eastAsia="Arial" w:hAnsi="Arial"/>
          <w:sz w:val="15"/>
          <w:szCs w:val="15"/>
          <w:u w:val="single" w:color="auto"/>
          <w:color w:val="0000EE"/>
        </w:rPr>
        <w:t xml:space="preserve"> </w:t>
      </w:r>
      <w:hyperlink w:anchor="page31">
        <w:r>
          <w:rPr>
            <w:rFonts w:ascii="Arial" w:cs="Arial" w:eastAsia="Arial" w:hAnsi="Arial"/>
            <w:sz w:val="15"/>
            <w:szCs w:val="15"/>
            <w:u w:val="single" w:color="auto"/>
            <w:color w:val="0000EE"/>
          </w:rPr>
          <w:t>Sarbanes-Oxley Act of 2002.</w:t>
        </w:r>
      </w:hyperlink>
    </w:p>
    <w:p>
      <w:pPr>
        <w:spacing w:after="0" w:line="6" w:lineRule="exact"/>
        <w:rPr>
          <w:sz w:val="20"/>
          <w:szCs w:val="20"/>
          <w:color w:val="auto"/>
        </w:rPr>
      </w:pPr>
    </w:p>
    <w:p>
      <w:pPr>
        <w:ind w:right="79"/>
        <w:spacing w:after="0" w:line="241" w:lineRule="auto"/>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Certification of Chief Financial Officer Pursuant to Rule 13a-14(a) or 15d-14(a), as adopted pursuant to Section 302 of the</w:t>
        </w:r>
      </w:hyperlink>
      <w:r>
        <w:rPr>
          <w:rFonts w:ascii="Arial" w:cs="Arial" w:eastAsia="Arial" w:hAnsi="Arial"/>
          <w:sz w:val="15"/>
          <w:szCs w:val="15"/>
          <w:u w:val="single" w:color="auto"/>
          <w:color w:val="0000EE"/>
        </w:rPr>
        <w:t xml:space="preserve"> </w:t>
      </w:r>
      <w:hyperlink w:anchor="page32">
        <w:r>
          <w:rPr>
            <w:rFonts w:ascii="Arial" w:cs="Arial" w:eastAsia="Arial" w:hAnsi="Arial"/>
            <w:sz w:val="15"/>
            <w:szCs w:val="15"/>
            <w:u w:val="single" w:color="auto"/>
            <w:color w:val="0000EE"/>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3175</wp:posOffset>
            </wp:positionV>
            <wp:extent cx="5777230" cy="224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77230" cy="224155"/>
                    </a:xfrm>
                    <a:prstGeom prst="rect">
                      <a:avLst/>
                    </a:prstGeom>
                    <a:noFill/>
                  </pic:spPr>
                </pic:pic>
              </a:graphicData>
            </a:graphic>
          </wp:anchor>
        </w:drawing>
      </w:r>
    </w:p>
    <w:p>
      <w:pPr>
        <w:ind w:right="559"/>
        <w:spacing w:after="0" w:line="241" w:lineRule="auto"/>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Certification of Chief Executive Officer and Chief Financial Officer Pursuant to 18 U.S.C. Section 1350, as adopted</w:t>
        </w:r>
      </w:hyperlink>
      <w:r>
        <w:rPr>
          <w:rFonts w:ascii="Arial" w:cs="Arial" w:eastAsia="Arial" w:hAnsi="Arial"/>
          <w:sz w:val="15"/>
          <w:szCs w:val="15"/>
          <w:u w:val="single" w:color="auto"/>
          <w:color w:val="0000EE"/>
        </w:rPr>
        <w:t xml:space="preserve"> </w:t>
      </w:r>
      <w:hyperlink w:anchor="page33">
        <w:r>
          <w:rPr>
            <w:rFonts w:ascii="Arial" w:cs="Arial" w:eastAsia="Arial" w:hAnsi="Arial"/>
            <w:sz w:val="15"/>
            <w:szCs w:val="15"/>
            <w:u w:val="single" w:color="auto"/>
            <w:color w:val="0000EE"/>
          </w:rPr>
          <w:t>pursuant to Section 906 of the Sarbanes-Oxley Act of 2002.</w:t>
        </w:r>
      </w:hyperlink>
    </w:p>
    <w:p>
      <w:pPr>
        <w:spacing w:after="0" w:line="6" w:lineRule="exact"/>
        <w:rPr>
          <w:sz w:val="20"/>
          <w:szCs w:val="20"/>
          <w:color w:val="auto"/>
        </w:rPr>
      </w:pPr>
    </w:p>
    <w:p>
      <w:pPr>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Report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5080</wp:posOffset>
            </wp:positionV>
            <wp:extent cx="5777230" cy="115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7230" cy="11557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XBRL Instance Document.</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5080</wp:posOffset>
            </wp:positionV>
            <wp:extent cx="5777230" cy="115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7230" cy="11557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XBRL Taxonomy Extension Calculation Linkbase.</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5080</wp:posOffset>
            </wp:positionV>
            <wp:extent cx="5777230" cy="1155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7230" cy="11557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XBRL Taxonomy Extension Label Linkbase.</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5080</wp:posOffset>
            </wp:positionV>
            <wp:extent cx="57772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220"/>
            <w:col w:w="7919"/>
          </w:cols>
          <w:pgMar w:left="1440" w:top="311" w:right="1440" w:bottom="1440" w:gutter="0" w:footer="0" w:header="0"/>
          <w:type w:val="continuous"/>
        </w:sectPr>
      </w:pPr>
    </w:p>
    <w:p>
      <w:pPr>
        <w:spacing w:after="0" w:line="17" w:lineRule="exact"/>
        <w:rPr>
          <w:sz w:val="20"/>
          <w:szCs w:val="20"/>
          <w:color w:val="auto"/>
        </w:rPr>
      </w:pPr>
    </w:p>
    <w:p>
      <w:pPr>
        <w:ind w:left="1100" w:hanging="634"/>
        <w:spacing w:after="0"/>
        <w:tabs>
          <w:tab w:leader="none" w:pos="11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22" w:lineRule="exact"/>
        <w:rPr>
          <w:sz w:val="20"/>
          <w:szCs w:val="20"/>
          <w:color w:val="auto"/>
        </w:rPr>
      </w:pPr>
    </w:p>
    <w:p>
      <w:pPr>
        <w:ind w:left="1100" w:hanging="663"/>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Furnished herewith.</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51435</wp:posOffset>
            </wp:positionV>
            <wp:extent cx="5817870" cy="48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019"/>
          </w:cols>
          <w:pgMar w:left="1440" w:top="311" w:right="1440" w:bottom="1440" w:gutter="0" w:footer="0" w:header="0"/>
          <w:type w:val="continuous"/>
        </w:sectPr>
      </w:pPr>
    </w:p>
    <w:bookmarkStart w:id="28" w:name="page29"/>
    <w:bookmarkEnd w:id="28"/>
    <w:p>
      <w:pPr>
        <w:ind w:left="8380"/>
        <w:spacing w:after="0"/>
        <w:rPr>
          <w:sz w:val="20"/>
          <w:szCs w:val="20"/>
          <w:color w:val="auto"/>
        </w:rPr>
      </w:pPr>
      <w:r>
        <w:rPr>
          <w:rFonts w:ascii="Arial" w:cs="Arial" w:eastAsia="Arial" w:hAnsi="Arial"/>
          <w:sz w:val="15"/>
          <w:szCs w:val="15"/>
          <w:b w:val="1"/>
          <w:bCs w:val="1"/>
          <w:color w:val="auto"/>
        </w:rPr>
        <w:t>Exhibit 12</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COMPUTATION OF RATIO OF EARNINGS TO FIXED CHARGES</w:t>
      </w:r>
    </w:p>
    <w:p>
      <w:pPr>
        <w:jc w:val="center"/>
        <w:ind w:right="20"/>
        <w:spacing w:after="0" w:line="236" w:lineRule="auto"/>
        <w:rPr>
          <w:sz w:val="20"/>
          <w:szCs w:val="20"/>
          <w:color w:val="auto"/>
        </w:rPr>
      </w:pPr>
      <w:r>
        <w:rPr>
          <w:rFonts w:ascii="Arial" w:cs="Arial" w:eastAsia="Arial" w:hAnsi="Arial"/>
          <w:sz w:val="15"/>
          <w:szCs w:val="15"/>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5"/>
                <w:szCs w:val="15"/>
                <w:b w:val="1"/>
                <w:bCs w:val="1"/>
                <w:color w:val="auto"/>
              </w:rPr>
              <w:t>Twenty-six weeks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ended</w:t>
            </w: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443"/>
              <w:spacing w:after="0"/>
              <w:rPr>
                <w:sz w:val="20"/>
                <w:szCs w:val="20"/>
                <w:color w:val="auto"/>
              </w:rPr>
            </w:pPr>
            <w:r>
              <w:rPr>
                <w:rFonts w:ascii="Arial" w:cs="Arial" w:eastAsia="Arial" w:hAnsi="Arial"/>
                <w:sz w:val="15"/>
                <w:szCs w:val="15"/>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ind w:left="40"/>
              <w:spacing w:after="0" w:line="151" w:lineRule="exact"/>
              <w:rPr>
                <w:sz w:val="20"/>
                <w:szCs w:val="20"/>
                <w:color w:val="auto"/>
              </w:rPr>
            </w:pPr>
            <w:r>
              <w:rPr>
                <w:rFonts w:ascii="Arial" w:cs="Arial" w:eastAsia="Arial" w:hAnsi="Arial"/>
                <w:sz w:val="15"/>
                <w:szCs w:val="15"/>
                <w:b w:val="1"/>
                <w:bCs w:val="1"/>
                <w:color w:val="auto"/>
              </w:rPr>
              <w:t>July 29,</w:t>
            </w:r>
          </w:p>
        </w:tc>
        <w:tc>
          <w:tcPr>
            <w:tcW w:w="220" w:type="dxa"/>
            <w:vAlign w:val="bottom"/>
          </w:tcPr>
          <w:p>
            <w:pPr>
              <w:spacing w:after="0"/>
              <w:rPr>
                <w:sz w:val="13"/>
                <w:szCs w:val="13"/>
                <w:color w:val="auto"/>
              </w:rPr>
            </w:pPr>
          </w:p>
        </w:tc>
        <w:tc>
          <w:tcPr>
            <w:tcW w:w="740" w:type="dxa"/>
            <w:vAlign w:val="bottom"/>
          </w:tcPr>
          <w:p>
            <w:pPr>
              <w:jc w:val="right"/>
              <w:ind w:right="83"/>
              <w:spacing w:after="0" w:line="151" w:lineRule="exact"/>
              <w:rPr>
                <w:sz w:val="20"/>
                <w:szCs w:val="20"/>
                <w:color w:val="auto"/>
              </w:rPr>
            </w:pPr>
            <w:r>
              <w:rPr>
                <w:rFonts w:ascii="Arial" w:cs="Arial" w:eastAsia="Arial" w:hAnsi="Arial"/>
                <w:sz w:val="15"/>
                <w:szCs w:val="15"/>
                <w:b w:val="1"/>
                <w:bCs w:val="1"/>
                <w:color w:val="auto"/>
              </w:rPr>
              <w:t>July 30,</w:t>
            </w:r>
          </w:p>
        </w:tc>
        <w:tc>
          <w:tcPr>
            <w:tcW w:w="260" w:type="dxa"/>
            <w:vAlign w:val="bottom"/>
          </w:tcPr>
          <w:p>
            <w:pPr>
              <w:spacing w:after="0"/>
              <w:rPr>
                <w:sz w:val="13"/>
                <w:szCs w:val="13"/>
                <w:color w:val="auto"/>
              </w:rPr>
            </w:pPr>
          </w:p>
        </w:tc>
        <w:tc>
          <w:tcPr>
            <w:tcW w:w="66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28,</w:t>
            </w:r>
          </w:p>
        </w:tc>
        <w:tc>
          <w:tcPr>
            <w:tcW w:w="180" w:type="dxa"/>
            <w:vAlign w:val="bottom"/>
          </w:tcPr>
          <w:p>
            <w:pPr>
              <w:spacing w:after="0"/>
              <w:rPr>
                <w:sz w:val="13"/>
                <w:szCs w:val="13"/>
                <w:color w:val="auto"/>
              </w:rPr>
            </w:pPr>
          </w:p>
        </w:tc>
        <w:tc>
          <w:tcPr>
            <w:tcW w:w="66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30,</w:t>
            </w:r>
          </w:p>
        </w:tc>
        <w:tc>
          <w:tcPr>
            <w:tcW w:w="180" w:type="dxa"/>
            <w:vAlign w:val="bottom"/>
          </w:tcPr>
          <w:p>
            <w:pPr>
              <w:spacing w:after="0"/>
              <w:rPr>
                <w:sz w:val="13"/>
                <w:szCs w:val="13"/>
                <w:color w:val="auto"/>
              </w:rPr>
            </w:pPr>
          </w:p>
        </w:tc>
        <w:tc>
          <w:tcPr>
            <w:tcW w:w="66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31,</w:t>
            </w:r>
          </w:p>
        </w:tc>
        <w:tc>
          <w:tcPr>
            <w:tcW w:w="180" w:type="dxa"/>
            <w:vAlign w:val="bottom"/>
          </w:tcPr>
          <w:p>
            <w:pPr>
              <w:spacing w:after="0"/>
              <w:rPr>
                <w:sz w:val="13"/>
                <w:szCs w:val="13"/>
                <w:color w:val="auto"/>
              </w:rPr>
            </w:pPr>
          </w:p>
        </w:tc>
        <w:tc>
          <w:tcPr>
            <w:tcW w:w="620" w:type="dxa"/>
            <w:vAlign w:val="bottom"/>
          </w:tcPr>
          <w:p>
            <w:pPr>
              <w:jc w:val="right"/>
              <w:ind w:right="23"/>
              <w:spacing w:after="0" w:line="151" w:lineRule="exact"/>
              <w:rPr>
                <w:sz w:val="20"/>
                <w:szCs w:val="20"/>
                <w:color w:val="auto"/>
              </w:rPr>
            </w:pPr>
            <w:r>
              <w:rPr>
                <w:rFonts w:ascii="Arial" w:cs="Arial" w:eastAsia="Arial" w:hAnsi="Arial"/>
                <w:sz w:val="15"/>
                <w:szCs w:val="15"/>
                <w:b w:val="1"/>
                <w:bCs w:val="1"/>
                <w:color w:val="auto"/>
              </w:rPr>
              <w:t>Feb. 1,</w:t>
            </w:r>
          </w:p>
        </w:tc>
        <w:tc>
          <w:tcPr>
            <w:tcW w:w="180" w:type="dxa"/>
            <w:vAlign w:val="bottom"/>
          </w:tcPr>
          <w:p>
            <w:pPr>
              <w:spacing w:after="0"/>
              <w:rPr>
                <w:sz w:val="13"/>
                <w:szCs w:val="13"/>
                <w:color w:val="auto"/>
              </w:rPr>
            </w:pPr>
          </w:p>
        </w:tc>
        <w:tc>
          <w:tcPr>
            <w:tcW w:w="62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Feb. 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2016</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2015</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2014</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NET EARNINGS</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Net income</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231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318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664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541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520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111</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178</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980" w:type="dxa"/>
            <w:vAlign w:val="bottom"/>
          </w:tcPr>
          <w:p>
            <w:pPr>
              <w:spacing w:after="0"/>
              <w:rPr>
                <w:sz w:val="20"/>
                <w:szCs w:val="20"/>
                <w:color w:val="auto"/>
              </w:rPr>
            </w:pPr>
            <w:r>
              <w:rPr>
                <w:rFonts w:ascii="Arial" w:cs="Arial" w:eastAsia="Arial" w:hAnsi="Arial"/>
                <w:sz w:val="15"/>
                <w:szCs w:val="15"/>
                <w:color w:val="auto"/>
              </w:rPr>
              <w:t>Interest expense, excluding capitalized</w:t>
            </w:r>
          </w:p>
        </w:tc>
        <w:tc>
          <w:tcPr>
            <w:tcW w:w="2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160"/>
              <w:spacing w:after="0"/>
              <w:rPr>
                <w:sz w:val="20"/>
                <w:szCs w:val="20"/>
                <w:color w:val="auto"/>
              </w:rPr>
            </w:pPr>
            <w:r>
              <w:rPr>
                <w:rFonts w:ascii="Arial" w:cs="Arial" w:eastAsia="Arial" w:hAnsi="Arial"/>
                <w:sz w:val="15"/>
                <w:szCs w:val="15"/>
                <w:color w:val="auto"/>
              </w:rPr>
              <w:t>interest</w:t>
            </w: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6</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w:t>
            </w:r>
          </w:p>
        </w:tc>
        <w:tc>
          <w:tcPr>
            <w:tcW w:w="280" w:type="dxa"/>
            <w:vAlign w:val="bottom"/>
            <w:shd w:val="clear" w:color="auto" w:fill="CCEEFF"/>
          </w:tcPr>
          <w:p>
            <w:pPr>
              <w:spacing w:after="0"/>
              <w:rPr>
                <w:sz w:val="24"/>
                <w:szCs w:val="2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135</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the interest factor (1/3)</w:t>
            </w: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126</w:t>
            </w: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FIXED CHARGES</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Gross interest expense</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w:t>
            </w:r>
          </w:p>
        </w:tc>
        <w:tc>
          <w:tcPr>
            <w:tcW w:w="280" w:type="dxa"/>
            <w:vAlign w:val="bottom"/>
            <w:shd w:val="clear" w:color="auto" w:fill="CCEEFF"/>
          </w:tcPr>
          <w:p>
            <w:pPr>
              <w:spacing w:after="0"/>
              <w:rPr>
                <w:sz w:val="24"/>
                <w:szCs w:val="2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135</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the interest factor (1/3)</w:t>
            </w: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126</w:t>
            </w: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20"/>
                <w:szCs w:val="20"/>
                <w:color w:val="auto"/>
              </w:rPr>
            </w:pPr>
            <w:r>
              <w:rPr>
                <w:rFonts w:ascii="Arial" w:cs="Arial" w:eastAsia="Arial" w:hAnsi="Arial"/>
                <w:sz w:val="15"/>
                <w:szCs w:val="15"/>
                <w:color w:val="auto"/>
              </w:rPr>
              <w:t>RATIO OF EARNINGS TO FIXED</w:t>
            </w:r>
          </w:p>
        </w:tc>
        <w:tc>
          <w:tcPr>
            <w:tcW w:w="2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CHARGES</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4.8</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0"/>
        </w:trPr>
        <w:tc>
          <w:tcPr>
            <w:tcW w:w="2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29" w:name="page30"/>
    <w:bookmarkEnd w:id="29"/>
    <w:p>
      <w:pPr>
        <w:ind w:left="8380"/>
        <w:spacing w:after="0"/>
        <w:rPr>
          <w:sz w:val="20"/>
          <w:szCs w:val="20"/>
          <w:color w:val="auto"/>
        </w:rPr>
      </w:pPr>
      <w:r>
        <w:rPr>
          <w:rFonts w:ascii="Arial" w:cs="Arial" w:eastAsia="Arial" w:hAnsi="Arial"/>
          <w:sz w:val="15"/>
          <w:szCs w:val="15"/>
          <w:b w:val="1"/>
          <w:bCs w:val="1"/>
          <w:color w:val="auto"/>
        </w:rPr>
        <w:t>Exhibit 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ACCOUNTANTS’ ACKNOWLEDGEMENT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Foot Locker, Inc.:</w:t>
      </w:r>
    </w:p>
    <w:p>
      <w:pPr>
        <w:spacing w:after="0" w:line="24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We hereby acknowledge our awareness of the use of our report dated September 6, 2017 related to our review of interim financial information in the following Registration Statements:</w:t>
      </w:r>
    </w:p>
    <w:p>
      <w:pPr>
        <w:spacing w:after="0" w:line="182" w:lineRule="exact"/>
        <w:rPr>
          <w:sz w:val="20"/>
          <w:szCs w:val="20"/>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33-10783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33-91888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33-91886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33-97832</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333-07215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333-21131</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333-62425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333-33120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333-41056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333-41058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333-74688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333-99829</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333-111222</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333-121515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333-144044</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333-149803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S-3 No. 33-43334</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S-3 No. 33-86300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S-3 No. 333-64930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333-167066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333-171523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333-190680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333-196899</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September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692150</wp:posOffset>
            </wp:positionV>
            <wp:extent cx="5817870" cy="4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30" w:name="page31"/>
    <w:bookmarkEnd w:id="30"/>
    <w:p>
      <w:pPr>
        <w:ind w:left="8200"/>
        <w:spacing w:after="0"/>
        <w:rPr>
          <w:sz w:val="20"/>
          <w:szCs w:val="20"/>
          <w:color w:val="auto"/>
        </w:rPr>
      </w:pPr>
      <w:r>
        <w:rPr>
          <w:rFonts w:ascii="Arial" w:cs="Arial" w:eastAsia="Arial" w:hAnsi="Arial"/>
          <w:sz w:val="15"/>
          <w:szCs w:val="15"/>
          <w:b w:val="1"/>
          <w:bCs w:val="1"/>
          <w:color w:val="auto"/>
        </w:rPr>
        <w:t>Exhibit 31.1</w:t>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CERTIFICATION</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 Richard A. Johnson, certify that:</w:t>
      </w:r>
    </w:p>
    <w:p>
      <w:pPr>
        <w:spacing w:after="0" w:line="132" w:lineRule="exact"/>
        <w:rPr>
          <w:sz w:val="20"/>
          <w:szCs w:val="20"/>
          <w:color w:val="auto"/>
        </w:rPr>
      </w:pPr>
    </w:p>
    <w:p>
      <w:pPr>
        <w:ind w:left="880" w:hanging="696"/>
        <w:spacing w:after="0"/>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119"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8"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560" w:hanging="683"/>
        <w:spacing w:after="0" w:line="254"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September 6, 2017</w:t>
      </w:r>
    </w:p>
    <w:p>
      <w:pPr>
        <w:spacing w:after="0" w:line="59"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1905</wp:posOffset>
            </wp:positionV>
            <wp:extent cx="155257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39"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584200</wp:posOffset>
            </wp:positionV>
            <wp:extent cx="5817870" cy="4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280"/>
          </w:cols>
          <w:pgMar w:left="1440" w:top="115" w:right="1179" w:bottom="1440" w:gutter="0" w:footer="0" w:header="0"/>
        </w:sectPr>
      </w:pPr>
    </w:p>
    <w:bookmarkStart w:id="31" w:name="page32"/>
    <w:bookmarkEnd w:id="31"/>
    <w:p>
      <w:pPr>
        <w:jc w:val="right"/>
        <w:spacing w:after="0"/>
        <w:rPr>
          <w:sz w:val="20"/>
          <w:szCs w:val="20"/>
          <w:color w:val="auto"/>
        </w:rPr>
      </w:pPr>
      <w:r>
        <w:rPr>
          <w:rFonts w:ascii="Arial" w:cs="Arial" w:eastAsia="Arial" w:hAnsi="Arial"/>
          <w:sz w:val="15"/>
          <w:szCs w:val="15"/>
          <w:b w:val="1"/>
          <w:bCs w:val="1"/>
          <w:color w:val="auto"/>
        </w:rPr>
        <w:t>Exhibit 31.2</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CERTIFICATION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 Lauren B. Peters, certify that:</w:t>
      </w:r>
    </w:p>
    <w:p>
      <w:pPr>
        <w:spacing w:after="0" w:line="180" w:lineRule="exact"/>
        <w:rPr>
          <w:sz w:val="20"/>
          <w:szCs w:val="20"/>
          <w:color w:val="auto"/>
        </w:rPr>
      </w:pPr>
    </w:p>
    <w:p>
      <w:pPr>
        <w:ind w:left="880" w:hanging="696"/>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168"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6"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4"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5"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0"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1"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560" w:hanging="683"/>
        <w:spacing w:after="0" w:line="254"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September 6, 2017</w:t>
      </w:r>
    </w:p>
    <w:p>
      <w:pPr>
        <w:spacing w:after="0" w:line="5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1905</wp:posOffset>
            </wp:positionV>
            <wp:extent cx="14986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98600" cy="7620"/>
                    </a:xfrm>
                    <a:prstGeom prst="rect">
                      <a:avLst/>
                    </a:prstGeom>
                    <a:noFill/>
                  </pic:spPr>
                </pic:pic>
              </a:graphicData>
            </a:graphic>
          </wp:anchor>
        </w:drawing>
      </w:r>
    </w:p>
    <w:p>
      <w:pPr>
        <w:spacing w:after="0" w:line="3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560705</wp:posOffset>
            </wp:positionV>
            <wp:extent cx="5817870" cy="4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060"/>
          </w:cols>
          <w:pgMar w:left="1440" w:top="140" w:right="1399" w:bottom="1440" w:gutter="0" w:footer="0" w:header="0"/>
        </w:sectPr>
      </w:pPr>
    </w:p>
    <w:bookmarkStart w:id="32" w:name="page33"/>
    <w:bookmarkEnd w:id="32"/>
    <w:p>
      <w:pPr>
        <w:jc w:val="right"/>
        <w:spacing w:after="0"/>
        <w:rPr>
          <w:sz w:val="20"/>
          <w:szCs w:val="20"/>
          <w:color w:val="auto"/>
        </w:rPr>
      </w:pPr>
      <w:r>
        <w:rPr>
          <w:rFonts w:ascii="Arial" w:cs="Arial" w:eastAsia="Arial" w:hAnsi="Arial"/>
          <w:sz w:val="15"/>
          <w:szCs w:val="15"/>
          <w:b w:val="1"/>
          <w:bCs w:val="1"/>
          <w:color w:val="auto"/>
        </w:rPr>
        <w:t>Exhibit 32</w:t>
      </w:r>
    </w:p>
    <w:p>
      <w:pPr>
        <w:spacing w:after="0" w:line="168"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FOOT LOCKER, INC.</w:t>
      </w:r>
    </w:p>
    <w:p>
      <w:pPr>
        <w:spacing w:after="0" w:line="168"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jc w:val="center"/>
        <w:spacing w:after="0" w:line="236" w:lineRule="auto"/>
        <w:rPr>
          <w:sz w:val="20"/>
          <w:szCs w:val="20"/>
          <w:color w:val="auto"/>
        </w:rPr>
      </w:pPr>
      <w:r>
        <w:rPr>
          <w:rFonts w:ascii="Arial" w:cs="Arial" w:eastAsia="Arial" w:hAnsi="Arial"/>
          <w:sz w:val="15"/>
          <w:szCs w:val="15"/>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connection with the Quarterly Report on Form 10-Q of Foot Locker, Inc. (the “Registrant”) for the quarterly period ended July 29, 2017,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68" w:lineRule="exact"/>
        <w:rPr>
          <w:sz w:val="20"/>
          <w:szCs w:val="20"/>
          <w:color w:val="auto"/>
        </w:rPr>
      </w:pPr>
    </w:p>
    <w:p>
      <w:pPr>
        <w:ind w:left="600" w:hanging="363"/>
        <w:spacing w:after="0"/>
        <w:tabs>
          <w:tab w:leader="none" w:pos="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387" w:lineRule="exact"/>
        <w:rPr>
          <w:rFonts w:ascii="Arial" w:cs="Arial" w:eastAsia="Arial" w:hAnsi="Arial"/>
          <w:sz w:val="15"/>
          <w:szCs w:val="15"/>
          <w:color w:val="auto"/>
        </w:rPr>
      </w:pPr>
    </w:p>
    <w:p>
      <w:pPr>
        <w:ind w:left="600" w:hanging="363"/>
        <w:spacing w:after="0" w:line="254" w:lineRule="auto"/>
        <w:tabs>
          <w:tab w:leader="none" w:pos="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Dated: September 6, 2017</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Richard A. Johnson</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Executive Officer</w:t>
      </w:r>
    </w:p>
    <w:p>
      <w:pPr>
        <w:spacing w:after="0" w:line="265"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Lauren B. Peters</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Financial Officer</w:t>
      </w:r>
    </w:p>
    <w:p>
      <w:pPr>
        <w:spacing w:after="0" w:line="200" w:lineRule="exact"/>
        <w:rPr>
          <w:sz w:val="20"/>
          <w:szCs w:val="20"/>
          <w:color w:val="auto"/>
        </w:rPr>
      </w:pPr>
    </w:p>
    <w:p>
      <w:pPr>
        <w:spacing w:after="0" w:line="30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568325</wp:posOffset>
            </wp:positionV>
            <wp:extent cx="5817870" cy="48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3" w:right="1399" w:bottom="1440" w:gutter="0" w:footer="0" w:header="0"/>
        </w:sectPr>
      </w:pPr>
    </w:p>
    <w:bookmarkStart w:id="33" w:name="page34"/>
    <w:bookmarkEnd w:id="33"/>
    <w:p>
      <w:pPr>
        <w:ind w:left="8380"/>
        <w:spacing w:after="0"/>
        <w:rPr>
          <w:sz w:val="20"/>
          <w:szCs w:val="20"/>
          <w:color w:val="auto"/>
        </w:rPr>
      </w:pPr>
      <w:r>
        <w:rPr>
          <w:rFonts w:ascii="Arial" w:cs="Arial" w:eastAsia="Arial" w:hAnsi="Arial"/>
          <w:sz w:val="15"/>
          <w:szCs w:val="15"/>
          <w:b w:val="1"/>
          <w:bCs w:val="1"/>
          <w:color w:val="auto"/>
        </w:rPr>
        <w:t>Exhibit 99</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and Shareholders</w:t>
      </w:r>
    </w:p>
    <w:p>
      <w:pPr>
        <w:spacing w:after="0"/>
        <w:rPr>
          <w:sz w:val="20"/>
          <w:szCs w:val="20"/>
          <w:color w:val="auto"/>
        </w:rPr>
      </w:pPr>
      <w:r>
        <w:rPr>
          <w:rFonts w:ascii="Arial" w:cs="Arial" w:eastAsia="Arial" w:hAnsi="Arial"/>
          <w:sz w:val="15"/>
          <w:szCs w:val="15"/>
          <w:color w:val="auto"/>
        </w:rPr>
        <w:t>Foot Locker, Inc.:</w:t>
      </w:r>
    </w:p>
    <w:p>
      <w:pPr>
        <w:spacing w:after="0" w:line="29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have reviewed the accompanying condensed consolidated balance sheets of Foot Locker, Inc. and subsidiaries as of July 29, 2017 and July 30, 2016, and the related condensed consolidated statements of operations and comprehensive income for the thirteen and twenty-six week periods ended July 29, 2017 and July 30, 2016, and the related condensed consolidated statements of cash flows for the twenty-six week periods ended July 29, 2017 and July 30, 2016. These condensed consolidated financial statements are the responsibility of the Company’s management.</w:t>
      </w:r>
    </w:p>
    <w:p>
      <w:pPr>
        <w:spacing w:after="0" w:line="119"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09" w:lineRule="exact"/>
        <w:rPr>
          <w:sz w:val="20"/>
          <w:szCs w:val="20"/>
          <w:color w:val="auto"/>
        </w:rPr>
      </w:pPr>
    </w:p>
    <w:p>
      <w:pPr>
        <w:jc w:val="both"/>
        <w:spacing w:after="0"/>
        <w:rPr>
          <w:sz w:val="20"/>
          <w:szCs w:val="20"/>
          <w:color w:val="auto"/>
        </w:rPr>
      </w:pPr>
      <w:r>
        <w:rPr>
          <w:rFonts w:ascii="Arial" w:cs="Arial" w:eastAsia="Arial" w:hAnsi="Arial"/>
          <w:sz w:val="15"/>
          <w:szCs w:val="15"/>
          <w:color w:val="auto"/>
        </w:rPr>
        <w:t>We have previously audited, in accordance with the standards of the Public Company Accounting Oversight Board (United States), the consolidated balance sheet of Foot Locker, Inc. and subsidiaries as of January 28, 2017, and the related consolidated statements of operations, comprehensive income, shareholders’ equity, and cash flows for the year then ended (not presented herein); and in our report dated March 23, 2017 we expressed an unqualified opinion on those consolidated financial statements. In our opinion, the information set forth in the accompanying condensed consolidated balance sheet as of January 28, 2017, is fairly stated, in all material respects, in relation to the consolidated balance sheet from which it has been derived.</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rPr>
          <w:sz w:val="20"/>
          <w:szCs w:val="20"/>
          <w:color w:val="auto"/>
        </w:rPr>
      </w:pPr>
      <w:r>
        <w:rPr>
          <w:rFonts w:ascii="Arial" w:cs="Arial" w:eastAsia="Arial" w:hAnsi="Arial"/>
          <w:sz w:val="15"/>
          <w:szCs w:val="15"/>
          <w:color w:val="auto"/>
        </w:rPr>
        <w:t>September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638175</wp:posOffset>
            </wp:positionV>
            <wp:extent cx="5817870" cy="4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sectPr>
      <w:pgSz w:w="11900" w:h="16838" w:orient="portrait"/>
      <w:cols w:equalWidth="0" w:num="1">
        <w:col w:w="9100"/>
      </w:cols>
      <w:pgMar w:left="1400" w:top="116"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2019-12-29T04:47:09Z</dcterms:created>
  <dcterms:modified xsi:type="dcterms:W3CDTF">2019-12-29T04:47:09Z</dcterms:modified>
</cp:coreProperties>
</file>