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820" w:hanging="452"/>
        <w:spacing w:after="0"/>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November 1, 2014</w:t>
      </w:r>
    </w:p>
    <w:p>
      <w:pPr>
        <w:spacing w:after="0" w:line="225" w:lineRule="exact"/>
        <w:rPr>
          <w:sz w:val="24"/>
          <w:szCs w:val="24"/>
          <w:color w:val="auto"/>
        </w:rPr>
      </w:pPr>
    </w:p>
    <w:p>
      <w:pPr>
        <w:ind w:left="3600" w:right="1900" w:hanging="3268"/>
        <w:spacing w:after="0" w:line="501" w:lineRule="auto"/>
        <w:tabs>
          <w:tab w:leader="none" w:pos="8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ind w:left="44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820" w:space="720"/>
            <w:col w:w="3880"/>
          </w:cols>
          <w:pgMar w:left="240" w:top="44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spacing w:after="0" w:line="207" w:lineRule="exact"/>
        <w:tabs>
          <w:tab w:leader="none" w:pos="2620" w:val="left"/>
          <w:tab w:leader="none" w:pos="5260" w:val="left"/>
          <w:tab w:leader="none" w:pos="7880" w:val="left"/>
        </w:tabs>
        <w:rPr>
          <w:sz w:val="20"/>
          <w:szCs w:val="20"/>
          <w:color w:val="auto"/>
        </w:rPr>
      </w:pPr>
      <w:r>
        <w:rPr>
          <w:rFonts w:ascii="Arial" w:cs="Arial" w:eastAsia="Arial" w:hAnsi="Arial"/>
          <w:sz w:val="18"/>
          <w:szCs w:val="18"/>
          <w:color w:val="auto"/>
        </w:rPr>
        <w:t>Large accelerated filer þ</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þ</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$0.01 per share, outstanding as of November 28, 2014 was 142,086,468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rPr>
              <w:t>FOOT LOCKER,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820" w:type="dxa"/>
            <w:vAlign w:val="bottom"/>
            <w:tcBorders>
              <w:top w:val="single" w:sz="8" w:color="CCEEFF"/>
            </w:tcBorders>
            <w:gridSpan w:val="18"/>
            <w:shd w:val="clear" w:color="auto" w:fill="CCEEFF"/>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56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62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6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56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58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39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56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8560" w:type="dxa"/>
            <w:vAlign w:val="bottom"/>
            <w:gridSpan w:val="1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678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PART II.</w:t>
            </w:r>
          </w:p>
        </w:tc>
        <w:tc>
          <w:tcPr>
            <w:tcW w:w="9820" w:type="dxa"/>
            <w:vAlign w:val="bottom"/>
            <w:gridSpan w:val="18"/>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7220" w:type="dxa"/>
            <w:vAlign w:val="bottom"/>
            <w:tcBorders>
              <w:bottom w:val="single" w:sz="8" w:color="CCEEFF"/>
            </w:tcBorders>
            <w:gridSpan w:val="1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8560" w:type="dxa"/>
            <w:vAlign w:val="bottom"/>
            <w:gridSpan w:val="1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420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8560" w:type="dxa"/>
            <w:vAlign w:val="bottom"/>
            <w:gridSpan w:val="1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20" w:type="dxa"/>
            <w:vAlign w:val="bottom"/>
            <w:gridSpan w:val="1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INDEX OF EXHIBITS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center"/>
              <w:ind w:left="2630"/>
              <w:spacing w:after="0"/>
              <w:rPr>
                <w:sz w:val="20"/>
                <w:szCs w:val="20"/>
                <w:color w:val="auto"/>
              </w:rPr>
            </w:pPr>
            <w:r>
              <w:rPr>
                <w:rFonts w:ascii="Arial" w:cs="Arial" w:eastAsia="Arial" w:hAnsi="Arial"/>
                <w:sz w:val="18"/>
                <w:szCs w:val="18"/>
                <w:color w:val="auto"/>
                <w:w w:val="99"/>
              </w:rPr>
              <w:t>2</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November 1,</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February 1,</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inventories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rPr>
              <w:t>Common stock and paid-in capital: 170,469,434; 168,675,093; and 169,039,095 shares,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Treasury stock at cost: 27,323,176; 22,035,758; and 23,612,273 shares, respectively</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86" w:lineRule="auto"/>
        <w:tabs>
          <w:tab w:leader="none" w:pos="13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balance sheet at February 1, 2014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the Company’s 2013 Annual Report on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220"/>
              <w:spacing w:after="0" w:line="205" w:lineRule="exact"/>
              <w:rPr>
                <w:sz w:val="20"/>
                <w:szCs w:val="20"/>
                <w:color w:val="auto"/>
              </w:rPr>
            </w:pPr>
            <w:r>
              <w:rPr>
                <w:rFonts w:ascii="Arial" w:cs="Arial" w:eastAsia="Arial" w:hAnsi="Arial"/>
                <w:sz w:val="18"/>
                <w:szCs w:val="18"/>
                <w:b w:val="1"/>
                <w:bCs w:val="1"/>
                <w:color w:val="auto"/>
                <w:w w:val="96"/>
              </w:rPr>
              <w:t>November 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earnings per share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 earnings per share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Weighted-average common shares assuming dilution</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8"/>
                <w:szCs w:val="18"/>
                <w:b w:val="1"/>
                <w:bCs w:val="1"/>
                <w:color w:val="auto"/>
              </w:rPr>
              <w:t>Thirteen weeks ended</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Thirty-nine weeks ended</w:t>
            </w: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360" w:type="dxa"/>
            <w:vAlign w:val="bottom"/>
            <w:gridSpan w:val="3"/>
          </w:tcPr>
          <w:p>
            <w:pPr>
              <w:jc w:val="right"/>
              <w:ind w:right="300"/>
              <w:spacing w:after="0" w:line="205" w:lineRule="exact"/>
              <w:rPr>
                <w:sz w:val="20"/>
                <w:szCs w:val="20"/>
                <w:color w:val="auto"/>
              </w:rPr>
            </w:pPr>
            <w:r>
              <w:rPr>
                <w:rFonts w:ascii="Arial" w:cs="Arial" w:eastAsia="Arial" w:hAnsi="Arial"/>
                <w:sz w:val="18"/>
                <w:szCs w:val="18"/>
                <w:b w:val="1"/>
                <w:bCs w:val="1"/>
                <w:color w:val="auto"/>
                <w:w w:val="96"/>
              </w:rPr>
              <w:t>November 1,</w:t>
            </w:r>
          </w:p>
        </w:tc>
        <w:tc>
          <w:tcPr>
            <w:tcW w:w="20" w:type="dxa"/>
            <w:vAlign w:val="bottom"/>
          </w:tcPr>
          <w:p>
            <w:pPr>
              <w:spacing w:after="0"/>
              <w:rPr>
                <w:sz w:val="17"/>
                <w:szCs w:val="17"/>
                <w:color w:val="auto"/>
              </w:rPr>
            </w:pPr>
          </w:p>
        </w:tc>
        <w:tc>
          <w:tcPr>
            <w:tcW w:w="112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4"/>
              </w:rPr>
              <w:t>November 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line="201" w:lineRule="exact"/>
              <w:rPr>
                <w:sz w:val="20"/>
                <w:szCs w:val="20"/>
                <w:color w:val="auto"/>
              </w:rPr>
            </w:pPr>
            <w:r>
              <w:rPr>
                <w:rFonts w:ascii="Arial" w:cs="Arial" w:eastAsia="Arial" w:hAnsi="Arial"/>
                <w:sz w:val="18"/>
                <w:szCs w:val="18"/>
                <w:color w:val="auto"/>
                <w:w w:val="93"/>
              </w:rPr>
              <w:t>Amortization of net actuarial gain/loss included in net periodic benefit costs,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20" w:type="dxa"/>
            <w:vAlign w:val="bottom"/>
            <w:gridSpan w:val="2"/>
          </w:tcPr>
          <w:p>
            <w:pPr>
              <w:spacing w:after="0"/>
              <w:rPr>
                <w:sz w:val="20"/>
                <w:szCs w:val="20"/>
                <w:color w:val="auto"/>
              </w:rPr>
            </w:pPr>
            <w:r>
              <w:rPr>
                <w:rFonts w:ascii="Arial" w:cs="Arial" w:eastAsia="Arial" w:hAnsi="Arial"/>
                <w:sz w:val="18"/>
                <w:szCs w:val="18"/>
                <w:color w:val="auto"/>
              </w:rPr>
              <w:t>of income tax expense of $2, $1, $4, and $3 million, respectively</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9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860" w:type="dxa"/>
            <w:vAlign w:val="bottom"/>
            <w:gridSpan w:val="2"/>
          </w:tcPr>
          <w:p>
            <w:pPr>
              <w:jc w:val="right"/>
              <w:ind w:right="710"/>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rPr>
              <w:t>FOOT LOCKER,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5"/>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140"/>
              <w:spacing w:after="0" w:line="205" w:lineRule="exact"/>
              <w:rPr>
                <w:sz w:val="20"/>
                <w:szCs w:val="20"/>
                <w:color w:val="auto"/>
              </w:rPr>
            </w:pPr>
            <w:r>
              <w:rPr>
                <w:rFonts w:ascii="Arial" w:cs="Arial" w:eastAsia="Arial" w:hAnsi="Arial"/>
                <w:sz w:val="18"/>
                <w:szCs w:val="18"/>
                <w:b w:val="1"/>
                <w:bCs w:val="1"/>
                <w:color w:val="auto"/>
                <w:w w:val="96"/>
              </w:rPr>
              <w:t>November 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Non-cash impairment charges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Qualified pension plan contributions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Excess tax benefits on 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80"/>
              <w:spacing w:after="0"/>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8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From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termination gains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business, net of cash acquired</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From Financing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shares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Treasury stock issued under employee stock purchase plan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on share-based compensation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Repayments of long-term debt and obligations under capital leases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ind w:right="2980"/>
        <w:spacing w:after="0" w:line="276" w:lineRule="auto"/>
        <w:rPr>
          <w:sz w:val="20"/>
          <w:szCs w:val="20"/>
          <w:color w:val="auto"/>
        </w:rPr>
      </w:pPr>
      <w:r>
        <w:rPr>
          <w:rFonts w:ascii="Arial" w:cs="Arial" w:eastAsia="Arial" w:hAnsi="Arial"/>
          <w:sz w:val="18"/>
          <w:szCs w:val="18"/>
          <w:b w:val="1"/>
          <w:bCs w:val="1"/>
          <w:color w:val="auto"/>
        </w:rPr>
        <w:t>Effect of exchange rate fluctuations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 at end of interim period</w:t>
      </w:r>
    </w:p>
    <w:p>
      <w:pPr>
        <w:spacing w:after="0" w:line="20" w:lineRule="exact"/>
        <w:rPr>
          <w:sz w:val="20"/>
          <w:szCs w:val="20"/>
          <w:color w:val="auto"/>
        </w:rPr>
      </w:pPr>
      <w:r>
        <w:rPr>
          <w:sz w:val="20"/>
          <w:szCs w:val="20"/>
          <w:color w:val="auto"/>
        </w:rPr>
        <w:br w:type="column"/>
      </w:r>
    </w:p>
    <w:p>
      <w:pPr>
        <w:ind w:left="900"/>
        <w:spacing w:after="0"/>
        <w:tabs>
          <w:tab w:leader="none" w:pos="2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4</w:t>
      </w:r>
    </w:p>
    <w:p>
      <w:pPr>
        <w:spacing w:after="0" w:line="37" w:lineRule="exact"/>
        <w:rPr>
          <w:sz w:val="20"/>
          <w:szCs w:val="20"/>
          <w:color w:val="auto"/>
        </w:rPr>
      </w:pPr>
    </w:p>
    <w:p>
      <w:pPr>
        <w:ind w:left="2160" w:hanging="1199"/>
        <w:spacing w:after="0"/>
        <w:tabs>
          <w:tab w:leader="none" w:pos="2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(116)</w:t>
      </w:r>
    </w:p>
    <w:p>
      <w:pPr>
        <w:spacing w:after="0" w:line="34" w:lineRule="exact"/>
        <w:rPr>
          <w:rFonts w:ascii="Arial" w:cs="Arial" w:eastAsia="Arial" w:hAnsi="Arial"/>
          <w:sz w:val="17"/>
          <w:szCs w:val="17"/>
          <w:color w:val="auto"/>
        </w:rPr>
      </w:pPr>
    </w:p>
    <w:p>
      <w:pPr>
        <w:ind w:left="2220" w:hanging="1349"/>
        <w:spacing w:after="0"/>
        <w:tabs>
          <w:tab w:leader="none" w:pos="2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-276860</wp:posOffset>
            </wp:positionV>
            <wp:extent cx="1586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5" w:lineRule="exact"/>
        <w:rPr>
          <w:sz w:val="20"/>
          <w:szCs w:val="20"/>
          <w:color w:val="auto"/>
        </w:rPr>
      </w:pPr>
    </w:p>
    <w:p>
      <w:pPr>
        <w:spacing w:after="0"/>
        <w:tabs>
          <w:tab w:leader="none" w:pos="860" w:val="left"/>
          <w:tab w:leader="none" w:pos="134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916</w:t>
        <w:tab/>
        <w:t>$</w:t>
      </w:r>
      <w:r>
        <w:rPr>
          <w:sz w:val="20"/>
          <w:szCs w:val="20"/>
          <w:color w:val="auto"/>
        </w:rPr>
        <w:tab/>
      </w:r>
      <w:r>
        <w:rPr>
          <w:rFonts w:ascii="Arial" w:cs="Arial" w:eastAsia="Arial" w:hAnsi="Arial"/>
          <w:sz w:val="16"/>
          <w:szCs w:val="16"/>
          <w:color w:val="auto"/>
        </w:rPr>
        <w:t>764</w:t>
      </w:r>
    </w:p>
    <w:p>
      <w:pPr>
        <w:spacing w:after="0" w:line="23" w:lineRule="exact"/>
        <w:rPr>
          <w:sz w:val="20"/>
          <w:szCs w:val="20"/>
          <w:color w:val="auto"/>
        </w:rPr>
      </w:pPr>
    </w:p>
    <w:p>
      <w:pPr>
        <w:sectPr>
          <w:pgSz w:w="11900" w:h="16838" w:orient="portrait"/>
          <w:cols w:equalWidth="0" w:num="2">
            <w:col w:w="8100" w:space="720"/>
            <w:col w:w="260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520" w:type="dxa"/>
            <w:vAlign w:val="bottom"/>
            <w:tcBorders>
              <w:top w:val="single" w:sz="8" w:color="CCEEFF"/>
            </w:tcBorders>
            <w:shd w:val="clear" w:color="auto" w:fill="CCEEFF"/>
          </w:tcPr>
          <w:p>
            <w:pPr>
              <w:spacing w:after="0"/>
              <w:rPr>
                <w:sz w:val="20"/>
                <w:szCs w:val="20"/>
                <w:color w:val="auto"/>
              </w:rPr>
            </w:pPr>
          </w:p>
        </w:tc>
        <w:tc>
          <w:tcPr>
            <w:tcW w:w="33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the management of Foot Locker, Inc. (the “Company”), the condensed consolidated financial statements include all adjustments, which are of a normal recurring nature, necessary for a fair presentation of the results for the interim periods of the fiscal year ending January 31, 2015 and of the fiscal year ended February 1, 2014.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Form 10-K for the year ended February 1, 2014, as filed with the U.S. Securities and Exchange Commission (the “SEC”) on March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The amendments in this update change the requirements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ASU 2014-08 is effective prospectively for fiscal years, and interim reporting periods within those years, beginning after December 15, 2014, with earlier adoption permitted. The adoption of this guidance did not have a significant effect on our consolidated financial position, results of operations or cash flows.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issued as a new Topic, Accounting Standards Codification Topic 606.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2016, including interim periods within that reporting period, with earlier adoption not permitted. ASU 2014-09 can be adopted either retrospectively to each prior reporting period presented or as a cumulative-effect adjustment as of the date of adoption. The adoption of this guidance is not expected to have a significant effect on our consolidated financial position, results of operations or cash flows.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adoption of this guidance is not expected to have a significant effect on our consolidated financial position, results of operations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Impairment and Other Charges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w w:val="95"/>
              </w:rPr>
              <w:t>Thirteen weeks ended</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Thirty-nine weeks ended</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114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240" w:type="dxa"/>
            <w:vAlign w:val="bottom"/>
            <w:gridSpan w:val="3"/>
          </w:tcPr>
          <w:p>
            <w:pPr>
              <w:jc w:val="right"/>
              <w:ind w:right="180"/>
              <w:spacing w:after="0" w:line="205" w:lineRule="exact"/>
              <w:rPr>
                <w:sz w:val="20"/>
                <w:szCs w:val="20"/>
                <w:color w:val="auto"/>
              </w:rPr>
            </w:pPr>
            <w:r>
              <w:rPr>
                <w:rFonts w:ascii="Arial" w:cs="Arial" w:eastAsia="Arial" w:hAnsi="Arial"/>
                <w:sz w:val="18"/>
                <w:szCs w:val="18"/>
                <w:b w:val="1"/>
                <w:bCs w:val="1"/>
                <w:color w:val="auto"/>
                <w:w w:val="96"/>
              </w:rPr>
              <w:t>November 1,</w:t>
            </w:r>
          </w:p>
        </w:tc>
        <w:tc>
          <w:tcPr>
            <w:tcW w:w="12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CCS store closure costs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5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first quarter of 2014, the Company recorded a charge of $1 million to fully write down the tradename related to the Company’s stores in the Republic of Ireland, reflecting historical and projected underperformance. Additionally, during the second quarter of 2014, the Company announced a plan to shut down its e-commerce skate business, CCS.com, and transition customers to its Eastbay brand. Accordingly, an impairment charge of $2 million was recorded to write down the value of the CCS tradename. The liquidation was substantially completed during the third quarter ended November 1, 2014. This closure does not meet the definition of a discontinued operation as it is not considered a strategic shift that will have a major effect on operations.</w:t>
      </w:r>
    </w:p>
    <w:p>
      <w:pPr>
        <w:spacing w:after="0" w:line="15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As of November 1, 2014, the Company has two reportable segments, Athletic Stores and Direct-to-Customers. The Company evaluates performance based on several factors, of which the primary financial measure is division profit. Division profit reflects income before income taxes, corporate expense, non-operating income, and net interest expense. Sales and division profit for the Company’s reportable segments for the thirteen weeks and thirty-nine weeks ended November 1, 2014 and November 2, 2013 are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2400" w:type="dxa"/>
            <w:vAlign w:val="bottom"/>
            <w:gridSpan w:val="7"/>
          </w:tcPr>
          <w:p>
            <w:pPr>
              <w:ind w:left="1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05"/>
        </w:trPr>
        <w:tc>
          <w:tcPr>
            <w:tcW w:w="5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November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300"/>
              <w:spacing w:after="0" w:line="205" w:lineRule="exact"/>
              <w:rPr>
                <w:sz w:val="20"/>
                <w:szCs w:val="20"/>
                <w:color w:val="auto"/>
              </w:rPr>
            </w:pPr>
            <w:r>
              <w:rPr>
                <w:rFonts w:ascii="Arial" w:cs="Arial" w:eastAsia="Arial" w:hAnsi="Arial"/>
                <w:sz w:val="18"/>
                <w:szCs w:val="18"/>
                <w:b w:val="1"/>
                <w:bCs w:val="1"/>
                <w:color w:val="auto"/>
                <w:w w:val="96"/>
              </w:rPr>
              <w:t>November 1,</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4"/>
              </w:rPr>
              <w:t>November 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Athletic Stores </w:t>
            </w:r>
            <w:r>
              <w:rPr>
                <w:rFonts w:ascii="Arial" w:cs="Arial" w:eastAsia="Arial" w:hAnsi="Arial"/>
                <w:sz w:val="28"/>
                <w:szCs w:val="28"/>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Division profit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Corporate expense, net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09"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the thirty-nine weeks ended November 1, 2014 is a $1 million tradename impairment charge related to the Company’s stores in the Republic of Ireland. Included in the Athletic Stores segment for the thirty-nine weeks ended November 2, 2013 is a $2 million charge recorded in connection with the closure of all CCS stores.</w:t>
      </w:r>
    </w:p>
    <w:p>
      <w:pPr>
        <w:spacing w:after="0" w:line="1" w:lineRule="exact"/>
        <w:rPr>
          <w:rFonts w:ascii="Arial" w:cs="Arial" w:eastAsia="Arial" w:hAnsi="Arial"/>
          <w:sz w:val="30"/>
          <w:szCs w:val="30"/>
          <w:color w:val="auto"/>
          <w:vertAlign w:val="superscript"/>
        </w:rPr>
      </w:pPr>
    </w:p>
    <w:p>
      <w:pPr>
        <w:ind w:left="340" w:right="2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Included in the Direct-to-Customers segment for the thirty-nine weeks ended November 1, 2014 is a $2 million impairment charge related to the CCS tradename.</w:t>
      </w:r>
    </w:p>
    <w:p>
      <w:pPr>
        <w:spacing w:after="0" w:line="2"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Annually during the first quarter, or more frequently if impairment indicators arise, the Company reviews goodwill and intangible assets with indefinite lives for impairment. The annual review of goodwill performed during the first quarter of 2014 did not result in impairment charges as the fair value of each of the reporting units substantially exceeded its carrying value. During the second quarter of 2014, in connection with the shutdown of the CCS e-commerce business, the Company recorded a non-cash impairment charge of $2 million to write down the value of the CCS tradename. Additionally, during the first quarter of 2014, the Company recorded a non-cash impairment charge of $1 million to fully write down the remaining value of the tradename related to the Company’s stores in the Republic of Ireland, reflecting historical and projected underperformance.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 by reportable segment. The change represents foreign exchange fluctuations.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November 1,</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November 1, 2014</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November 2, 2013</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February 1, 2014</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08"/>
              <w:spacing w:after="0" w:line="133" w:lineRule="exact"/>
              <w:rPr>
                <w:sz w:val="20"/>
                <w:szCs w:val="20"/>
                <w:color w:val="auto"/>
              </w:rPr>
            </w:pPr>
            <w:r>
              <w:rPr>
                <w:rFonts w:ascii="Arial" w:cs="Arial" w:eastAsia="Arial" w:hAnsi="Arial"/>
                <w:sz w:val="14"/>
                <w:szCs w:val="14"/>
                <w:b w:val="1"/>
                <w:bCs w:val="1"/>
                <w:color w:val="auto"/>
                <w:w w:val="94"/>
              </w:rPr>
              <w:t>Accum.</w:t>
            </w:r>
          </w:p>
        </w:tc>
        <w:tc>
          <w:tcPr>
            <w:tcW w:w="140" w:type="dxa"/>
            <w:vAlign w:val="bottom"/>
          </w:tcPr>
          <w:p>
            <w:pPr>
              <w:spacing w:after="0"/>
              <w:rPr>
                <w:sz w:val="11"/>
                <w:szCs w:val="11"/>
                <w:color w:val="auto"/>
              </w:rPr>
            </w:pPr>
          </w:p>
        </w:tc>
        <w:tc>
          <w:tcPr>
            <w:tcW w:w="660" w:type="dxa"/>
            <w:vAlign w:val="bottom"/>
          </w:tcPr>
          <w:p>
            <w:pPr>
              <w:jc w:val="right"/>
              <w:ind w:right="228"/>
              <w:spacing w:after="0" w:line="13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99"/>
              <w:spacing w:after="0" w:line="133" w:lineRule="exact"/>
              <w:rPr>
                <w:sz w:val="20"/>
                <w:szCs w:val="20"/>
                <w:color w:val="auto"/>
              </w:rPr>
            </w:pPr>
            <w:r>
              <w:rPr>
                <w:rFonts w:ascii="Arial" w:cs="Arial" w:eastAsia="Arial" w:hAnsi="Arial"/>
                <w:sz w:val="14"/>
                <w:szCs w:val="14"/>
                <w:b w:val="1"/>
                <w:bCs w:val="1"/>
                <w:color w:val="auto"/>
                <w:w w:val="94"/>
              </w:rPr>
              <w:t>Accum.</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79"/>
              <w:spacing w:after="0" w:line="133" w:lineRule="exact"/>
              <w:rPr>
                <w:sz w:val="20"/>
                <w:szCs w:val="20"/>
                <w:color w:val="auto"/>
              </w:rPr>
            </w:pPr>
            <w:r>
              <w:rPr>
                <w:rFonts w:ascii="Arial" w:cs="Arial" w:eastAsia="Arial" w:hAnsi="Arial"/>
                <w:sz w:val="14"/>
                <w:szCs w:val="14"/>
                <w:b w:val="1"/>
                <w:bCs w:val="1"/>
                <w:color w:val="auto"/>
                <w:w w:val="94"/>
              </w:rPr>
              <w:t>Accum.</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3"/>
              </w:rPr>
              <w:t>amort.</w:t>
            </w: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amort.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amort.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i w:val="1"/>
                <w:iCs w:val="1"/>
                <w:color w:val="auto"/>
              </w:rPr>
              <w:t xml:space="preserve">Amortized intangible assets: </w:t>
            </w:r>
            <w:r>
              <w:rPr>
                <w:rFonts w:ascii="Arial" w:cs="Arial" w:eastAsia="Arial" w:hAnsi="Arial"/>
                <w:sz w:val="21"/>
                <w:szCs w:val="21"/>
                <w:i w:val="1"/>
                <w:iCs w:val="1"/>
                <w:color w:val="auto"/>
                <w:vertAlign w:val="superscript"/>
              </w:rPr>
              <w:t>(1)</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Lease acquisition costs</w:t>
            </w:r>
          </w:p>
        </w:tc>
        <w:tc>
          <w:tcPr>
            <w:tcW w:w="600" w:type="dxa"/>
            <w:vAlign w:val="bottom"/>
          </w:tcPr>
          <w:p>
            <w:pPr>
              <w:jc w:val="right"/>
              <w:ind w:right="44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143</w:t>
            </w:r>
          </w:p>
        </w:tc>
        <w:tc>
          <w:tcPr>
            <w:tcW w:w="3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(129)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3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(140)</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(137)</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Trademarks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Favorable leases</w:t>
            </w:r>
          </w:p>
        </w:tc>
        <w:tc>
          <w:tcPr>
            <w:tcW w:w="6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 relationships</w:t>
            </w: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192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w:t>
            </w:r>
          </w:p>
        </w:tc>
        <w:tc>
          <w:tcPr>
            <w:tcW w:w="260" w:type="dxa"/>
            <w:vAlign w:val="bottom"/>
            <w:tcBorders>
              <w:bottom w:val="single" w:sz="8" w:color="CCEEFF"/>
            </w:tcBorders>
          </w:tcPr>
          <w:p>
            <w:pPr>
              <w:jc w:val="right"/>
              <w:ind w:right="128"/>
              <w:spacing w:after="0" w:line="142"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w:t>
            </w:r>
          </w:p>
        </w:tc>
        <w:tc>
          <w:tcPr>
            <w:tcW w:w="160" w:type="dxa"/>
            <w:vAlign w:val="bottom"/>
            <w:tcBorders>
              <w:bottom w:val="single" w:sz="8" w:color="CCEEFF"/>
            </w:tcBorders>
          </w:tcPr>
          <w:p>
            <w:pPr>
              <w:jc w:val="right"/>
              <w:ind w:right="79"/>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2"/>
          </w:tcPr>
          <w:p>
            <w:pPr>
              <w:spacing w:after="0" w:line="189" w:lineRule="exact"/>
              <w:rPr>
                <w:sz w:val="20"/>
                <w:szCs w:val="20"/>
                <w:color w:val="auto"/>
              </w:rPr>
            </w:pPr>
            <w:r>
              <w:rPr>
                <w:rFonts w:ascii="Arial" w:cs="Arial" w:eastAsia="Arial" w:hAnsi="Arial"/>
                <w:sz w:val="13"/>
                <w:szCs w:val="13"/>
                <w:i w:val="1"/>
                <w:iCs w:val="1"/>
                <w:color w:val="auto"/>
              </w:rPr>
              <w:t xml:space="preserve">Indefinite life intangible assets: </w:t>
            </w:r>
            <w:r>
              <w:rPr>
                <w:rFonts w:ascii="Arial" w:cs="Arial" w:eastAsia="Arial" w:hAnsi="Arial"/>
                <w:sz w:val="21"/>
                <w:szCs w:val="21"/>
                <w:i w:val="1"/>
                <w:iCs w:val="1"/>
                <w:color w:val="auto"/>
                <w:vertAlign w:val="superscript"/>
              </w:rPr>
              <w:t>(1)</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Runners Point Group trademarks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 trademarks </w:t>
            </w:r>
            <w:r>
              <w:rPr>
                <w:rFonts w:ascii="Arial" w:cs="Arial" w:eastAsia="Arial" w:hAnsi="Arial"/>
                <w:sz w:val="23"/>
                <w:szCs w:val="23"/>
                <w:color w:val="auto"/>
                <w:vertAlign w:val="superscript"/>
              </w:rPr>
              <w:t>(2)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Other intangible assets, net</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effect of foreign currency translation related primarily to the movements of the euro in relation to the U.S. dollar.</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accumulated impairment charge related to other trademarks is $27 million. This includes $3 million of impairment charges recorded during the thirty-nine weeks ended November 1, 2014.</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$11 million change in goodwill and other intangible assets for the thirty-nine week period ended November 1, 2014, included $5 million of amortization expense, $3 million related to the impairment charges noted above, and a $4 million decrease related to foreign currency exchange fluctuations. This was offset by $1 million of lease acquisition additions related to Foot Locker Europe, which are being amortized over a weighted-average life of 9 years.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4. Goodwill and Other Intangible Assets – (continued)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Thirteen weeks ended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8"/>
          </w:tcPr>
          <w:p>
            <w:pPr>
              <w:jc w:val="right"/>
              <w:ind w:right="320"/>
              <w:spacing w:after="0"/>
              <w:rPr>
                <w:sz w:val="20"/>
                <w:szCs w:val="20"/>
                <w:color w:val="auto"/>
              </w:rPr>
            </w:pPr>
            <w:r>
              <w:rPr>
                <w:rFonts w:ascii="Arial" w:cs="Arial" w:eastAsia="Arial" w:hAnsi="Arial"/>
                <w:sz w:val="18"/>
                <w:szCs w:val="18"/>
                <w:b w:val="1"/>
                <w:bCs w:val="1"/>
                <w:color w:val="auto"/>
                <w:w w:val="94"/>
              </w:rPr>
              <w:t>Thirty-nine weeks ended</w:t>
            </w:r>
          </w:p>
        </w:tc>
      </w:tr>
      <w:tr>
        <w:trPr>
          <w:trHeight w:val="205"/>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center"/>
              <w:ind w:right="300"/>
              <w:spacing w:after="0" w:line="205" w:lineRule="exact"/>
              <w:rPr>
                <w:sz w:val="20"/>
                <w:szCs w:val="20"/>
                <w:color w:val="auto"/>
              </w:rPr>
            </w:pPr>
            <w:r>
              <w:rPr>
                <w:rFonts w:ascii="Arial" w:cs="Arial" w:eastAsia="Arial" w:hAnsi="Arial"/>
                <w:sz w:val="18"/>
                <w:szCs w:val="18"/>
                <w:b w:val="1"/>
                <w:bCs w:val="1"/>
                <w:color w:val="auto"/>
                <w:w w:val="90"/>
              </w:rPr>
              <w:t>November 1,</w:t>
            </w:r>
          </w:p>
        </w:tc>
        <w:tc>
          <w:tcPr>
            <w:tcW w:w="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360" w:type="dxa"/>
            <w:vAlign w:val="bottom"/>
            <w:tcBorders>
              <w:top w:val="single" w:sz="8" w:color="auto"/>
            </w:tcBorders>
            <w:gridSpan w:val="4"/>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140" w:type="dxa"/>
            <w:vAlign w:val="bottom"/>
            <w:tcBorders>
              <w:top w:val="single" w:sz="8" w:color="auto"/>
            </w:tcBorders>
            <w:gridSpan w:val="4"/>
          </w:tcPr>
          <w:p>
            <w:pPr>
              <w:jc w:val="center"/>
              <w:spacing w:after="0" w:line="205"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7"/>
                <w:szCs w:val="17"/>
                <w:color w:val="auto"/>
              </w:rPr>
            </w:pPr>
          </w:p>
        </w:tc>
      </w:tr>
      <w:tr>
        <w:trPr>
          <w:trHeight w:val="23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97"/>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7440" w:type="dxa"/>
            <w:vAlign w:val="bottom"/>
            <w:gridSpan w:val="10"/>
          </w:tcPr>
          <w:p>
            <w:pPr>
              <w:spacing w:after="0"/>
              <w:rPr>
                <w:sz w:val="20"/>
                <w:szCs w:val="20"/>
                <w:color w:val="auto"/>
              </w:rPr>
            </w:pPr>
            <w:r>
              <w:rPr>
                <w:rFonts w:ascii="Arial" w:cs="Arial" w:eastAsia="Arial" w:hAnsi="Arial"/>
                <w:sz w:val="18"/>
                <w:szCs w:val="18"/>
                <w:color w:val="auto"/>
              </w:rPr>
              <w:t>Future expected amortization expense for finite life intangible assets is estimated as follows:</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(in millions)</w:t>
            </w:r>
          </w:p>
        </w:tc>
      </w:tr>
      <w:tr>
        <w:trPr>
          <w:trHeight w:val="210"/>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5. Accumulated Other Comprehensive Loss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960" w:type="dxa"/>
            <w:vAlign w:val="bottom"/>
            <w:gridSpan w:val="5"/>
          </w:tcPr>
          <w:p>
            <w:pPr>
              <w:spacing w:after="0"/>
              <w:rPr>
                <w:sz w:val="20"/>
                <w:szCs w:val="20"/>
                <w:color w:val="auto"/>
              </w:rPr>
            </w:pPr>
            <w:r>
              <w:rPr>
                <w:rFonts w:ascii="Arial" w:cs="Arial" w:eastAsia="Arial" w:hAnsi="Arial"/>
                <w:sz w:val="18"/>
                <w:szCs w:val="18"/>
                <w:color w:val="auto"/>
              </w:rPr>
              <w:t>Accumulated other comprehensive loss was comprised of the following: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2"/>
              </w:rPr>
              <w:t>November 1,</w:t>
            </w: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24"/>
                <w:szCs w:val="2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February 1,</w:t>
            </w:r>
          </w:p>
        </w:tc>
      </w:tr>
      <w:tr>
        <w:trPr>
          <w:trHeight w:val="234"/>
        </w:trPr>
        <w:tc>
          <w:tcPr>
            <w:tcW w:w="5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97"/>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5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5"/>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(234)</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960" w:type="dxa"/>
            <w:vAlign w:val="bottom"/>
            <w:gridSpan w:val="5"/>
          </w:tcPr>
          <w:p>
            <w:pPr>
              <w:spacing w:after="0"/>
              <w:rPr>
                <w:sz w:val="20"/>
                <w:szCs w:val="20"/>
                <w:color w:val="auto"/>
              </w:rPr>
            </w:pPr>
            <w:r>
              <w:rPr>
                <w:rFonts w:ascii="Arial" w:cs="Arial" w:eastAsia="Arial" w:hAnsi="Arial"/>
                <w:sz w:val="18"/>
                <w:szCs w:val="18"/>
                <w:color w:val="auto"/>
              </w:rPr>
              <w:t>Unrealized loss on available-for-sale security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w:t>
            </w:r>
          </w:p>
        </w:tc>
        <w:tc>
          <w:tcPr>
            <w:tcW w:w="2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for the thirty-nine weeks ended November 1,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Items related to</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pension and</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2"/>
              </w:rPr>
              <w:t>loss 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Cash flow</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postretirement</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available-for-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adjustments</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hedges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benefits</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sale security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23"/>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February 1, 2014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02"/>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0"/>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November 1, 2014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rPr>
              <w:t>FOOT LOCKER, INC.</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0000" w:type="dxa"/>
            <w:vAlign w:val="bottom"/>
            <w:gridSpan w:val="2"/>
          </w:tcPr>
          <w:p>
            <w:pPr>
              <w:jc w:val="center"/>
              <w:ind w:left="97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0180" w:type="dxa"/>
            <w:vAlign w:val="bottom"/>
            <w:gridSpan w:val="3"/>
          </w:tcPr>
          <w:p>
            <w:pPr>
              <w:spacing w:after="0"/>
              <w:rPr>
                <w:sz w:val="20"/>
                <w:szCs w:val="20"/>
                <w:color w:val="auto"/>
              </w:rPr>
            </w:pPr>
            <w:r>
              <w:rPr>
                <w:rFonts w:ascii="Arial" w:cs="Arial" w:eastAsia="Arial" w:hAnsi="Arial"/>
                <w:sz w:val="18"/>
                <w:szCs w:val="18"/>
                <w:b w:val="1"/>
                <w:bCs w:val="1"/>
                <w:color w:val="auto"/>
              </w:rPr>
              <w:t>5. Accumulated Other Comprehensive Loss – (continued)</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0180" w:type="dxa"/>
            <w:vAlign w:val="bottom"/>
            <w:gridSpan w:val="3"/>
          </w:tcPr>
          <w:p>
            <w:pPr>
              <w:spacing w:after="0"/>
              <w:rPr>
                <w:sz w:val="20"/>
                <w:szCs w:val="20"/>
                <w:color w:val="auto"/>
              </w:rPr>
            </w:pPr>
            <w:r>
              <w:rPr>
                <w:rFonts w:ascii="Arial" w:cs="Arial" w:eastAsia="Arial" w:hAnsi="Arial"/>
                <w:sz w:val="18"/>
                <w:szCs w:val="18"/>
                <w:color w:val="auto"/>
                <w:w w:val="98"/>
              </w:rPr>
              <w:t>Reclassifications from accumulated other comprehensive loss for the thirty-nine weeks ended November 1, 2014 were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18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0000" w:type="dxa"/>
            <w:vAlign w:val="bottom"/>
            <w:gridSpan w:val="2"/>
          </w:tcPr>
          <w:p>
            <w:pPr>
              <w:ind w:left="40"/>
              <w:spacing w:after="0"/>
              <w:rPr>
                <w:sz w:val="20"/>
                <w:szCs w:val="20"/>
                <w:color w:val="auto"/>
              </w:rPr>
            </w:pPr>
            <w:r>
              <w:rPr>
                <w:rFonts w:ascii="Arial" w:cs="Arial" w:eastAsia="Arial" w:hAnsi="Arial"/>
                <w:sz w:val="18"/>
                <w:szCs w:val="18"/>
                <w:color w:val="auto"/>
              </w:rPr>
              <w:t>Pension benefits - amortization of actuarial loss</w:t>
            </w:r>
          </w:p>
        </w:tc>
        <w:tc>
          <w:tcPr>
            <w:tcW w:w="520" w:type="dxa"/>
            <w:vAlign w:val="bottom"/>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30"/>
        </w:trPr>
        <w:tc>
          <w:tcPr>
            <w:tcW w:w="180" w:type="dxa"/>
            <w:vAlign w:val="bottom"/>
            <w:shd w:val="clear" w:color="auto" w:fill="CCEEFF"/>
          </w:tcPr>
          <w:p>
            <w:pPr>
              <w:spacing w:after="0"/>
              <w:rPr>
                <w:sz w:val="19"/>
                <w:szCs w:val="19"/>
                <w:color w:val="auto"/>
              </w:rPr>
            </w:pPr>
          </w:p>
        </w:tc>
        <w:tc>
          <w:tcPr>
            <w:tcW w:w="10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Postretirement benefits - amortization of actuarial gain</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10180" w:type="dxa"/>
            <w:vAlign w:val="bottom"/>
            <w:gridSpan w:val="3"/>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9</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1018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7,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substantially all of the Company’s hedged forecasted transactions are less than twelve months, and the Company expects substantially all derivative-related amounts reported in AOCL to be reclassified to earnings within twelve months.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net change in the fair value of foreign exchange derivative financial instruments designated as cash flow hedges of the purchase of inventory was a $1 million loss for both the thirteen and thirty-nine weeks ended November 1, 2014. The net change in fair value was not significant for the prior-year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 of the contracts outstanding at November 1, 2014 was $77 million, and these contracts extend through January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enters into foreign exchange forward contracts that are not designated as hedges in order to manage the costs of foreign currency-denominated merchandise purchases and intercompany transactions. Changes in the fair value of these foreign exchange forward contracts are recorded in earnings immediately within selling, general and administrative expenses. The net change in fair value was not significant for the thirteen weeks ended November 1, 2014 and resulted in $1 million of income for the thirty-nine weeks ended November 1, 2014. The net change in fair value was not significant for the prior-year periods. The notional value of the contracts outstanding at November 1, 2014 was $18 million and these contracts extend through December 2014.</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designated as non-hedges, are recorded in earnings immediately within other income. The realized gains, premiums paid, and changes in the fair market value recorded were $1 million for the thirteen and thirty-nine weeks ended November 1, 2014 and were not significant for the prior-year periods. The notional value of the contract outstanding at November 1, 2014 was $31 million and this contract extends through January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 Company’s agreements allow for a netting arrangement. The following, presented on a gross basis, by type of contract, represents the fair value of the Company’s derivative contracts: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November 1,</w:t>
            </w:r>
          </w:p>
        </w:tc>
        <w:tc>
          <w:tcPr>
            <w:tcW w:w="28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November 2,</w:t>
            </w:r>
          </w:p>
        </w:tc>
        <w:tc>
          <w:tcPr>
            <w:tcW w:w="32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2700" w:type="dxa"/>
            <w:vAlign w:val="bottom"/>
            <w:gridSpan w:val="4"/>
          </w:tcPr>
          <w:p>
            <w:pPr>
              <w:spacing w:after="0"/>
              <w:rPr>
                <w:sz w:val="20"/>
                <w:szCs w:val="20"/>
                <w:color w:val="auto"/>
              </w:rPr>
            </w:pPr>
            <w:r>
              <w:rPr>
                <w:rFonts w:ascii="Arial" w:cs="Arial" w:eastAsia="Arial" w:hAnsi="Arial"/>
                <w:sz w:val="18"/>
                <w:szCs w:val="18"/>
                <w:b w:val="1"/>
                <w:bCs w:val="1"/>
                <w:color w:val="auto"/>
              </w:rPr>
              <w:t>(in millions)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6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gridSpan w:val="4"/>
          </w:tcPr>
          <w:p>
            <w:pPr>
              <w:spacing w:after="0"/>
              <w:rPr>
                <w:sz w:val="20"/>
                <w:szCs w:val="20"/>
                <w:color w:val="auto"/>
              </w:rPr>
            </w:pPr>
            <w:r>
              <w:rPr>
                <w:rFonts w:ascii="Arial" w:cs="Arial" w:eastAsia="Arial" w:hAnsi="Arial"/>
                <w:sz w:val="18"/>
                <w:szCs w:val="18"/>
                <w:color w:val="auto"/>
                <w:w w:val="93"/>
              </w:rPr>
              <w:t>Foreign exchange forward contracts</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Foreign exchange forward contracts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Current liabilities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392"/>
        </w:trPr>
        <w:tc>
          <w:tcPr>
            <w:tcW w:w="2700" w:type="dxa"/>
            <w:vAlign w:val="bottom"/>
            <w:gridSpan w:val="4"/>
          </w:tcPr>
          <w:p>
            <w:pPr>
              <w:spacing w:after="0"/>
              <w:rPr>
                <w:sz w:val="20"/>
                <w:szCs w:val="20"/>
                <w:color w:val="auto"/>
              </w:rPr>
            </w:pPr>
            <w:r>
              <w:rPr>
                <w:rFonts w:ascii="Arial" w:cs="Arial" w:eastAsia="Arial" w:hAnsi="Arial"/>
                <w:sz w:val="18"/>
                <w:szCs w:val="18"/>
                <w:b w:val="1"/>
                <w:bCs w:val="1"/>
                <w:color w:val="auto"/>
              </w:rPr>
              <w:t>7. Fair Value Measurements</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620" w:hanging="917"/>
        <w:spacing w:after="0" w:line="308" w:lineRule="auto"/>
        <w:tabs>
          <w:tab w:leader="none" w:pos="16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At November 1, 2014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448"/>
              <w:spacing w:after="0"/>
              <w:rPr>
                <w:sz w:val="20"/>
                <w:szCs w:val="20"/>
                <w:color w:val="auto"/>
              </w:rPr>
            </w:pPr>
            <w:r>
              <w:rPr>
                <w:rFonts w:ascii="Arial" w:cs="Arial" w:eastAsia="Arial" w:hAnsi="Arial"/>
                <w:sz w:val="14"/>
                <w:szCs w:val="14"/>
                <w:b w:val="1"/>
                <w:bCs w:val="1"/>
                <w:color w:val="auto"/>
                <w:w w:val="94"/>
              </w:rPr>
              <w:t>At November 2,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ind w:left="468"/>
              <w:spacing w:after="0"/>
              <w:rPr>
                <w:sz w:val="20"/>
                <w:szCs w:val="20"/>
                <w:color w:val="auto"/>
              </w:rPr>
            </w:pPr>
            <w:r>
              <w:rPr>
                <w:rFonts w:ascii="Arial" w:cs="Arial" w:eastAsia="Arial" w:hAnsi="Arial"/>
                <w:sz w:val="14"/>
                <w:szCs w:val="14"/>
                <w:b w:val="1"/>
                <w:bCs w:val="1"/>
                <w:color w:val="auto"/>
                <w:w w:val="95"/>
              </w:rPr>
              <w:t>At February 1, 2014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2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Auction rate security</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Available-for-sale securities are recorded at fair value with unrealized gains and losses reported, net of tax, in other comprehensive income, unless unrealized losses are determined to be other than temporary. The Company’s short-term investments matured during the second quarter of 2014. In the prior periods presented, these investments represented corporate bonds with maturity dates within one year from the purchase date. These securities were valued using model-derived valuations in which all significant inputs or significant value-drivers were observable in active markets and, therefore, were classified as Level 2 instruments.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November 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and obligations under capital leases is determined by using model-derived valuations in which all significant inputs or significant value-drivers are observable in active markets and, therefore,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short-term investments, and other current receivables and payables approximate their fair value.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ectPr>
          <w:pgSz w:w="11900" w:h="16838" w:orient="portrait"/>
          <w:cols w:equalWidth="0" w:num="1">
            <w:col w:w="11420"/>
          </w:cols>
          <w:pgMar w:left="240" w:top="877"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earnings per share is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Dilution: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assuming dilution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4"/>
          </w:tcPr>
          <w:p>
            <w:pPr>
              <w:ind w:left="420"/>
              <w:spacing w:after="0"/>
              <w:rPr>
                <w:sz w:val="20"/>
                <w:szCs w:val="20"/>
                <w:color w:val="auto"/>
              </w:rPr>
            </w:pPr>
            <w:r>
              <w:rPr>
                <w:rFonts w:ascii="Arial" w:cs="Arial" w:eastAsia="Arial" w:hAnsi="Arial"/>
                <w:sz w:val="18"/>
                <w:szCs w:val="18"/>
                <w:b w:val="1"/>
                <w:bCs w:val="1"/>
                <w:color w:val="auto"/>
              </w:rPr>
              <w:t>Thirteen weeks ended</w:t>
            </w:r>
          </w:p>
        </w:tc>
        <w:tc>
          <w:tcPr>
            <w:tcW w:w="2520" w:type="dxa"/>
            <w:vAlign w:val="bottom"/>
            <w:gridSpan w:val="4"/>
          </w:tcPr>
          <w:p>
            <w:pPr>
              <w:ind w:left="3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40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November 1,</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6"/>
              </w:rPr>
              <w:t>November 1,</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 w:type="dxa"/>
            <w:vAlign w:val="bottom"/>
          </w:tcPr>
          <w:p>
            <w:pPr>
              <w:spacing w:after="0"/>
              <w:rPr>
                <w:sz w:val="17"/>
                <w:szCs w:val="17"/>
                <w:color w:val="auto"/>
              </w:rPr>
            </w:pPr>
          </w:p>
        </w:tc>
      </w:tr>
      <w:tr>
        <w:trPr>
          <w:trHeight w:val="234"/>
        </w:trPr>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24"/>
        </w:trPr>
        <w:tc>
          <w:tcPr>
            <w:tcW w:w="1160" w:type="dxa"/>
            <w:vAlign w:val="bottom"/>
          </w:tcPr>
          <w:p>
            <w:pPr>
              <w:jc w:val="right"/>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9"/>
                <w:szCs w:val="19"/>
                <w:color w:val="auto"/>
              </w:rPr>
            </w:pPr>
          </w:p>
        </w:tc>
      </w:tr>
      <w:tr>
        <w:trPr>
          <w:trHeight w:val="431"/>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-325120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-608330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877" w:right="2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number of options excluded from the computation was not significant for the thirteen and thirty-nine weeks ended November 1, 2014. Options to purchase 1.1 million and 0.9 million shares of common stock were not included in the computation for the thirteen and thirty-nine weeks ended November 2, 2013, respectively. These options were not included because the effect would have been antidilutive. Contingently issuable shares of 0.4 million have not been included as the vesting conditions have not been satisfied as of both November 1, 2014 and November 2, 2013.</w:t>
      </w:r>
    </w:p>
    <w:p>
      <w:pPr>
        <w:spacing w:after="0" w:line="16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Pension Benefits</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w w:val="92"/>
              </w:rPr>
              <w:t>Postretirement Benefits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5"/>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Thirteen weeks</w:t>
            </w:r>
          </w:p>
        </w:tc>
        <w:tc>
          <w:tcPr>
            <w:tcW w:w="160" w:type="dxa"/>
            <w:vAlign w:val="bottom"/>
          </w:tcPr>
          <w:p>
            <w:pPr>
              <w:spacing w:after="0"/>
              <w:rPr>
                <w:sz w:val="11"/>
                <w:szCs w:val="11"/>
                <w:color w:val="auto"/>
              </w:rPr>
            </w:pPr>
          </w:p>
        </w:tc>
        <w:tc>
          <w:tcPr>
            <w:tcW w:w="14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2"/>
              </w:rPr>
              <w:t>Thirty-nine weeks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6"/>
          </w:tcPr>
          <w:p>
            <w:pPr>
              <w:jc w:val="right"/>
              <w:ind w:right="579"/>
              <w:spacing w:after="0" w:line="133" w:lineRule="exact"/>
              <w:rPr>
                <w:sz w:val="20"/>
                <w:szCs w:val="20"/>
                <w:color w:val="auto"/>
              </w:rPr>
            </w:pPr>
            <w:r>
              <w:rPr>
                <w:rFonts w:ascii="Arial" w:cs="Arial" w:eastAsia="Arial" w:hAnsi="Arial"/>
                <w:sz w:val="14"/>
                <w:szCs w:val="14"/>
                <w:b w:val="1"/>
                <w:bCs w:val="1"/>
                <w:color w:val="auto"/>
              </w:rPr>
              <w:t>Thirteen weeks</w:t>
            </w:r>
          </w:p>
        </w:tc>
        <w:tc>
          <w:tcPr>
            <w:tcW w:w="160" w:type="dxa"/>
            <w:vAlign w:val="bottom"/>
          </w:tcPr>
          <w:p>
            <w:pPr>
              <w:spacing w:after="0"/>
              <w:rPr>
                <w:sz w:val="11"/>
                <w:szCs w:val="11"/>
                <w:color w:val="auto"/>
              </w:rPr>
            </w:pPr>
          </w:p>
        </w:tc>
        <w:tc>
          <w:tcPr>
            <w:tcW w:w="1440" w:type="dxa"/>
            <w:vAlign w:val="bottom"/>
            <w:gridSpan w:val="4"/>
          </w:tcPr>
          <w:p>
            <w:pPr>
              <w:jc w:val="right"/>
              <w:ind w:right="68"/>
              <w:spacing w:after="0" w:line="133" w:lineRule="exact"/>
              <w:rPr>
                <w:sz w:val="20"/>
                <w:szCs w:val="20"/>
                <w:color w:val="auto"/>
              </w:rPr>
            </w:pPr>
            <w:r>
              <w:rPr>
                <w:rFonts w:ascii="Arial" w:cs="Arial" w:eastAsia="Arial" w:hAnsi="Arial"/>
                <w:sz w:val="14"/>
                <w:szCs w:val="14"/>
                <w:b w:val="1"/>
                <w:bCs w:val="1"/>
                <w:color w:val="auto"/>
              </w:rPr>
              <w:t>Thirty-nine weeks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87"/>
              </w:rPr>
              <w:t>ended</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ended</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ended</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November 1,</w:t>
            </w:r>
          </w:p>
        </w:tc>
        <w:tc>
          <w:tcPr>
            <w:tcW w:w="8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2"/>
              </w:rPr>
              <w:t>November 2,</w:t>
            </w:r>
          </w:p>
        </w:tc>
        <w:tc>
          <w:tcPr>
            <w:tcW w:w="24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November 1,</w:t>
            </w:r>
          </w:p>
        </w:tc>
        <w:tc>
          <w:tcPr>
            <w:tcW w:w="8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November 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November 1,</w:t>
            </w:r>
          </w:p>
        </w:tc>
        <w:tc>
          <w:tcPr>
            <w:tcW w:w="88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November 1,</w:t>
            </w:r>
          </w:p>
        </w:tc>
        <w:tc>
          <w:tcPr>
            <w:tcW w:w="88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November 2,</w:t>
            </w:r>
          </w:p>
        </w:tc>
        <w:tc>
          <w:tcPr>
            <w:tcW w:w="100" w:type="dxa"/>
            <w:vAlign w:val="bottom"/>
          </w:tcPr>
          <w:p>
            <w:pPr>
              <w:spacing w:after="0"/>
              <w:rPr>
                <w:sz w:val="11"/>
                <w:szCs w:val="1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w w:val="89"/>
              </w:rPr>
              <w:t>11</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89"/>
              </w:rPr>
              <w:t>21</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return on</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plan assets</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900" w:type="dxa"/>
            <w:vAlign w:val="bottom"/>
            <w:gridSpan w:val="2"/>
          </w:tcPr>
          <w:p>
            <w:pPr>
              <w:jc w:val="center"/>
              <w:ind w:left="188"/>
              <w:spacing w:after="0" w:line="149" w:lineRule="exact"/>
              <w:rPr>
                <w:sz w:val="20"/>
                <w:szCs w:val="20"/>
                <w:color w:val="auto"/>
              </w:rPr>
            </w:pPr>
            <w:r>
              <w:rPr>
                <w:rFonts w:ascii="Arial" w:cs="Arial" w:eastAsia="Arial" w:hAnsi="Arial"/>
                <w:sz w:val="14"/>
                <w:szCs w:val="14"/>
                <w:color w:val="auto"/>
                <w:w w:val="96"/>
              </w:rPr>
              <w:t>(28)</w:t>
            </w:r>
          </w:p>
        </w:tc>
        <w:tc>
          <w:tcPr>
            <w:tcW w:w="58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net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loss (gain)</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left="428"/>
              <w:spacing w:after="0"/>
              <w:rPr>
                <w:sz w:val="20"/>
                <w:szCs w:val="20"/>
                <w:color w:val="auto"/>
              </w:rPr>
            </w:pPr>
            <w:r>
              <w:rPr>
                <w:rFonts w:ascii="Arial" w:cs="Arial" w:eastAsia="Arial" w:hAnsi="Arial"/>
                <w:sz w:val="14"/>
                <w:szCs w:val="14"/>
                <w:color w:val="auto"/>
                <w:w w:val="89"/>
              </w:rPr>
              <w:t>12</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4"/>
                <w:szCs w:val="14"/>
                <w:color w:val="auto"/>
              </w:rPr>
              <w:t>(2)</w:t>
            </w:r>
          </w:p>
        </w:tc>
      </w:tr>
      <w:tr>
        <w:trPr>
          <w:trHeight w:val="156"/>
        </w:trPr>
        <w:tc>
          <w:tcPr>
            <w:tcW w:w="33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benefit expense (income)</w:t>
            </w: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center"/>
              <w:ind w:left="428"/>
              <w:spacing w:after="0" w:line="155" w:lineRule="exact"/>
              <w:rPr>
                <w:sz w:val="20"/>
                <w:szCs w:val="20"/>
                <w:color w:val="auto"/>
              </w:rPr>
            </w:pPr>
            <w:r>
              <w:rPr>
                <w:rFonts w:ascii="Arial" w:cs="Arial" w:eastAsia="Arial" w:hAnsi="Arial"/>
                <w:sz w:val="14"/>
                <w:szCs w:val="14"/>
                <w:color w:val="auto"/>
                <w:w w:val="89"/>
              </w:rPr>
              <w:t>16</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 –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quarters of both 2014 and 2013, the Company made contributions of $2 million to the Canadian qualified plan. No pension contributions to the U.S. qualified plan were made during the thirty-nine weeks ended November 1, 2014 and November 2, 2013. The Company continually evaluates the amount and timing of any future contributions. Additional contributions will depend on the plan asset performance and other factors.</w:t>
      </w:r>
    </w:p>
    <w:p>
      <w:pPr>
        <w:spacing w:after="0" w:line="162"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Total compensation expense and the associated tax benefits recognized related to the Company’s share-based compensation plans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00" w:type="dxa"/>
            <w:vAlign w:val="bottom"/>
            <w:tcBorders>
              <w:bottom w:val="single" w:sz="8" w:color="auto"/>
            </w:tcBorders>
            <w:gridSpan w:val="5"/>
          </w:tcPr>
          <w:p>
            <w:pPr>
              <w:jc w:val="right"/>
              <w:ind w:right="117"/>
              <w:spacing w:after="0"/>
              <w:rPr>
                <w:sz w:val="20"/>
                <w:szCs w:val="20"/>
                <w:color w:val="auto"/>
              </w:rPr>
            </w:pPr>
            <w:r>
              <w:rPr>
                <w:rFonts w:ascii="Arial" w:cs="Arial" w:eastAsia="Arial" w:hAnsi="Arial"/>
                <w:sz w:val="18"/>
                <w:szCs w:val="18"/>
                <w:b w:val="1"/>
                <w:bCs w:val="1"/>
                <w:color w:val="auto"/>
              </w:rPr>
              <w:t>Thirteen weeks ended</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Thirty-nine weeks ended</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240" w:type="dxa"/>
            <w:vAlign w:val="bottom"/>
            <w:gridSpan w:val="3"/>
          </w:tcPr>
          <w:p>
            <w:pPr>
              <w:jc w:val="right"/>
              <w:ind w:right="180"/>
              <w:spacing w:after="0" w:line="205" w:lineRule="exact"/>
              <w:rPr>
                <w:sz w:val="20"/>
                <w:szCs w:val="20"/>
                <w:color w:val="auto"/>
              </w:rPr>
            </w:pPr>
            <w:r>
              <w:rPr>
                <w:rFonts w:ascii="Arial" w:cs="Arial" w:eastAsia="Arial" w:hAnsi="Arial"/>
                <w:sz w:val="18"/>
                <w:szCs w:val="18"/>
                <w:b w:val="1"/>
                <w:bCs w:val="1"/>
                <w:color w:val="auto"/>
                <w:w w:val="96"/>
              </w:rPr>
              <w:t>November 1,</w:t>
            </w:r>
          </w:p>
        </w:tc>
        <w:tc>
          <w:tcPr>
            <w:tcW w:w="12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r>
      <w:tr>
        <w:trPr>
          <w:trHeight w:val="234"/>
        </w:trPr>
        <w:tc>
          <w:tcPr>
            <w:tcW w:w="4320" w:type="dxa"/>
            <w:vAlign w:val="bottom"/>
          </w:tcPr>
          <w:p>
            <w:pPr>
              <w:spacing w:after="0"/>
              <w:rPr>
                <w:sz w:val="20"/>
                <w:szCs w:val="20"/>
                <w:color w:val="auto"/>
              </w:rPr>
            </w:pPr>
          </w:p>
        </w:tc>
        <w:tc>
          <w:tcPr>
            <w:tcW w:w="2820" w:type="dxa"/>
            <w:vAlign w:val="bottom"/>
            <w:gridSpan w:val="2"/>
          </w:tcPr>
          <w:p>
            <w:pPr>
              <w:jc w:val="right"/>
              <w:ind w:right="215"/>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77"/>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20" w:type="dxa"/>
            <w:vAlign w:val="bottom"/>
            <w:gridSpan w:val="2"/>
          </w:tcPr>
          <w:p>
            <w:pPr>
              <w:jc w:val="right"/>
              <w:ind w:right="77"/>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7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Tax benefit</w:t>
            </w:r>
          </w:p>
        </w:tc>
        <w:tc>
          <w:tcPr>
            <w:tcW w:w="282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w:t>
            </w:r>
          </w:p>
        </w:tc>
        <w:tc>
          <w:tcPr>
            <w:tcW w:w="102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deductions in excess of the cumulative compensation cost recognized for share-based compensation arrangements were $11 million for the thirty-nine weeks ended November 1, 2014 and $8 million for the thirty-nine weeks ended November 2, 2013 and are classified as a financing activity within the Condensed Consolidated Statements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Stock Option Plans</w:t>
            </w:r>
          </w:p>
        </w:tc>
        <w:tc>
          <w:tcPr>
            <w:tcW w:w="20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Stock Purchase Plan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4"/>
              </w:rPr>
              <w:t>Thirty-nine weeks ended</w:t>
            </w:r>
          </w:p>
        </w:tc>
        <w:tc>
          <w:tcPr>
            <w:tcW w:w="200" w:type="dxa"/>
            <w:vAlign w:val="bottom"/>
          </w:tcPr>
          <w:p>
            <w:pPr>
              <w:spacing w:after="0"/>
              <w:rPr>
                <w:sz w:val="20"/>
                <w:szCs w:val="20"/>
                <w:color w:val="auto"/>
              </w:rPr>
            </w:pPr>
          </w:p>
        </w:tc>
        <w:tc>
          <w:tcPr>
            <w:tcW w:w="20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0"/>
              </w:rPr>
              <w:t>Thirty-nine weeks ended</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4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Borders>
              <w:top w:val="single" w:sz="8" w:color="auto"/>
            </w:tcBorders>
            <w:gridSpan w:val="3"/>
          </w:tcPr>
          <w:p>
            <w:pPr>
              <w:jc w:val="center"/>
              <w:ind w:right="28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12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80" w:type="dxa"/>
            <w:vAlign w:val="bottom"/>
          </w:tcPr>
          <w:p>
            <w:pPr>
              <w:spacing w:after="0"/>
              <w:rPr>
                <w:sz w:val="17"/>
                <w:szCs w:val="17"/>
                <w:color w:val="auto"/>
              </w:rPr>
            </w:pPr>
          </w:p>
        </w:tc>
        <w:tc>
          <w:tcPr>
            <w:tcW w:w="1340" w:type="dxa"/>
            <w:vAlign w:val="bottom"/>
            <w:tcBorders>
              <w:top w:val="single" w:sz="8" w:color="auto"/>
            </w:tcBorders>
            <w:gridSpan w:val="3"/>
          </w:tcPr>
          <w:p>
            <w:pPr>
              <w:jc w:val="right"/>
              <w:ind w:right="280"/>
              <w:spacing w:after="0" w:line="205" w:lineRule="exact"/>
              <w:rPr>
                <w:sz w:val="20"/>
                <w:szCs w:val="20"/>
                <w:color w:val="auto"/>
              </w:rPr>
            </w:pPr>
            <w:r>
              <w:rPr>
                <w:rFonts w:ascii="Arial" w:cs="Arial" w:eastAsia="Arial" w:hAnsi="Arial"/>
                <w:sz w:val="18"/>
                <w:szCs w:val="18"/>
                <w:b w:val="1"/>
                <w:bCs w:val="1"/>
                <w:color w:val="auto"/>
                <w:w w:val="96"/>
              </w:rPr>
              <w:t>November 1,</w:t>
            </w:r>
          </w:p>
        </w:tc>
        <w:tc>
          <w:tcPr>
            <w:tcW w:w="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90"/>
              </w:rPr>
              <w:t>November 2,</w:t>
            </w:r>
          </w:p>
        </w:tc>
        <w:tc>
          <w:tcPr>
            <w:tcW w:w="160" w:type="dxa"/>
            <w:vAlign w:val="bottom"/>
          </w:tcPr>
          <w:p>
            <w:pPr>
              <w:spacing w:after="0"/>
              <w:rPr>
                <w:sz w:val="17"/>
                <w:szCs w:val="17"/>
                <w:color w:val="auto"/>
              </w:rPr>
            </w:pPr>
          </w:p>
        </w:tc>
      </w:tr>
      <w:tr>
        <w:trPr>
          <w:trHeight w:val="234"/>
        </w:trPr>
        <w:tc>
          <w:tcPr>
            <w:tcW w:w="44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0.17%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 years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 years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 year</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 yield</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5.80</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related to the Company’s stock option and stock purchase plans was $3 million and $9 million for both the thirteen and thirty-nine weeks ended November 1, 2014 and November 2, 2013, respectively. As of November 1, 2014, there was $10 million of total unrecognized compensation cost, related to nonvested stock options, which is expected to be recognized over a weighted-average period of 1.02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the following table covers options granted under the Company’s stock option plans for the thirty-nine weeks ended November 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Weighted-Average</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price per share and 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average term)</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Term</w:t>
            </w:r>
          </w:p>
        </w:tc>
        <w:tc>
          <w:tcPr>
            <w:tcW w:w="2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70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Options outstanding at the beginning of the year</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30"/>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Expired or cancelled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 outstanding at November 1, 2014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November 1, 2014</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5.49</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line="20" w:lineRule="exact"/>
              <w:rPr>
                <w:sz w:val="1"/>
                <w:szCs w:val="1"/>
                <w:color w:val="auto"/>
              </w:rPr>
            </w:pPr>
          </w:p>
        </w:tc>
      </w:tr>
      <w:tr>
        <w:trPr>
          <w:trHeight w:val="197"/>
        </w:trPr>
        <w:tc>
          <w:tcPr>
            <w:tcW w:w="7180" w:type="dxa"/>
            <w:vAlign w:val="bottom"/>
            <w:gridSpan w:val="2"/>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3,798</w:t>
            </w:r>
          </w:p>
        </w:tc>
        <w:tc>
          <w:tcPr>
            <w:tcW w:w="2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vested and expected to vest at November 1, 2014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Options available for future grant at November 1, 2014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21, 2014, the Foot Locker 2007 Stock Incentive Plan was amended to increase to 14 million shares the number of shares of the Company’s common stock reserved for all awards.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640" w:type="dxa"/>
            <w:vAlign w:val="bottom"/>
            <w:gridSpan w:val="4"/>
          </w:tcPr>
          <w:p>
            <w:pPr>
              <w:jc w:val="right"/>
              <w:ind w:right="335"/>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3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640" w:type="dxa"/>
            <w:vAlign w:val="bottom"/>
          </w:tcPr>
          <w:p>
            <w:pPr>
              <w:spacing w:after="0"/>
              <w:rPr>
                <w:sz w:val="17"/>
                <w:szCs w:val="17"/>
                <w:color w:val="auto"/>
              </w:rPr>
            </w:pPr>
          </w:p>
        </w:tc>
        <w:tc>
          <w:tcPr>
            <w:tcW w:w="1160" w:type="dxa"/>
            <w:vAlign w:val="bottom"/>
            <w:tcBorders>
              <w:top w:val="single" w:sz="8" w:color="auto"/>
            </w:tcBorders>
          </w:tcPr>
          <w:p>
            <w:pPr>
              <w:jc w:val="center"/>
              <w:ind w:left="14"/>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left="15"/>
              <w:spacing w:after="0" w:line="205"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7"/>
                <w:szCs w:val="17"/>
                <w:color w:val="auto"/>
              </w:rPr>
            </w:pPr>
          </w:p>
        </w:tc>
      </w:tr>
      <w:tr>
        <w:trPr>
          <w:trHeight w:val="234"/>
        </w:trPr>
        <w:tc>
          <w:tcPr>
            <w:tcW w:w="56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ind w:right="99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Thirty-nine weeks ended</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40" w:type="dxa"/>
            <w:vAlign w:val="bottom"/>
            <w:gridSpan w:val="3"/>
          </w:tcPr>
          <w:p>
            <w:pPr>
              <w:jc w:val="right"/>
              <w:ind w:right="180"/>
              <w:spacing w:after="0" w:line="205" w:lineRule="exact"/>
              <w:rPr>
                <w:sz w:val="20"/>
                <w:szCs w:val="20"/>
                <w:color w:val="auto"/>
              </w:rPr>
            </w:pPr>
            <w:r>
              <w:rPr>
                <w:rFonts w:ascii="Arial" w:cs="Arial" w:eastAsia="Arial" w:hAnsi="Arial"/>
                <w:sz w:val="18"/>
                <w:szCs w:val="18"/>
                <w:b w:val="1"/>
                <w:bCs w:val="1"/>
                <w:color w:val="auto"/>
                <w:w w:val="96"/>
              </w:rPr>
              <w:t>November 1,</w:t>
            </w:r>
          </w:p>
        </w:tc>
        <w:tc>
          <w:tcPr>
            <w:tcW w:w="120" w:type="dxa"/>
            <w:vAlign w:val="bottom"/>
          </w:tcPr>
          <w:p>
            <w:pPr>
              <w:spacing w:after="0"/>
              <w:rPr>
                <w:sz w:val="17"/>
                <w:szCs w:val="17"/>
                <w:color w:val="auto"/>
              </w:rPr>
            </w:pPr>
          </w:p>
        </w:tc>
        <w:tc>
          <w:tcPr>
            <w:tcW w:w="114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20" w:type="dxa"/>
            <w:vAlign w:val="bottom"/>
            <w:gridSpan w:val="2"/>
          </w:tcPr>
          <w:p>
            <w:pPr>
              <w:jc w:val="right"/>
              <w:ind w:right="77"/>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3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35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02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35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02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received from option exercises for the thirteen and thirty-nine weeks ended November 1, 2014 was $4 million and $17 million, respectively. The cash received from option exercises for the thirteen and thirty-nine weeks ended November 2, 2013 was $4 million and $19 million, respectively. The total tax benefit realized from option exercises for the thirteen and thirty-nine weeks ended November 1, 2014, was $2 million and $7 million respectively, and was $1 million and $5 million for the corresponding prior-year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November 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9"/>
              </w:rPr>
              <w:t>Options Outstanding</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 Prices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Outstanding</w:t>
            </w: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Life</w:t>
            </w: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Price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Exercisable</w:t>
            </w:r>
          </w:p>
        </w:tc>
        <w:tc>
          <w:tcPr>
            <w:tcW w:w="2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Borders>
              <w:top w:val="single" w:sz="8" w:color="auto"/>
            </w:tcBorders>
            <w:gridSpan w:val="9"/>
          </w:tcPr>
          <w:p>
            <w:pPr>
              <w:jc w:val="center"/>
              <w:ind w:left="930"/>
              <w:spacing w:after="0"/>
              <w:rPr>
                <w:sz w:val="20"/>
                <w:szCs w:val="20"/>
                <w:color w:val="auto"/>
              </w:rPr>
            </w:pPr>
            <w:r>
              <w:rPr>
                <w:rFonts w:ascii="Arial" w:cs="Arial" w:eastAsia="Arial" w:hAnsi="Arial"/>
                <w:sz w:val="18"/>
                <w:szCs w:val="18"/>
                <w:b w:val="1"/>
                <w:bCs w:val="1"/>
                <w:color w:val="auto"/>
                <w:w w:val="89"/>
              </w:rPr>
              <w:t>(in thousands, except prices per share and contractual life)</w:t>
            </w: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$9.85 to $15.10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1,470</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$18.80 to $24.75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$24.76 to $34.24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1,906</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$34.27 to $45.08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768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9.31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r>
      <w:tr>
        <w:trPr>
          <w:trHeight w:val="223"/>
        </w:trPr>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Awards made to executives outside of the United States and to nonemployee directors are made in the form of restricted stock units. Each restricted stock unit represents the right to receive one share of the Company’s common stock provided that the vesting conditions are satisfied. There were 734,295 and 997,542 restricted stock units outstanding as of November 1, 2014 and November 2, 2013, respectively.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restricted stock units.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 The Company recorded compensation expense related to restricted stock awards, net of forfeitures, of $3 million for both the thirteen weeks ended November 1, 2014 and November 2, 2013, and $9 million and $10 million for the thirty-nine weeks ended November 1, 2014 and November 2, 2013, respectively. As of November 1, 2014, there was $14 million of total unrecognized compensation cost related to nonvested restricted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units activity for the thirty-nine weeks ended November 1, 2014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Number of</w:t>
            </w: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(in thousands, except price per share)</w:t>
            </w: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the beginning of the year</w:t>
            </w:r>
          </w:p>
        </w:tc>
        <w:tc>
          <w:tcPr>
            <w:tcW w:w="4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5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Expired or cancelled</w:t>
            </w: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November 1, 2014</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Aggregate value (in millions)</w:t>
            </w:r>
          </w:p>
        </w:tc>
        <w:tc>
          <w:tcPr>
            <w:tcW w:w="40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40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 years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4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weighted-average grant-date fair value per share was $45.24 and $34.59 for the thirty-nine weeks ended November 1, 2014 and November 2, 2013, respectively. The total value of awards for which restrictions lapsed during the thirty-nine weeks ended November 1, 2014 and November 2, 2013 was $14 million and $9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 (the “Company”), through its subsidiaries, operates in two reportable segments – Athletic Stores and Direct-to-Customers.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Athletic Stores segment is one of the largest athletic footwear and apparel retailers in the world, with divisions that include Foot Locker, Lady Foot Locker, Kids Foot Locker, Champs Sports, Footaction and SIX:02, as well as the retail stores of Runners Point Group,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which was acquired during the second quarter of 2013.</w:t>
      </w:r>
    </w:p>
    <w:p>
      <w:pPr>
        <w:spacing w:after="0" w:line="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Direct-to-Customers segment is multi-branded and multi-channeled. This segment sells, through its affiliates, directly to customers through its Internet websites, mobile sites, and catalogs. Eastbay, one of the affiliates, is among the largest direct marketers in the United States. The Direct-to-Customers segment operates the websites for eastbay.com, final-score.com, eastbayteamsales.com, as well as websites aligned with the brand names of its store banners (footlocker.com, ladyfootlocker.com, kidsfootlocker.com, champssports.com, footaction.com, and six02.com). Additionally, this segment includes the direct-to-customer subsidiary of Runners Point Group, which operates the websites for runnerspoint.com, sidestep-shoes.com, and sp24.com.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November 1, 2014, the Company operated 3,474 stores as compared with 3,473 and 3,510 stores at February 1, 2014 and November 2,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thirty-nine weeks ended November 1, 2014, the Company opened 76 stores, remodeled or relocated 229 stores and closed 75 stores.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total of 73 franchised stores were operating at November 1, 2014, as compared with 73 and 72 stores at February 1, 2014 and November 2, 2013, respectively. Revenue from the franchised stores was not significant for any of the periods presented. These stores are not included in the Company’s operating store count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Runners Point Group were included in the computation of comparable-store sales beginning October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The following table summarizes results by segment: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6"/>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4"/>
                <w:szCs w:val="24"/>
                <w:color w:val="auto"/>
              </w:rPr>
            </w:pPr>
          </w:p>
        </w:tc>
        <w:tc>
          <w:tcPr>
            <w:tcW w:w="2400" w:type="dxa"/>
            <w:vAlign w:val="bottom"/>
            <w:gridSpan w:val="6"/>
          </w:tcPr>
          <w:p>
            <w:pPr>
              <w:ind w:left="1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November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240" w:type="dxa"/>
            <w:vAlign w:val="bottom"/>
            <w:tcBorders>
              <w:top w:val="single" w:sz="8" w:color="auto"/>
            </w:tcBorders>
            <w:gridSpan w:val="3"/>
          </w:tcPr>
          <w:p>
            <w:pPr>
              <w:jc w:val="right"/>
              <w:ind w:right="180"/>
              <w:spacing w:after="0" w:line="205" w:lineRule="exact"/>
              <w:rPr>
                <w:sz w:val="20"/>
                <w:szCs w:val="20"/>
                <w:color w:val="auto"/>
              </w:rPr>
            </w:pPr>
            <w:r>
              <w:rPr>
                <w:rFonts w:ascii="Arial" w:cs="Arial" w:eastAsia="Arial" w:hAnsi="Arial"/>
                <w:sz w:val="18"/>
                <w:szCs w:val="18"/>
                <w:b w:val="1"/>
                <w:bCs w:val="1"/>
                <w:color w:val="auto"/>
                <w:w w:val="96"/>
              </w:rPr>
              <w:t>November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Sales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line="250" w:lineRule="exact"/>
              <w:rPr>
                <w:sz w:val="20"/>
                <w:szCs w:val="20"/>
                <w:color w:val="auto"/>
              </w:rPr>
            </w:pPr>
            <w:r>
              <w:rPr>
                <w:rFonts w:ascii="Arial" w:cs="Arial" w:eastAsia="Arial" w:hAnsi="Arial"/>
                <w:sz w:val="17"/>
                <w:szCs w:val="17"/>
                <w:color w:val="auto"/>
              </w:rPr>
              <w:t xml:space="preserve">Athletic Stores </w:t>
            </w:r>
            <w:r>
              <w:rPr>
                <w:rFonts w:ascii="Arial" w:cs="Arial" w:eastAsia="Arial" w:hAnsi="Arial"/>
                <w:sz w:val="28"/>
                <w:szCs w:val="28"/>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3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3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Division profit</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Corporate expense, net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09" w:lineRule="auto"/>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the thirty-nine weeks ended November 1, 2014 is a $1 million tradename impairment charge related to the Company’s stores in the Republic of Ireland. Included in the Athletic Stores segment for the thirty-nine weeks ended November 2, 2013 is a $2 million charge recorded in connection with the closure of all CCS stores.</w:t>
      </w:r>
    </w:p>
    <w:p>
      <w:pPr>
        <w:spacing w:after="0" w:line="1" w:lineRule="exact"/>
        <w:rPr>
          <w:rFonts w:ascii="Arial" w:cs="Arial" w:eastAsia="Arial" w:hAnsi="Arial"/>
          <w:sz w:val="30"/>
          <w:szCs w:val="30"/>
          <w:color w:val="auto"/>
          <w:vertAlign w:val="superscript"/>
        </w:rPr>
      </w:pPr>
    </w:p>
    <w:p>
      <w:pPr>
        <w:ind w:left="340" w:right="20" w:hanging="332"/>
        <w:spacing w:after="0" w:line="187" w:lineRule="auto"/>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Included in the Direct-to-Customers segment for the thirty-nine weeks ended November 1, 2014 is a $2 million impairment charge related to the CCS tradename.</w:t>
      </w:r>
    </w:p>
    <w:p>
      <w:pPr>
        <w:spacing w:after="0" w:line="2"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increased by $109 million, or 6.7 percent, to $1,731 million for the thirteen weeks ended November 1, 2014, from $1,622 million for the thirteen weeks ended November 2, 2013. For the thirty-nine weeks ended November 1, 2014, sales of $5,240 million increased 11.2 percent from sales of $4,714 million for the thirty-nine week period ended November 2, 2013. Excluding Runners Point Group, which was acquired during the second quarter of 2013, total sales for the year-to-date period increased 7.8 percent.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total sales for the thirteen and thirty-nine week periods increased 7.7 percent and 10.9 percent, respectively, as compared with the corresponding prior-year periods. Comparable-store sales increased by 6.9 percent and 7.1 percent for the thirteen weeks and thirty-nine weeks ended November 1,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as a percentage of sales, increased to 33.2 percent for the thirteen weeks ended November 1, 2014 as compared with 33.1 percent in the corresponding prior-year period driven by the occupancy and buyers compensation expense rate, which decreased by 50 basis points reflecting improved leverage of primarily fixed costs. This was partially offset by a 40 basis point increase in the cost of merchandise rate, which reflected the result of the liquidation of CCS merchandise. The liquidation of CCS merchandise negatively affected the gross margin rate by 20 basis points. Further, the merchandise margin rate continued to be negatively affected by lower initial markups driven by vendor and category mix, and lower shipping and handling margin, offset by lower markdowns.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thirty-nine weeks ended November 1, 2014, gross margin, as a percentage of sales, increased to 33.3 percent as compared with 32.9 percent in the corresponding prior-year period. The occupancy and buyers compensation expense rate decreased by 70 basis points and was partially offset by a 30 basis point increase in the cost of merchandise rate. The increase in the cost of merchandise rate primarily reflects the continued effect of the factors noted in the paragraph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462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4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2,</w:t>
            </w:r>
          </w:p>
        </w:tc>
        <w:tc>
          <w:tcPr>
            <w:tcW w:w="160" w:type="dxa"/>
            <w:vAlign w:val="bottom"/>
          </w:tcPr>
          <w:p>
            <w:pPr>
              <w:spacing w:after="0"/>
              <w:rPr>
                <w:sz w:val="17"/>
                <w:szCs w:val="17"/>
                <w:color w:val="auto"/>
              </w:rPr>
            </w:pPr>
          </w:p>
        </w:tc>
      </w:tr>
      <w:tr>
        <w:trPr>
          <w:trHeight w:val="234"/>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SG&amp;A, as a percentage of sales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(“SG&amp;A”) increased by $13 million, or 3.8 percent, for the thirteen weeks ended November 1, 2014 as compared with the corresponding prior-year period. For the thirty-nine weeks ended November 1, 2014, SG&amp;A increased by $82 million, or 8.5 percent, as compared with the corresponding prior-year period. The SG&amp;A increase for the thirty-nine weeks ended November 1, 2014 is primarily reflective of a full nine months of Runners Point Group expenses as compared with only four months in the prior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effect of foreign currency fluctuations, SG&amp;A increased by $17 million, or 5.0 percent, and $79 million, or 8.2 percent, for the thirteen and thirty-nine weeks ended November 1, 2014, respectively, as compared with the corresponding prior-year periods.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SG&amp;A rate improvements reflected continued effective expense management, including store wages, which benefited from the utilization of hiring and scheduling tools, as well as associate training.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expenses decreased by $1 million for the thirteen weeks ended November 1, 2014 to $34 million, as compared with the corresponding prior-year period of $35 million. The decrease was primarily the result of capital accrual adjustments made during the third quarter of 2014, which reduced depreciation and amortization expense. For the thirty-nine weeks ended November 1, 2014, depreciation and amortization increased by $9 million to $106 million as compared with $97 million for the thirty-nine weeks ended November 2, 2013. The increase in depreciation for the thirty-nine weeks ended November 1, 2014 reflects increased capital spending for store improvements and technology, as well as the addition of Runners Point Group for a full period in the current year as compared with a partial period in the prior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6"/>
        </w:trPr>
        <w:tc>
          <w:tcPr>
            <w:tcW w:w="17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7"/>
                <w:szCs w:val="17"/>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5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increased by $1 million for both the thirteen and thirty-nine weeks ended November 1, 2014 reflecting income earned on higher cash and cash equivalent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income tax provisions of $67 million and $211 million, which represent effective tax rates of 35.8 percent and 36.1 percent, for the thirteen weeks and thirty-nine weeks ended November 1, 2014, respectively. For the thirteen weeks and thirty-nine weeks ended November 2, 2013, the Company recorded income tax provisions of $56 million and $174 million, which represented effective tax rates of 35.0 percent and 36.1 percent, respectively. The Company’s interim provision for income taxes is measured using an annual effective tax rate, adjusted for discrete items that occur within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effective tax rate for the thirteen weeks ended November 1, 2014 is a tax reserve release of approximately $1 million due to the expiration of a foreign statute of limitation. Included in the thirteen weeks ended November 2, 2013 were tax reserve releases of $3 million due to foreign tax audit settlements.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thirty-nine weeks ended November 1, 2014 includes tax benefits of $2 million from reserve releases due to settlements of federal, state, and foreign tax examinations and lapses of foreign statutes of limitation, as compared with the reserve releases of $5 million offset by state tax expense of $1 million as a result of an audit recognized in the corresponding prior-year period. Additionally, for the thirty-nine weeks ended November 2, 2013, in connection with the purchase of Runners Point Group, the Company recorded a discrete item of $1 million representing non-deductible acquisition costs.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effective tax rate, excluding the reserve releases and other discrete items, for the thirteen weeks and thirty-nine weeks ended November 1, 2014 decreased as compared with the corresponding prior-year periods, due primarily to the effect of full implementation of international tax planning strategies.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currently expects its fourth quarter and full year tax rate to approximate 36.5 percent, excluding the effect of any nonrecurring items that may occur. The actual tax rates will primarily depend on the level and mix of income earned in the United States as compared with its international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thirteen weeks ended November 1, 2014, net income increased by $16 million, or 15.4 percent, to $120 million as compared with the corresponding prior-year period. For the thirty-nine weeks ended November 1, 2014, net income increased by $66 million, or 21.4 percent, to $374 million as compared with the corresponding prior-year period. The improved performance represents a 24.8 percent and 19.6 percent flow-through of increased sales to pre-tax income, for the thirteen and thirty-nine week periods ended November 1, 2014, respectively, reflecting leveraging of fixed costs, and controlling 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MEASURES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provides non-GAAP information to assist investors with the comparison of the Company’s results period over period. The non-GAAP financial measure is provided in addition to, and not as an alternative to, the Company’s reported results prepared in accordance with GAAP. Presented below are GAAP and non-GAAP results for the thirteen and thirty-nine weeks ended November 1, 2014 and November 2,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excluded the following charges and costs to arrive at its non-GAAP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Thirteen weeks ended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Thirty-nine weeks ended</w:t>
            </w: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gridSpan w:val="3"/>
          </w:tcPr>
          <w:p>
            <w:pPr>
              <w:ind w:left="140"/>
              <w:spacing w:after="0" w:line="205" w:lineRule="exact"/>
              <w:rPr>
                <w:sz w:val="20"/>
                <w:szCs w:val="20"/>
                <w:color w:val="auto"/>
              </w:rPr>
            </w:pPr>
            <w:r>
              <w:rPr>
                <w:rFonts w:ascii="Arial" w:cs="Arial" w:eastAsia="Arial" w:hAnsi="Arial"/>
                <w:sz w:val="18"/>
                <w:szCs w:val="18"/>
                <w:b w:val="1"/>
                <w:bCs w:val="1"/>
                <w:color w:val="auto"/>
              </w:rPr>
              <w:t>November 1,</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
              <w:spacing w:after="0" w:line="205" w:lineRule="exact"/>
              <w:rPr>
                <w:sz w:val="20"/>
                <w:szCs w:val="20"/>
                <w:color w:val="auto"/>
              </w:rPr>
            </w:pPr>
            <w:r>
              <w:rPr>
                <w:rFonts w:ascii="Arial" w:cs="Arial" w:eastAsia="Arial" w:hAnsi="Arial"/>
                <w:sz w:val="18"/>
                <w:szCs w:val="18"/>
                <w:b w:val="1"/>
                <w:bCs w:val="1"/>
                <w:color w:val="auto"/>
              </w:rPr>
              <w:t>November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7"/>
                <w:szCs w:val="17"/>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After-tax adjustments to arrive at non-GAAP:</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Runners Point Group acquisition and integration costs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Impairment of intangibles</w:t>
            </w: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tax audit settlements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CCS store closure costs</w:t>
            </w:r>
          </w:p>
        </w:tc>
        <w:tc>
          <w:tcPr>
            <w:tcW w:w="3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non-GAAP</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2"/>
              </w:rPr>
              <w:t>November 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
              <w:spacing w:after="0" w:line="205" w:lineRule="exact"/>
              <w:rPr>
                <w:sz w:val="20"/>
                <w:szCs w:val="20"/>
                <w:color w:val="auto"/>
              </w:rPr>
            </w:pPr>
            <w:r>
              <w:rPr>
                <w:rFonts w:ascii="Arial" w:cs="Arial" w:eastAsia="Arial" w:hAnsi="Arial"/>
                <w:sz w:val="18"/>
                <w:szCs w:val="18"/>
                <w:b w:val="1"/>
                <w:bCs w:val="1"/>
                <w:color w:val="auto"/>
              </w:rPr>
              <w:t>November 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EPS,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Adjustments to arrive at non-GAAP:</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Runners Point Group acquisition and integration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Impairment of intangibles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tax audit settlement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CCS store closure costs</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non-GAAP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the tax effect of the non-GAAP adjustments by applying its marginal tax rate to each of the respective items.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thirteen and thirty-nine weeks ended November 1, 2014, the Company recorded after-tax expenses of $1 million and $2 million, respectively, for costs associated with the acquisition of Runners Point Group.</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second quarter of 2014, the Company recorded an after-tax charge of $1 million, or $0.01 per diluted share, related to the impairment of the CCS tradename, resulting from the transition of its skate business from CCS to its Eastbay brand. During the first quarter of 2014, the Company recorded an after-tax impairment charge of $1 million to fully write down the remaining value of the tradename related to the Company’s stores in the Republic of Ireland.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thirteen and thirty-nine weeks ended November 2, 2013, the Company recorded $1 million, after-tax, and $4 million, after-tax, for costs associated with the acquisition of Runners Point Group, respectively. The Company also recorded $1 million, after-tax, or $0.01 per diluted share of costs related to the CCS store closures for the thirty-nine weeks ended November 2,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thirteen weeks ended November 2, 2013, the Company recorded benefits of $3 million or $0.02 per diluted share, to reflect the settlement of a foreign tax audit, which resulted in a reduction in tax reserves established in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Athletic Stores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Athletic Stores segment sales increased by 5.3 percent to $1,521 million for the thirteen weeks ended November 1, 2014, as compared with the corresponding prior-year period. Excluding the effect of foreign currency fluctuations, Athletic Stores segment sales increased 6.4 percent for the thirteen weeks ended November 1, 2014, as compared with the corresponding prior-year period. Comparable-store sales increased by 5.8 percent.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thirty nine-weeks ended November 1, 2014, Athletic Stores segment sales increased by 9.9 percent to $4,646 million as compared with the corresponding prior-year period. Excluding the effect of foreign currency fluctuations, Athletic Stores segment sales increased 9.7 percent and comparable-store sales increased by 6.1 percent. The results for the year-to-date period of 2014 include incremental sales of $141 million related to the Runners Point Group stores, which were acquired in the second quarter of the prior year. As of October 2014, the sales attributable to Runners Point Group are included in the computation of comparable-store sales.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Runners Point Group which was included in comparable sales for the month of October only, all divisions within this segment experienced comparable-store sales gains for both the quarter and year-to-date periods, led by domestic Foot Locker, Kids Foot Locker, and Footaction. Champs Sports experienced a slight increase in comparable-store sales for both the quarter and year-to-date periods. This division’s results continued to be negatively affected by a decline in apparel sales and a high number of stores being closed for remodels.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Basketball, lifestyle running, and children’s footwear were strong drivers of sales increases. Sales of basketball footwear were driven by Jordan and key marquee player styles, while lifestyle running shoes from Nike and Adidas had strong results. Additionally, children’s footwear continued to perform well across multiple divisions. Apparel sales were challenging primarily in Foot Locker Europe and Champs Sports, as customers have shifted away from certain lifestyle and licensed apparel programs, which had previously driven strong results.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Lady Foot Locker experienced a comparable-store sales increase for both the thirteen and thirty-nine weeks ended November 1, 2014. The shift into more performance-oriented assortments has been resonating with customers, as both footwear and apparel grew on a comparable-sales basis. Overall sales for Lady Foot Locker for both the quarter and year-to-date periods declined, as compared with the corresponding prior-year periods, primarily reflecting a net decline of 44 stores. The Company continues to test and evaluate merchandise assortments and store layouts focused on athletically active women.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Athletic Stores segment continues to benefit from strong banner differentiation, which has created unique store designs and product assortments which have resonated with the customer and enhanced the shopping experience.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Athletic Stores division profit for the thirteen weeks ended November 1, 2014 increased to $181 million, or 11.9 percent, as a percentage of sales, as compared with division profit of $159 million, or 11.0 percent, as a percentage of sales, for the thirteen weeks ended November 2, 2013. For the thirty-nine weeks ended November 1, 2014 division profit increased to $577 million, or 12.4 percent, as a percentage of sales, as compared with division profit of $486 million, or 11.5 percent, as a percentage of sales, for the corresponding prior-year period.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results of the Athletic Stores segment for the thirty-nine weeks ended November 1, 2014 was a $1 million impairment charge related to the tradename for our stores operating in the Republic of Ireland, reflecting historical and projected underperformance. Included in the corresponding prior-year period of 2013 was a charge of $2 million recorded in connection with the closure of all CCS stores.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the improvement for both the quarter and year-to-date periods primarily reflected higher sales and effective control over variable expenses, such as store wages.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Direct-to-Customers sales increased by 18.0 percent to $210 million for the thirteen weeks ended November 1, 2014, as compared with the corresponding prior-year period. Comparable sales increased by 15.5 percent. Sales at each of the U.S. store-banner websites increased significantly, increasing collectively approximately 40 percent.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thirty-nine weeks ended November 1, 2014, sales increased by 22.2 percent to $594 million as compared with the corresponding prior-year period. Comparable sales were 15.9 percent. Direct-to-Customers sales included $19 million of incremental sales related to the e-commerce division of Runners Point Group, as the prior-year period included only a partial year. Excluding these sales, increases were primarily the result of continued strong sales performance of the Company’s U.S. store-banner websites.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Sales for both the quarter and year-to-date periods of the current year were led by sales of basketball and lifestyle running footwear.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Direct-to-Customers division profit for the thirteen and thirty-nine weeks ended November 1, 2014 increased by $5 million to $25 million and increased by $14 million to $67 million, respectively, as compared with the corresponding prior-year periods. Division profit, as a percentage of sales, was 11.9 percent and 11.3 percent for the thirteen and thirty-nine weeks ended November 1, 2014, respectively, as compared with 11.2 percent and 10.9 percent for the corresponding prior-year periods. Included in the results of the Direct-to-Customers segment for the thirty-nine weeks ended November 1, 2014 was a $2 million impairment charge related to the CCS tradename, which was triggered by the Company’s decision to transition the skate business to the Eastbay banner.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Gross margin for the Direct-to-Customers segment for both the quarter and year-to-date periods was negatively affected by the liquidation of CCS merchandise and the effects of providing additional free shipping offers. Notwithstanding this, the increase in division profit was the result of strong flow-through of sales to profits. In addition, catalog expenses were lower due to a shift in the timing of certain catalogs to the fourth quarter as compared with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 The allocation of corporate expense to the operating divisions is adjusted annually based upon an internal study; accordingly, the allocation increased by $1 million and $3 million for the thirteen and thirty-nine weeks ended November 1, 2014, respectively, thus reducing corporate expense. Excluding this change, as compared with the corresponding prior year periods, corporate expense increased by $3 million and $6 million for the thirteen and thirty-nine weeks ended November 1, 2014,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 and integration costs related to Runners Point Group were $1 million and $2 million for the thirteen and thirty-nine weeks ended November 1, 2014, respectively. This is compared with the corresponding prior-year periods of $1 million and $4 million for the thirteen and thirty-nine weeks ended November 2, 2013,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allocation change and costs associated with Runners Point Group, corporate expense increased primarily related to increased incentive compensation and legal costs. During the first quarter of 2014, the Company increased its legal reserves by $2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support facilities; make retirement plan contributions, quarterly dividend payments, share repurchases,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From time to time the Company may also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As of November 1, 2014, approximately $196 million remained on the Company’s $600 million share repurchase program.</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$439 million and $327 million for the thirty-nine weeks ended November 1, 2014 and November 2, 2013, respectively. These amounts reflect net income adjusted for non-cash items, non-cash impairment charges, and working capital changes. The improvement reflects the Company’s earnings strength and working capital improvements, partially offset by a $77 million increase in cash paid for income taxes during the thirty-nine weeks ended November 1,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investing activities was $129 million and $221 million for the thirty-nine weeks ended November 1, 2014 and November 2, 2013, respectively. The current year reflects $138 million in capital expenditures partially offset by $9 million for the maturities of short-term investments. Capital expenditures in the current year were $19 million lower as compared with the corresponding prior-year period, representing a shift in the timing of projects. The Company’s full year forecast for capital expenditures is $207 million, which includes $172 million related to the remodeling or relocation of existing stores and approximately 88 new store openings, as well as $35 million for the development of information systems, websites, and infrastructure. The prior year included $81 million for the purchase of Runners Point Group, net of cash acquired.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financing was $240 million and $226 million for the thirty-nine weeks ended November 1, 2014 and November 2, 2013, respectively. The Company repurchased 3,547,553 shares of its common stock for $174 million during the thirty-nine weeks ended November 1, 2014, this represents an increase of $7 million as compared to the corresponding prior-year period. During the first three quarters of 2014 and 2013, the Company declared and paid dividends of $96 million and $89 million, respectively. These represent quarterly rates of $0.22 and $0.20 per share for 2014 and 2013, respectively. Additionally, the Company received proceeds of $22 million from the issuance of common stock in connection with employee stock programs for both the thirty-nine weeks ended November 1, 2014 and November 2, 2013. In connection with stock option exercises and share-based compensation programs, the Company recorded excess tax benefits of $11 million and $8 million as a financing activity for the thirty-nine weeks ended November 1, 2014 and November 2, 2013,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contractual obligations and other commercial commitments as of February 1, 2014, see our 2013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thirty-nine weeks ended November 1, 2014, there were no material changes outside the ordinary course of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2013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Descriptions of the recently issued accounting principles, if any, and the accounting principles adopted by the Company during the thirty-nine weeks ended November 1, 2014 are included in Note 1 to the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2013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November 1, 2014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 ended November 1, 2014,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6"/>
          <w:szCs w:val="16"/>
          <w:i w:val="1"/>
          <w:iCs w:val="1"/>
          <w:color w:val="auto"/>
        </w:rPr>
        <w:t>Pereira v. Foot Locker</w:t>
      </w:r>
      <w:r>
        <w:rPr>
          <w:rFonts w:ascii="Arial" w:cs="Arial" w:eastAsia="Arial" w:hAnsi="Arial"/>
          <w:sz w:val="16"/>
          <w:szCs w:val="16"/>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is a defendant in additional purported wage and hour class actions that assert claims similar to those asserted in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and seek similar remedies. With the exception of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filed in state court in Illinois, </w:t>
      </w:r>
      <w:r>
        <w:rPr>
          <w:rFonts w:ascii="Arial" w:cs="Arial" w:eastAsia="Arial" w:hAnsi="Arial"/>
          <w:sz w:val="18"/>
          <w:szCs w:val="18"/>
          <w:i w:val="1"/>
          <w:iCs w:val="1"/>
          <w:color w:val="auto"/>
        </w:rPr>
        <w:t>Kissinger v. Foot Locker</w:t>
      </w:r>
      <w:r>
        <w:rPr>
          <w:rFonts w:ascii="Arial" w:cs="Arial" w:eastAsia="Arial" w:hAnsi="Arial"/>
          <w:sz w:val="18"/>
          <w:szCs w:val="18"/>
          <w:color w:val="auto"/>
        </w:rPr>
        <w:t xml:space="preserve"> filed in state court of California, </w:t>
      </w:r>
      <w:r>
        <w:rPr>
          <w:rFonts w:ascii="Arial" w:cs="Arial" w:eastAsia="Arial" w:hAnsi="Arial"/>
          <w:sz w:val="18"/>
          <w:szCs w:val="18"/>
          <w:i w:val="1"/>
          <w:iCs w:val="1"/>
          <w:color w:val="auto"/>
        </w:rPr>
        <w:t>Cortes v. Foot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Locker </w:t>
      </w:r>
      <w:r>
        <w:rPr>
          <w:rFonts w:ascii="Arial" w:cs="Arial" w:eastAsia="Arial" w:hAnsi="Arial"/>
          <w:sz w:val="18"/>
          <w:szCs w:val="18"/>
          <w:color w:val="auto"/>
        </w:rPr>
        <w:t>filed in federal court in New York, and</w:t>
      </w:r>
      <w:r>
        <w:rPr>
          <w:rFonts w:ascii="Arial" w:cs="Arial" w:eastAsia="Arial" w:hAnsi="Arial"/>
          <w:sz w:val="18"/>
          <w:szCs w:val="18"/>
          <w:i w:val="1"/>
          <w:iCs w:val="1"/>
          <w:color w:val="auto"/>
        </w:rPr>
        <w:t xml:space="preserve"> McGlothin v. Foot Locker </w:t>
      </w:r>
      <w:r>
        <w:rPr>
          <w:rFonts w:ascii="Arial" w:cs="Arial" w:eastAsia="Arial" w:hAnsi="Arial"/>
          <w:sz w:val="18"/>
          <w:szCs w:val="18"/>
          <w:color w:val="auto"/>
        </w:rPr>
        <w:t>filed in state court in California, all of these actions were consolidated by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States Judicial Panel on Multidistrict Litigation with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under the caption </w:t>
      </w:r>
      <w:r>
        <w:rPr>
          <w:rFonts w:ascii="Arial" w:cs="Arial" w:eastAsia="Arial" w:hAnsi="Arial"/>
          <w:sz w:val="18"/>
          <w:szCs w:val="18"/>
          <w:i w:val="1"/>
          <w:iCs w:val="1"/>
          <w:color w:val="auto"/>
        </w:rPr>
        <w:t>In re Foot Locker, Inc. Fair Labor Standards Act and Wage and Hour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In</w:t>
      </w:r>
      <w:r>
        <w:rPr>
          <w:rFonts w:ascii="Arial" w:cs="Arial" w:eastAsia="Arial" w:hAnsi="Arial"/>
          <w:sz w:val="18"/>
          <w:szCs w:val="18"/>
          <w:i w:val="1"/>
          <w:iCs w:val="1"/>
          <w:color w:val="auto"/>
        </w:rPr>
        <w:t xml:space="preserve"> Hill v. Foot Locker, </w:t>
      </w:r>
      <w:r>
        <w:rPr>
          <w:rFonts w:ascii="Arial" w:cs="Arial" w:eastAsia="Arial" w:hAnsi="Arial"/>
          <w:sz w:val="18"/>
          <w:szCs w:val="18"/>
          <w:color w:val="auto"/>
        </w:rPr>
        <w:t>in May 2011, the court granted plaintiffs’ motion for certification of an opt-out class covering certain Illinois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only. The Company and plaintiffs have entered into a proposed settlement agreement to resolve the consolidated cases, </w:t>
      </w:r>
      <w:r>
        <w:rPr>
          <w:rFonts w:ascii="Arial" w:cs="Arial" w:eastAsia="Arial" w:hAnsi="Arial"/>
          <w:sz w:val="18"/>
          <w:szCs w:val="18"/>
          <w:i w:val="1"/>
          <w:iCs w:val="1"/>
          <w:color w:val="auto"/>
        </w:rPr>
        <w:t>Hill</w:t>
      </w:r>
      <w:r>
        <w:rPr>
          <w:rFonts w:ascii="Arial" w:cs="Arial" w:eastAsia="Arial" w:hAnsi="Arial"/>
          <w:sz w:val="18"/>
          <w:szCs w:val="18"/>
          <w:color w:val="auto"/>
        </w:rPr>
        <w:t xml:space="preserve"> and </w:t>
      </w:r>
      <w:r>
        <w:rPr>
          <w:rFonts w:ascii="Arial" w:cs="Arial" w:eastAsia="Arial" w:hAnsi="Arial"/>
          <w:sz w:val="18"/>
          <w:szCs w:val="18"/>
          <w:i w:val="1"/>
          <w:iCs w:val="1"/>
          <w:color w:val="auto"/>
        </w:rPr>
        <w:t>Cortes,</w:t>
      </w:r>
      <w:r>
        <w:rPr>
          <w:rFonts w:ascii="Arial" w:cs="Arial" w:eastAsia="Arial" w:hAnsi="Arial"/>
          <w:sz w:val="18"/>
          <w:szCs w:val="18"/>
          <w:color w:val="auto"/>
        </w:rPr>
        <w:t xml:space="preserve"> that is subject to court approval.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68" w:lineRule="auto"/>
        <w:rPr>
          <w:sz w:val="20"/>
          <w:szCs w:val="20"/>
          <w:color w:val="auto"/>
        </w:rPr>
      </w:pPr>
      <w:r>
        <w:rPr>
          <w:rFonts w:ascii="Arial" w:cs="Arial" w:eastAsia="Arial" w:hAnsi="Arial"/>
          <w:sz w:val="17"/>
          <w:szCs w:val="17"/>
          <w:color w:val="auto"/>
        </w:rPr>
        <w:t>The Company and the Company’s U.S. retirement plan are defendants in a purported class action (</w:t>
      </w:r>
      <w:r>
        <w:rPr>
          <w:rFonts w:ascii="Arial" w:cs="Arial" w:eastAsia="Arial" w:hAnsi="Arial"/>
          <w:sz w:val="17"/>
          <w:szCs w:val="17"/>
          <w:i w:val="1"/>
          <w:iCs w:val="1"/>
          <w:color w:val="auto"/>
        </w:rPr>
        <w:t>Osberg v. Foot Locker</w:t>
      </w:r>
      <w:r>
        <w:rPr>
          <w:rFonts w:ascii="Arial" w:cs="Arial" w:eastAsia="Arial" w:hAnsi="Arial"/>
          <w:sz w:val="17"/>
          <w:szCs w:val="17"/>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appealed to the U.S. Court of Appeals for the Second Circuit, which issued a Summary Order on February 13, 2014 that affirmed the judgment of the District Court in part, and vacated and remanded in part. In September 2014, the District Court certified the class and reinstated the claim alleging violation. Additionally, the District Court certified a class with respect to Plaintiff’s breach of fiduciary duty claim and also reinstated the claim alleging violation of the statutory provisions governing the content of the Summary Plan Description. The district court thereafter issued a second ruling certifying a class for the Summary Plan Description Claim. The Company is seeking leave to appeal both class certification rulings to the U.S. Court of Appeals for the Second Circuit.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Foot Locker, Inc. Fair Labor Standards Act and Wage and Hour Litigation</w:t>
      </w:r>
      <w:r>
        <w:rPr>
          <w:rFonts w:ascii="Arial" w:cs="Arial" w:eastAsia="Arial" w:hAnsi="Arial"/>
          <w:sz w:val="18"/>
          <w:szCs w:val="18"/>
          <w:color w:val="auto"/>
        </w:rPr>
        <w:t>,</w:t>
      </w:r>
      <w:r>
        <w:rPr>
          <w:rFonts w:ascii="Arial" w:cs="Arial" w:eastAsia="Arial" w:hAnsi="Arial"/>
          <w:sz w:val="18"/>
          <w:szCs w:val="18"/>
          <w:i w:val="1"/>
          <w:iCs w:val="1"/>
          <w:color w:val="auto"/>
        </w:rPr>
        <w:t xml:space="preserve"> Hill, Cortes, Kissinger, McGlothin, </w:t>
      </w:r>
      <w:r>
        <w:rPr>
          <w:rFonts w:ascii="Arial" w:cs="Arial" w:eastAsia="Arial" w:hAnsi="Arial"/>
          <w:sz w:val="18"/>
          <w:szCs w:val="18"/>
          <w:color w:val="auto"/>
        </w:rPr>
        <w:t>and</w:t>
      </w:r>
      <w:r>
        <w:rPr>
          <w:rFonts w:ascii="Arial" w:cs="Arial" w:eastAsia="Arial" w:hAnsi="Arial"/>
          <w:sz w:val="18"/>
          <w:szCs w:val="18"/>
          <w:i w:val="1"/>
          <w:iCs w:val="1"/>
          <w:color w:val="auto"/>
        </w:rPr>
        <w:t xml:space="preserve"> Osberg</w:t>
      </w:r>
      <w:r>
        <w:rPr>
          <w:rFonts w:ascii="Arial" w:cs="Arial" w:eastAsia="Arial" w:hAnsi="Arial"/>
          <w:sz w:val="18"/>
          <w:szCs w:val="18"/>
          <w:color w:val="auto"/>
        </w:rPr>
        <w:t>, as described above, would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the Company’s consolidated financial position, liquidity, or results of operations, taken as a whole. Litigation is inherently unpredictable, and judgments could be rendered or settlements entered that could adversely affect the Company’s operating results or cash flows in a particular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2013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November 1, 2014.</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Date Purchased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August 3, 2014 through August 30, 2014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August 31, 2014 through October 4, 2014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5, 2014 through November 1, 2014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Approximate Dollar</w:t>
            </w:r>
          </w:p>
        </w:tc>
      </w:tr>
      <w:tr>
        <w:trPr>
          <w:trHeight w:val="216"/>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Value of Shares that</w:t>
            </w:r>
          </w:p>
        </w:tc>
      </w:tr>
      <w:tr>
        <w:trPr>
          <w:trHeight w:val="220"/>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Price Paid</w:t>
            </w: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may yet be Purchased</w:t>
            </w:r>
          </w:p>
        </w:tc>
      </w:tr>
      <w:tr>
        <w:trPr>
          <w:trHeight w:val="271"/>
        </w:trPr>
        <w:tc>
          <w:tcPr>
            <w:tcW w:w="144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3"/>
              </w:rPr>
              <w:t xml:space="preserve">Purchased </w:t>
            </w:r>
            <w:r>
              <w:rPr>
                <w:rFonts w:ascii="Arial" w:cs="Arial" w:eastAsia="Arial" w:hAnsi="Arial"/>
                <w:sz w:val="30"/>
                <w:szCs w:val="30"/>
                <w:b w:val="1"/>
                <w:bCs w:val="1"/>
                <w:color w:val="auto"/>
                <w:w w:val="83"/>
                <w:vertAlign w:val="superscript"/>
              </w:rPr>
              <w:t>(1)</w:t>
            </w:r>
          </w:p>
        </w:tc>
        <w:tc>
          <w:tcPr>
            <w:tcW w:w="120" w:type="dxa"/>
            <w:vAlign w:val="bottom"/>
          </w:tcPr>
          <w:p>
            <w:pPr>
              <w:spacing w:after="0"/>
              <w:rPr>
                <w:sz w:val="23"/>
                <w:szCs w:val="23"/>
                <w:color w:val="auto"/>
              </w:rPr>
            </w:pPr>
          </w:p>
        </w:tc>
        <w:tc>
          <w:tcPr>
            <w:tcW w:w="1340" w:type="dxa"/>
            <w:vAlign w:val="bottom"/>
            <w:gridSpan w:val="2"/>
          </w:tcPr>
          <w:p>
            <w:pPr>
              <w:jc w:val="center"/>
              <w:ind w:right="340"/>
              <w:spacing w:after="0" w:line="271" w:lineRule="exact"/>
              <w:rPr>
                <w:sz w:val="20"/>
                <w:szCs w:val="20"/>
                <w:color w:val="auto"/>
              </w:rPr>
            </w:pPr>
            <w:r>
              <w:rPr>
                <w:rFonts w:ascii="Arial" w:cs="Arial" w:eastAsia="Arial" w:hAnsi="Arial"/>
                <w:sz w:val="18"/>
                <w:szCs w:val="18"/>
                <w:b w:val="1"/>
                <w:bCs w:val="1"/>
                <w:color w:val="auto"/>
                <w:w w:val="85"/>
              </w:rPr>
              <w:t xml:space="preserve">per Share </w:t>
            </w:r>
            <w:r>
              <w:rPr>
                <w:rFonts w:ascii="Arial" w:cs="Arial" w:eastAsia="Arial" w:hAnsi="Arial"/>
                <w:sz w:val="30"/>
                <w:szCs w:val="30"/>
                <w:b w:val="1"/>
                <w:bCs w:val="1"/>
                <w:color w:val="auto"/>
                <w:w w:val="85"/>
                <w:vertAlign w:val="superscript"/>
              </w:rPr>
              <w:t>(1)</w:t>
            </w:r>
          </w:p>
        </w:tc>
        <w:tc>
          <w:tcPr>
            <w:tcW w:w="1480" w:type="dxa"/>
            <w:vAlign w:val="bottom"/>
            <w:gridSpan w:val="3"/>
          </w:tcPr>
          <w:p>
            <w:pPr>
              <w:jc w:val="center"/>
              <w:ind w:right="22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c>
          <w:tcPr>
            <w:tcW w:w="172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w w:val="88"/>
              </w:rPr>
              <w:t xml:space="preserve">Under the Program </w:t>
            </w:r>
            <w:r>
              <w:rPr>
                <w:rFonts w:ascii="Arial" w:cs="Arial" w:eastAsia="Arial" w:hAnsi="Arial"/>
                <w:sz w:val="30"/>
                <w:szCs w:val="30"/>
                <w:b w:val="1"/>
                <w:bCs w:val="1"/>
                <w:color w:val="auto"/>
                <w:w w:val="88"/>
                <w:vertAlign w:val="superscript"/>
              </w:rPr>
              <w:t>(2)</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3,000</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47.99</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234,266,856</w:t>
            </w: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rPr>
              <w:t>480,000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56.79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480,000</w:t>
            </w:r>
          </w:p>
        </w:tc>
        <w:tc>
          <w:tcPr>
            <w:tcW w:w="2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207,008,354</w:t>
            </w:r>
          </w:p>
        </w:tc>
      </w:tr>
      <w:tr>
        <w:trPr>
          <w:trHeight w:val="244"/>
        </w:trPr>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54.51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196,107,226</w:t>
            </w:r>
          </w:p>
        </w:tc>
      </w:tr>
      <w:tr>
        <w:trPr>
          <w:trHeight w:val="224"/>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683,000</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22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683,000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-299720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-582930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500" w:space="720"/>
            <w:col w:w="6200"/>
          </w:cols>
          <w:pgMar w:left="240" w:top="881" w:right="239" w:bottom="1440" w:gutter="0" w:footer="0" w:header="0"/>
          <w:type w:val="continuous"/>
        </w:sectPr>
      </w:pPr>
    </w:p>
    <w:p>
      <w:pPr>
        <w:ind w:left="680" w:right="140" w:hanging="575"/>
        <w:spacing w:after="0" w:line="194" w:lineRule="auto"/>
        <w:tabs>
          <w:tab w:leader="none" w:pos="68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These columns reflect shares repurchased pursuant to Rule 10b5-1 under the Securities Exchange Act of 1934. The calculation of the average price paid per share includes all fees, commissions, and other costs associated with the repurchase of such shares.</w:t>
      </w:r>
    </w:p>
    <w:p>
      <w:pPr>
        <w:ind w:left="680" w:right="360" w:hanging="575"/>
        <w:spacing w:after="0" w:line="187" w:lineRule="auto"/>
        <w:tabs>
          <w:tab w:leader="none" w:pos="68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On February 20, 2013, the Company’s Board of Directors approved a 3-year, $600 million share repurchase program extending through January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3" w:lineRule="exact"/>
        <w:rPr>
          <w:sz w:val="20"/>
          <w:szCs w:val="20"/>
          <w:color w:val="auto"/>
        </w:rPr>
      </w:pPr>
    </w:p>
    <w:p>
      <w:pPr>
        <w:ind w:left="820" w:hanging="58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December 10, 2014</w:t>
            </w: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(Company)</w:t>
            </w:r>
          </w:p>
        </w:tc>
      </w:tr>
      <w:tr>
        <w:trPr>
          <w:trHeight w:val="648"/>
        </w:trPr>
        <w:tc>
          <w:tcPr>
            <w:tcW w:w="3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877"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FOOT LOCKER, INC.</w:t>
            </w:r>
          </w:p>
        </w:tc>
      </w:tr>
      <w:tr>
        <w:trPr>
          <w:trHeight w:val="41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58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rPr>
              <w:t>INDEX OF EXHIBITS REQUIRED BY ITEM 6(a) OF FORM 10-Q</w:t>
            </w:r>
          </w:p>
        </w:tc>
      </w:tr>
      <w:tr>
        <w:trPr>
          <w:trHeight w:val="194"/>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jc w:val="center"/>
              <w:ind w:right="860"/>
              <w:spacing w:after="0" w:line="194" w:lineRule="exact"/>
              <w:rPr>
                <w:sz w:val="20"/>
                <w:szCs w:val="20"/>
                <w:color w:val="auto"/>
              </w:rPr>
            </w:pPr>
            <w:r>
              <w:rPr>
                <w:rFonts w:ascii="Arial" w:cs="Arial" w:eastAsia="Arial" w:hAnsi="Arial"/>
                <w:sz w:val="18"/>
                <w:szCs w:val="18"/>
                <w:b w:val="1"/>
                <w:bCs w:val="1"/>
                <w:color w:val="auto"/>
              </w:rPr>
              <w:t>AND FURNISHED IN ACCORDANCE WITH ITEM 601 OF REGULATION S-K</w:t>
            </w:r>
          </w:p>
        </w:tc>
      </w:tr>
      <w:tr>
        <w:trPr>
          <w:trHeight w:val="4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1340" w:type="dxa"/>
            <w:vAlign w:val="bottom"/>
          </w:tcPr>
          <w:p>
            <w:pPr>
              <w:spacing w:after="0"/>
              <w:rPr>
                <w:sz w:val="24"/>
                <w:szCs w:val="24"/>
                <w:color w:val="auto"/>
              </w:rPr>
            </w:pPr>
          </w:p>
        </w:tc>
        <w:tc>
          <w:tcPr>
            <w:tcW w:w="63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Item 601</w:t>
            </w:r>
          </w:p>
        </w:tc>
        <w:tc>
          <w:tcPr>
            <w:tcW w:w="120" w:type="dxa"/>
            <w:vAlign w:val="bottom"/>
          </w:tcPr>
          <w:p>
            <w:pPr>
              <w:spacing w:after="0"/>
              <w:rPr>
                <w:sz w:val="20"/>
                <w:szCs w:val="20"/>
                <w:color w:val="auto"/>
              </w:rPr>
            </w:pPr>
          </w:p>
        </w:tc>
        <w:tc>
          <w:tcPr>
            <w:tcW w:w="9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w:t>
            </w: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Amendment, dated November 6, 2014, to Employment Agreement, dated June 25, 2009, by and between Ken C. Hicks and the Company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(incorporated herein by reference to Exhibit 10.1 to the Current Report on Form 8-K, dated November 3, 2014, filed by the Registrant</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with the SEC on November 7, 2014).</w:t>
            </w:r>
          </w:p>
        </w:tc>
      </w:tr>
      <w:tr>
        <w:trPr>
          <w:trHeight w:val="4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†10.2</w:t>
            </w:r>
          </w:p>
        </w:tc>
        <w:tc>
          <w:tcPr>
            <w:tcW w:w="9920" w:type="dxa"/>
            <w:vAlign w:val="bottom"/>
            <w:gridSpan w:val="3"/>
          </w:tcPr>
          <w:p>
            <w:pPr>
              <w:spacing w:after="0"/>
              <w:rPr>
                <w:sz w:val="20"/>
                <w:szCs w:val="20"/>
                <w:color w:val="auto"/>
              </w:rPr>
            </w:pPr>
            <w:r>
              <w:rPr>
                <w:rFonts w:ascii="Arial" w:cs="Arial" w:eastAsia="Arial" w:hAnsi="Arial"/>
                <w:sz w:val="18"/>
                <w:szCs w:val="18"/>
                <w:color w:val="auto"/>
                <w:w w:val="95"/>
              </w:rPr>
              <w:t>Employment Agreement, dated November 6, 2014, by and between Richard A. Johnson and the Company (incorporated herein by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8"/>
              </w:rPr>
              <w:t>reference to Exhibit 10.2 to the Current Report on Form 8-K, dated November 3, 2014, filed by the Registrant with the SEC 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November 7, 2014).</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Executive Officer Pursuant to Rule 13a-14(a) or 15d-14(a), as adopted pursuant to Section 302 of the Sarbanes-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500" w:type="dxa"/>
            <w:vAlign w:val="bottom"/>
            <w:gridSpan w:val="2"/>
          </w:tcPr>
          <w:p>
            <w:pPr>
              <w:ind w:left="320"/>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jc w:val="right"/>
        <w:ind w:left="5620" w:right="5580" w:hanging="4968"/>
        <w:spacing w:after="0" w:line="906" w:lineRule="auto"/>
        <w:tabs>
          <w:tab w:leader="none" w:pos="14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Thirty-nine weeks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ended</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Fiscal year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Nov. 1,</w:t>
            </w:r>
          </w:p>
        </w:tc>
        <w:tc>
          <w:tcPr>
            <w:tcW w:w="120" w:type="dxa"/>
            <w:vAlign w:val="bottom"/>
          </w:tcPr>
          <w:p>
            <w:pPr>
              <w:spacing w:after="0"/>
              <w:rPr>
                <w:sz w:val="11"/>
                <w:szCs w:val="11"/>
                <w:color w:val="auto"/>
              </w:rPr>
            </w:pPr>
          </w:p>
        </w:tc>
        <w:tc>
          <w:tcPr>
            <w:tcW w:w="6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Nov. 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Feb. 1,</w:t>
            </w:r>
          </w:p>
        </w:tc>
        <w:tc>
          <w:tcPr>
            <w:tcW w:w="1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Feb. 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Jan. 28,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Jan. 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w w:val="97"/>
              </w:rPr>
              <w:t>Jan.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EARNINGS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2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2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429</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278</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Interest expense, excluding capitalized interest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4"/>
                <w:szCs w:val="14"/>
                <w:color w:val="auto"/>
              </w:rPr>
              <w:t>Portion of rents deemed representative of the interest factor</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770</w:t>
            </w: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656</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910</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666</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FIXED CHARGES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interest expense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Portion of rents deemed representative of the interest factor</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EARNINGS TO FIXED CHARGES</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acknowledge our awareness of the use of our report dated December 10, 2014 related to our review of interim financial information in the following Registration Statements:</w:t>
      </w:r>
    </w:p>
    <w:p>
      <w:pPr>
        <w:spacing w:after="0" w:line="170" w:lineRule="exact"/>
        <w:rPr>
          <w:sz w:val="20"/>
          <w:szCs w:val="20"/>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2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November 1, 2014,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2014</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November 1, 2014 and November 2, 2013, and the related condensed consolidated statements of operations and comprehensive income for the thirteen and thirty-nine week periods ended November 1, 2014 and November 2, 2013, and the related condensed statements of cash flows for the thirty-nine week periods ended November 1, 2014 and November 2, 2013. These condensed consolidated financial statements are the responsibility of the Company’s management.</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February 1, 2014, and the related consolidated statements of operations, comprehensive income, shareholders’ equity, and cash flows for the year then ended (not presented herein); and in our report dated March 31, 2014 we expressed an unqualified opinion on those consolidated financial statements. In our opinion, the information set forth in the accompanying condensed consolidated balance sheet as of February 1, 2014,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þ"/>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58"/>
    </w:lvl>
  </w:abstractNum>
  <w:abstractNum w:abstractNumId="4">
    <w:nsid w:val="4E6AFB66"/>
    <w:multiLevelType w:val="hybridMultilevel"/>
    <w:lvl w:ilvl="0">
      <w:lvlJc w:val="left"/>
      <w:lvlText w:val="%1"/>
      <w:numFmt w:val="decimal"/>
      <w:start w:val="858"/>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4"/>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6"/>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decimal"/>
      <w:start w:val="9"/>
    </w:lvl>
  </w:abstractNum>
  <w:abstractNum w:abstractNumId="15">
    <w:nsid w:val="721DA317"/>
    <w:multiLevelType w:val="hybridMultilevel"/>
    <w:lvl w:ilvl="0">
      <w:lvlJc w:val="left"/>
      <w:lvlText w:val="%1."/>
      <w:numFmt w:val="decimal"/>
      <w:start w:val="9"/>
    </w:lvl>
  </w:abstractNum>
  <w:abstractNum w:abstractNumId="16">
    <w:nsid w:val="2443A858"/>
    <w:multiLevelType w:val="hybridMultilevel"/>
    <w:lvl w:ilvl="0">
      <w:lvlJc w:val="left"/>
      <w:lvlText w:val="%1."/>
      <w:numFmt w:val="decimal"/>
      <w:start w:val="10"/>
    </w:lvl>
  </w:abstractNum>
  <w:abstractNum w:abstractNumId="17">
    <w:nsid w:val="2D1D5AE9"/>
    <w:multiLevelType w:val="hybridMultilevel"/>
    <w:lvl w:ilvl="0">
      <w:lvlJc w:val="left"/>
      <w:lvlText w:val="%1."/>
      <w:numFmt w:val="decimal"/>
      <w:start w:val="10"/>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decimal"/>
      <w:start w:val="10"/>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2019-12-06T02:49:21Z</dcterms:created>
  <dcterms:modified xsi:type="dcterms:W3CDTF">2019-12-06T02:49:21Z</dcterms:modified>
</cp:coreProperties>
</file>