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177165</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160"/>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860" w:hanging="492"/>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2, 2015</w:t>
      </w:r>
    </w:p>
    <w:p>
      <w:pPr>
        <w:spacing w:after="0" w:line="229" w:lineRule="exact"/>
        <w:rPr>
          <w:sz w:val="24"/>
          <w:szCs w:val="24"/>
          <w:color w:val="auto"/>
        </w:rPr>
      </w:pPr>
    </w:p>
    <w:p>
      <w:pPr>
        <w:ind w:left="860" w:hanging="492"/>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2" w:lineRule="exact"/>
        <w:rPr>
          <w:rFonts w:ascii="Arial" w:cs="Arial" w:eastAsia="Arial" w:hAnsi="Arial"/>
          <w:sz w:val="17"/>
          <w:szCs w:val="17"/>
          <w:color w:val="auto"/>
        </w:rPr>
      </w:pPr>
    </w:p>
    <w:p>
      <w:pPr>
        <w:ind w:left="3500"/>
        <w:spacing w:after="0"/>
        <w:rPr>
          <w:rFonts w:ascii="Arial" w:cs="Arial" w:eastAsia="Arial" w:hAnsi="Arial"/>
          <w:sz w:val="17"/>
          <w:szCs w:val="17"/>
          <w:color w:val="auto"/>
        </w:rPr>
      </w:pPr>
      <w:r>
        <w:rPr>
          <w:rFonts w:ascii="Arial" w:cs="Arial" w:eastAsia="Arial" w:hAnsi="Arial"/>
          <w:sz w:val="18"/>
          <w:szCs w:val="18"/>
          <w:b w:val="1"/>
          <w:bCs w:val="1"/>
          <w:color w:val="auto"/>
        </w:rPr>
        <w:t>For the transition period from __________ to __________</w:t>
      </w:r>
    </w:p>
    <w:p>
      <w:pPr>
        <w:spacing w:after="0" w:line="225"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b w:val="1"/>
          <w:bCs w:val="1"/>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189230</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386080</wp:posOffset>
            </wp:positionV>
            <wp:extent cx="252984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186690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45" w:right="239" w:bottom="1440" w:gutter="0" w:footer="0" w:header="0"/>
          <w:type w:val="continuous"/>
        </w:sectPr>
      </w:pPr>
    </w:p>
    <w:p>
      <w:pPr>
        <w:ind w:left="3820"/>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New York, New York, 10120</w:t>
      </w: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þ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Large accelerated filer þ</w:t>
            </w:r>
          </w:p>
        </w:tc>
        <w:tc>
          <w:tcPr>
            <w:tcW w:w="2640" w:type="dxa"/>
            <w:vAlign w:val="bottom"/>
          </w:tcPr>
          <w:p>
            <w:pPr>
              <w:ind w:left="560"/>
              <w:spacing w:after="0"/>
              <w:rPr>
                <w:sz w:val="20"/>
                <w:szCs w:val="20"/>
                <w:color w:val="auto"/>
              </w:rPr>
            </w:pPr>
            <w:r>
              <w:rPr>
                <w:rFonts w:ascii="Arial" w:cs="Arial" w:eastAsia="Arial" w:hAnsi="Arial"/>
                <w:sz w:val="18"/>
                <w:szCs w:val="18"/>
                <w:color w:val="auto"/>
              </w:rPr>
              <w:t>Accelerated filer o</w:t>
            </w:r>
          </w:p>
        </w:tc>
        <w:tc>
          <w:tcPr>
            <w:tcW w:w="3280" w:type="dxa"/>
            <w:vAlign w:val="bottom"/>
          </w:tcPr>
          <w:p>
            <w:pPr>
              <w:ind w:left="760"/>
              <w:spacing w:after="0"/>
              <w:rPr>
                <w:sz w:val="20"/>
                <w:szCs w:val="20"/>
                <w:color w:val="auto"/>
              </w:rPr>
            </w:pPr>
            <w:r>
              <w:rPr>
                <w:rFonts w:ascii="Arial" w:cs="Arial" w:eastAsia="Arial" w:hAnsi="Arial"/>
                <w:sz w:val="18"/>
                <w:szCs w:val="18"/>
                <w:color w:val="auto"/>
              </w:rPr>
              <w:t>Non-accelerated filer o</w:t>
            </w:r>
          </w:p>
        </w:tc>
        <w:tc>
          <w:tcPr>
            <w:tcW w:w="3180" w:type="dxa"/>
            <w:vAlign w:val="bottom"/>
          </w:tcPr>
          <w:p>
            <w:pPr>
              <w:ind w:left="340"/>
              <w:spacing w:after="0"/>
              <w:rPr>
                <w:sz w:val="20"/>
                <w:szCs w:val="20"/>
                <w:color w:val="auto"/>
              </w:rPr>
            </w:pPr>
            <w:r>
              <w:rPr>
                <w:rFonts w:ascii="Arial" w:cs="Arial" w:eastAsia="Arial" w:hAnsi="Arial"/>
                <w:sz w:val="18"/>
                <w:szCs w:val="18"/>
                <w:color w:val="auto"/>
              </w:rPr>
              <w:t>Smaller reporting company o</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180" w:type="dxa"/>
            <w:vAlign w:val="bottom"/>
          </w:tcPr>
          <w:p>
            <w:pPr>
              <w:ind w:left="80"/>
              <w:spacing w:after="0"/>
              <w:rPr>
                <w:sz w:val="20"/>
                <w:szCs w:val="20"/>
                <w:color w:val="auto"/>
              </w:rPr>
            </w:pPr>
            <w:r>
              <w:rPr>
                <w:rFonts w:ascii="Arial" w:cs="Arial" w:eastAsia="Arial" w:hAnsi="Arial"/>
                <w:sz w:val="18"/>
                <w:szCs w:val="18"/>
                <w:color w:val="auto"/>
              </w:rPr>
              <w:t>Yes o  No þ</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Number of shares of Common Stock outstanding as of May 29, 2015: 139,302,640</w:t>
            </w:r>
          </w:p>
        </w:tc>
        <w:tc>
          <w:tcPr>
            <w:tcW w:w="3180" w:type="dxa"/>
            <w:vAlign w:val="bottom"/>
          </w:tcPr>
          <w:p>
            <w:pPr>
              <w:spacing w:after="0"/>
              <w:rPr>
                <w:sz w:val="24"/>
                <w:szCs w:val="24"/>
                <w:color w:val="auto"/>
              </w:rPr>
            </w:pPr>
          </w:p>
        </w:tc>
      </w:tr>
      <w:tr>
        <w:trPr>
          <w:trHeight w:val="648"/>
        </w:trPr>
        <w:tc>
          <w:tcPr>
            <w:tcW w:w="2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5" w:right="239" w:bottom="1440" w:gutter="0" w:footer="0" w:header="0"/>
          <w:type w:val="continuous"/>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gridSpan w:val="2"/>
          </w:tcPr>
          <w:p>
            <w:pPr>
              <w:ind w:left="10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22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6180" w:type="dxa"/>
            <w:vAlign w:val="bottom"/>
            <w:tcBorders>
              <w:bottom w:val="single" w:sz="8" w:color="CCEEFF"/>
            </w:tcBorders>
            <w:gridSpan w:val="10"/>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7660" w:type="dxa"/>
            <w:vAlign w:val="bottom"/>
            <w:gridSpan w:val="15"/>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60" w:type="dxa"/>
            <w:vAlign w:val="bottom"/>
            <w:gridSpan w:val="15"/>
            <w:shd w:val="clear" w:color="auto" w:fill="CCEEFF"/>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60" w:type="dxa"/>
            <w:vAlign w:val="bottom"/>
            <w:gridSpan w:val="15"/>
          </w:tcPr>
          <w:p>
            <w:pPr>
              <w:ind w:left="1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60" w:type="dxa"/>
            <w:vAlign w:val="bottom"/>
            <w:gridSpan w:val="15"/>
            <w:shd w:val="clear" w:color="auto" w:fill="CCEEFF"/>
          </w:tcPr>
          <w:p>
            <w:pPr>
              <w:ind w:left="1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w:t>
              </w:r>
            </w:hyperlink>
          </w:p>
        </w:tc>
        <w:tc>
          <w:tcPr>
            <w:tcW w:w="1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60" w:type="dxa"/>
            <w:vAlign w:val="bottom"/>
            <w:gridSpan w:val="15"/>
          </w:tcPr>
          <w:p>
            <w:pPr>
              <w:ind w:left="1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60" w:type="dxa"/>
            <w:vAlign w:val="bottom"/>
            <w:gridSpan w:val="15"/>
            <w:shd w:val="clear" w:color="auto" w:fill="CCEEFF"/>
          </w:tcPr>
          <w:p>
            <w:pPr>
              <w:ind w:left="1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7660" w:type="dxa"/>
            <w:vAlign w:val="bottom"/>
            <w:gridSpan w:val="15"/>
          </w:tcPr>
          <w:p>
            <w:pPr>
              <w:ind w:left="14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7660" w:type="dxa"/>
            <w:vAlign w:val="bottom"/>
            <w:gridSpan w:val="15"/>
            <w:shd w:val="clear" w:color="auto" w:fill="CCEEFF"/>
          </w:tcPr>
          <w:p>
            <w:pPr>
              <w:ind w:left="14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2"/>
          </w:tcPr>
          <w:p>
            <w:pPr>
              <w:spacing w:after="0" w:line="176" w:lineRule="exact"/>
              <w:rPr>
                <w:sz w:val="20"/>
                <w:szCs w:val="20"/>
                <w:color w:val="auto"/>
              </w:rPr>
            </w:pPr>
            <w:r>
              <w:rPr>
                <w:rFonts w:ascii="Arial" w:cs="Arial" w:eastAsia="Arial" w:hAnsi="Arial"/>
                <w:sz w:val="18"/>
                <w:szCs w:val="18"/>
                <w:color w:val="auto"/>
              </w:rPr>
              <w:t>PART II.</w:t>
            </w:r>
          </w:p>
        </w:tc>
        <w:tc>
          <w:tcPr>
            <w:tcW w:w="8440" w:type="dxa"/>
            <w:vAlign w:val="bottom"/>
            <w:gridSpan w:val="17"/>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7660" w:type="dxa"/>
            <w:vAlign w:val="bottom"/>
            <w:gridSpan w:val="15"/>
            <w:shd w:val="clear" w:color="auto" w:fill="CCEEFF"/>
          </w:tcPr>
          <w:p>
            <w:pPr>
              <w:ind w:left="14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7660" w:type="dxa"/>
            <w:vAlign w:val="bottom"/>
            <w:gridSpan w:val="15"/>
          </w:tcPr>
          <w:p>
            <w:pPr>
              <w:ind w:left="1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660" w:type="dxa"/>
            <w:vAlign w:val="bottom"/>
            <w:gridSpan w:val="15"/>
            <w:shd w:val="clear" w:color="auto" w:fill="CCEEFF"/>
          </w:tcPr>
          <w:p>
            <w:pPr>
              <w:ind w:left="1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7660" w:type="dxa"/>
            <w:vAlign w:val="bottom"/>
            <w:gridSpan w:val="15"/>
          </w:tcPr>
          <w:p>
            <w:pPr>
              <w:ind w:left="1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40" w:type="dxa"/>
            <w:vAlign w:val="bottom"/>
            <w:gridSpan w:val="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INDEX OF EXHIBITS</w:t>
              </w:r>
            </w:hyperlink>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May 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May 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Merchandise inventories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Deferred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Other intangible assets,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3,631</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and other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and paid-in capital: 171,833,686; 170,078,313 and 170,529,401 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Less: Treasury stock at cost: 32,094,240; 25,381,244 and 29,665,213 shares, respectively</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3,631</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312" w:lineRule="auto"/>
        <w:tabs>
          <w:tab w:leader="none" w:pos="13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balance sheet at January 31, 2015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w:t>
      </w:r>
      <w:r>
        <w:rPr>
          <w:rFonts w:ascii="Arial" w:cs="Arial" w:eastAsia="Arial" w:hAnsi="Arial"/>
          <w:sz w:val="16"/>
          <w:szCs w:val="16"/>
          <w:i w:val="1"/>
          <w:iCs w:val="1"/>
          <w:color w:val="auto"/>
        </w:rPr>
        <w:t>s</w:t>
      </w:r>
      <w:r>
        <w:rPr>
          <w:rFonts w:ascii="Arial" w:cs="Arial" w:eastAsia="Arial" w:hAnsi="Arial"/>
          <w:sz w:val="16"/>
          <w:szCs w:val="16"/>
          <w:color w:val="auto"/>
        </w:rPr>
        <w:t>tatements and footnotes thereto included in Foot Locker, Inc.’s Annual Report on Form 10-K for the year ended January 31, 2015.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May 2,</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Impairment charge</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 net</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140.1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1.29</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assuming dilution</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Thirteen weeks ended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Translation adjustment arising during the period, net of income tax</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spacing w:after="0" w:line="201" w:lineRule="exact"/>
              <w:rPr>
                <w:sz w:val="20"/>
                <w:szCs w:val="20"/>
                <w:color w:val="auto"/>
              </w:rPr>
            </w:pPr>
            <w:r>
              <w:rPr>
                <w:rFonts w:ascii="Arial" w:cs="Arial" w:eastAsia="Arial" w:hAnsi="Arial"/>
                <w:sz w:val="18"/>
                <w:szCs w:val="18"/>
                <w:color w:val="auto"/>
                <w:w w:val="92"/>
              </w:rPr>
              <w:t>Amortization of net actuarial gain/loss included in net periodic benefit costs, net of income tax expense of $1 million</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500" w:type="dxa"/>
            <w:vAlign w:val="bottom"/>
            <w:gridSpan w:val="2"/>
          </w:tcPr>
          <w:p>
            <w:pPr>
              <w:spacing w:after="0"/>
              <w:rPr>
                <w:sz w:val="20"/>
                <w:szCs w:val="20"/>
                <w:color w:val="auto"/>
              </w:rPr>
            </w:pPr>
            <w:r>
              <w:rPr>
                <w:rFonts w:ascii="Arial" w:cs="Arial" w:eastAsia="Arial" w:hAnsi="Arial"/>
                <w:sz w:val="18"/>
                <w:szCs w:val="18"/>
                <w:color w:val="auto"/>
              </w:rPr>
              <w:t>and $1 million, respectively</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Thirteen weeks ended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7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jc w:val="center"/>
              <w:ind w:left="230"/>
              <w:spacing w:after="0" w:line="205" w:lineRule="exact"/>
              <w:rPr>
                <w:sz w:val="20"/>
                <w:szCs w:val="20"/>
                <w:color w:val="auto"/>
              </w:rPr>
            </w:pPr>
            <w:r>
              <w:rPr>
                <w:rFonts w:ascii="Arial" w:cs="Arial" w:eastAsia="Arial" w:hAnsi="Arial"/>
                <w:sz w:val="18"/>
                <w:szCs w:val="18"/>
                <w:b w:val="1"/>
                <w:bCs w:val="1"/>
                <w:color w:val="auto"/>
                <w:w w:val="94"/>
              </w:rPr>
              <w:t>May 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center"/>
              <w:ind w:left="230"/>
              <w:spacing w:after="0" w:line="205" w:lineRule="exact"/>
              <w:rPr>
                <w:sz w:val="20"/>
                <w:szCs w:val="20"/>
                <w:color w:val="auto"/>
              </w:rPr>
            </w:pPr>
            <w:r>
              <w:rPr>
                <w:rFonts w:ascii="Arial" w:cs="Arial" w:eastAsia="Arial" w:hAnsi="Arial"/>
                <w:sz w:val="18"/>
                <w:szCs w:val="18"/>
                <w:b w:val="1"/>
                <w:bCs w:val="1"/>
                <w:color w:val="auto"/>
                <w:w w:val="98"/>
              </w:rPr>
              <w:t>May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220" w:type="dxa"/>
            <w:vAlign w:val="bottom"/>
          </w:tcPr>
          <w:p>
            <w:pPr>
              <w:spacing w:after="0"/>
              <w:rPr>
                <w:sz w:val="20"/>
                <w:szCs w:val="20"/>
                <w:color w:val="auto"/>
              </w:rPr>
            </w:pPr>
          </w:p>
        </w:tc>
        <w:tc>
          <w:tcPr>
            <w:tcW w:w="2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From Operating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184</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162</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Non-cash impairment charge</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Qualified pension plan contributions</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Excess tax benefits on share-based compensation</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assets and liabilities:</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340"/>
              <w:spacing w:after="0"/>
              <w:rPr>
                <w:sz w:val="20"/>
                <w:szCs w:val="20"/>
                <w:color w:val="auto"/>
              </w:rPr>
            </w:pPr>
            <w:r>
              <w:rPr>
                <w:rFonts w:ascii="Arial" w:cs="Arial" w:eastAsia="Arial" w:hAnsi="Arial"/>
                <w:sz w:val="18"/>
                <w:szCs w:val="18"/>
                <w:color w:val="auto"/>
              </w:rPr>
              <w:t>Merchandise inventories</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7220" w:type="dxa"/>
            <w:vAlign w:val="bottom"/>
          </w:tcPr>
          <w:p>
            <w:pPr>
              <w:ind w:left="340"/>
              <w:spacing w:after="0"/>
              <w:rPr>
                <w:sz w:val="20"/>
                <w:szCs w:val="20"/>
                <w:color w:val="auto"/>
              </w:rPr>
            </w:pPr>
            <w:r>
              <w:rPr>
                <w:rFonts w:ascii="Arial" w:cs="Arial" w:eastAsia="Arial" w:hAnsi="Arial"/>
                <w:sz w:val="18"/>
                <w:szCs w:val="18"/>
                <w:color w:val="auto"/>
              </w:rPr>
              <w:t>Accrued and other liabilities</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0"/>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272</w:t>
            </w:r>
          </w:p>
        </w:tc>
        <w:tc>
          <w:tcPr>
            <w:tcW w:w="10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b w:val="1"/>
          <w:bCs w:val="1"/>
          <w:color w:val="auto"/>
        </w:rPr>
        <w:t>From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Sales and maturities of short-term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Repayments of obligations under capital 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Issuance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of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Excess tax benefits on 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ind w:right="2740"/>
        <w:spacing w:after="0" w:line="276" w:lineRule="auto"/>
        <w:rPr>
          <w:sz w:val="20"/>
          <w:szCs w:val="20"/>
          <w:color w:val="auto"/>
        </w:rPr>
      </w:pPr>
      <w:r>
        <w:rPr>
          <w:rFonts w:ascii="Arial" w:cs="Arial" w:eastAsia="Arial" w:hAnsi="Arial"/>
          <w:sz w:val="18"/>
          <w:szCs w:val="18"/>
          <w:b w:val="1"/>
          <w:bCs w:val="1"/>
          <w:color w:val="auto"/>
        </w:rPr>
        <w:t>Effect of exchange rate fluctuations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and Cash Equivalents at end of interim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500" w:hanging="1467"/>
        <w:spacing w:after="0"/>
        <w:tabs>
          <w:tab w:leader="none" w:pos="25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(49)</w:t>
      </w:r>
    </w:p>
    <w:p>
      <w:pPr>
        <w:spacing w:after="0" w:line="46"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w:t>
      </w:r>
      <w:r>
        <w:rPr>
          <w:rFonts w:ascii="Arial" w:cs="Arial" w:eastAsia="Arial" w:hAnsi="Arial"/>
          <w:sz w:val="17"/>
          <w:szCs w:val="17"/>
          <w:color w:val="auto"/>
        </w:rPr>
        <w:t>7</w:t>
      </w:r>
    </w:p>
    <w:p>
      <w:pPr>
        <w:spacing w:after="0" w:line="23" w:lineRule="exact"/>
        <w:rPr>
          <w:sz w:val="20"/>
          <w:szCs w:val="20"/>
          <w:color w:val="auto"/>
        </w:rPr>
      </w:pPr>
    </w:p>
    <w:p>
      <w:pPr>
        <w:jc w:val="right"/>
        <w:ind w:right="40"/>
        <w:spacing w:after="0"/>
        <w:tabs>
          <w:tab w:leader="none" w:pos="28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1100"/>
        <w:spacing w:after="0"/>
        <w:tabs>
          <w:tab w:leader="none" w:pos="25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(1)</w:t>
      </w:r>
    </w:p>
    <w:p>
      <w:pPr>
        <w:spacing w:after="0" w:line="27" w:lineRule="exact"/>
        <w:rPr>
          <w:sz w:val="20"/>
          <w:szCs w:val="20"/>
          <w:color w:val="auto"/>
        </w:rPr>
      </w:pPr>
    </w:p>
    <w:p>
      <w:pPr>
        <w:ind w:left="2500" w:hanging="1467"/>
        <w:spacing w:after="0"/>
        <w:tabs>
          <w:tab w:leader="none" w:pos="25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(32)</w:t>
      </w:r>
    </w:p>
    <w:p>
      <w:pPr>
        <w:spacing w:after="0" w:line="32" w:lineRule="exact"/>
        <w:rPr>
          <w:sz w:val="20"/>
          <w:szCs w:val="20"/>
          <w:color w:val="auto"/>
        </w:rPr>
      </w:pPr>
    </w:p>
    <w:p>
      <w:pPr>
        <w:ind w:left="1100"/>
        <w:spacing w:after="0"/>
        <w:tabs>
          <w:tab w:leader="none" w:pos="25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10</w:t>
      </w:r>
    </w:p>
    <w:p>
      <w:pPr>
        <w:spacing w:after="0" w:line="9" w:lineRule="exact"/>
        <w:rPr>
          <w:sz w:val="20"/>
          <w:szCs w:val="20"/>
          <w:color w:val="auto"/>
        </w:rPr>
      </w:pPr>
    </w:p>
    <w:p>
      <w:pPr>
        <w:ind w:left="2500" w:hanging="1556"/>
        <w:spacing w:after="0"/>
        <w:tabs>
          <w:tab w:leader="none" w:pos="25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(70)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9"/>
        </w:trPr>
        <w:tc>
          <w:tcPr>
            <w:tcW w:w="1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r>
    </w:tbl>
    <w:p>
      <w:pPr>
        <w:ind w:left="2460" w:hanging="1367"/>
        <w:spacing w:after="0"/>
        <w:tabs>
          <w:tab w:leader="none" w:pos="2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147</w:t>
      </w:r>
    </w:p>
    <w:p>
      <w:pPr>
        <w:spacing w:after="0" w:line="22" w:lineRule="exact"/>
        <w:rPr>
          <w:rFonts w:ascii="Arial" w:cs="Arial" w:eastAsia="Arial" w:hAnsi="Arial"/>
          <w:sz w:val="18"/>
          <w:szCs w:val="18"/>
          <w:b w:val="1"/>
          <w:bCs w:val="1"/>
          <w:color w:val="auto"/>
        </w:rPr>
      </w:pPr>
    </w:p>
    <w:p>
      <w:pPr>
        <w:ind w:left="2460" w:hanging="1457"/>
        <w:spacing w:after="0"/>
        <w:tabs>
          <w:tab w:leader="none" w:pos="2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-276860</wp:posOffset>
            </wp:positionV>
            <wp:extent cx="1732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 w:lineRule="exact"/>
        <w:rPr>
          <w:sz w:val="20"/>
          <w:szCs w:val="20"/>
          <w:color w:val="auto"/>
        </w:rPr>
      </w:pPr>
    </w:p>
    <w:p>
      <w:pPr>
        <w:spacing w:after="0"/>
        <w:tabs>
          <w:tab w:leader="none" w:pos="980" w:val="left"/>
          <w:tab w:leader="none" w:pos="1460" w:val="left"/>
          <w:tab w:leader="none" w:pos="23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986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1,005</w:t>
      </w:r>
    </w:p>
    <w:p>
      <w:pPr>
        <w:spacing w:after="0" w:line="27" w:lineRule="exact"/>
        <w:rPr>
          <w:sz w:val="20"/>
          <w:szCs w:val="20"/>
          <w:color w:val="auto"/>
        </w:rPr>
      </w:pPr>
    </w:p>
    <w:p>
      <w:pPr>
        <w:sectPr>
          <w:pgSz w:w="11900" w:h="16838" w:orient="portrait"/>
          <w:cols w:equalWidth="0" w:num="2">
            <w:col w:w="7860" w:space="720"/>
            <w:col w:w="284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20" w:type="dxa"/>
            <w:vAlign w:val="bottom"/>
            <w:tcBorders>
              <w:top w:val="single" w:sz="8" w:color="CCEEFF"/>
            </w:tcBorders>
            <w:shd w:val="clear" w:color="auto" w:fill="CCEEFF"/>
          </w:tcPr>
          <w:p>
            <w:pPr>
              <w:spacing w:after="0"/>
              <w:rPr>
                <w:sz w:val="20"/>
                <w:szCs w:val="20"/>
                <w:color w:val="auto"/>
              </w:rPr>
            </w:pPr>
          </w:p>
        </w:tc>
        <w:tc>
          <w:tcPr>
            <w:tcW w:w="596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auto"/>
              </w:rPr>
              <w:t>Cash paid during the period:</w:t>
            </w:r>
          </w:p>
        </w:tc>
        <w:tc>
          <w:tcPr>
            <w:tcW w:w="5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6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4"/>
        </w:trPr>
        <w:tc>
          <w:tcPr>
            <w:tcW w:w="262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6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83</w:t>
            </w:r>
          </w:p>
        </w:tc>
      </w:tr>
      <w:tr>
        <w:trPr>
          <w:trHeight w:val="414"/>
        </w:trPr>
        <w:tc>
          <w:tcPr>
            <w:tcW w:w="2620" w:type="dxa"/>
            <w:vAlign w:val="bottom"/>
          </w:tcPr>
          <w:p>
            <w:pPr>
              <w:spacing w:after="0"/>
              <w:rPr>
                <w:sz w:val="24"/>
                <w:szCs w:val="24"/>
                <w:color w:val="auto"/>
              </w:rPr>
            </w:pPr>
          </w:p>
        </w:tc>
        <w:tc>
          <w:tcPr>
            <w:tcW w:w="65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26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jc w:val="right"/>
              <w:ind w:right="2730"/>
              <w:spacing w:after="0"/>
              <w:rPr>
                <w:sz w:val="20"/>
                <w:szCs w:val="20"/>
                <w:color w:val="auto"/>
              </w:rPr>
            </w:pPr>
            <w:r>
              <w:rPr>
                <w:rFonts w:ascii="Arial" w:cs="Arial" w:eastAsia="Arial" w:hAnsi="Arial"/>
                <w:sz w:val="18"/>
                <w:szCs w:val="18"/>
                <w:color w:val="auto"/>
              </w:rPr>
              <w:t>4</w:t>
            </w: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January 30, 2016 and of the fiscal year ended January 31, 2015.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January 31, 2015, as filed with the U.S. Securities and Exchange Commission (the “SEC”) on March 30,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the Company’s present or future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280"/>
              <w:spacing w:after="0"/>
              <w:rPr>
                <w:sz w:val="20"/>
                <w:szCs w:val="20"/>
                <w:color w:val="auto"/>
              </w:rPr>
            </w:pPr>
            <w:r>
              <w:rPr>
                <w:rFonts w:ascii="Arial" w:cs="Arial" w:eastAsia="Arial" w:hAnsi="Arial"/>
                <w:sz w:val="18"/>
                <w:szCs w:val="18"/>
                <w:b w:val="1"/>
                <w:bCs w:val="1"/>
                <w:color w:val="auto"/>
              </w:rPr>
              <w:t>Thirteen weeks ended</w:t>
            </w:r>
          </w:p>
        </w:tc>
      </w:tr>
      <w:tr>
        <w:trPr>
          <w:trHeight w:val="205"/>
        </w:trPr>
        <w:tc>
          <w:tcPr>
            <w:tcW w:w="5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40"/>
              <w:spacing w:after="0" w:line="205" w:lineRule="exact"/>
              <w:rPr>
                <w:sz w:val="20"/>
                <w:szCs w:val="20"/>
                <w:color w:val="auto"/>
              </w:rPr>
            </w:pPr>
            <w:r>
              <w:rPr>
                <w:rFonts w:ascii="Arial" w:cs="Arial" w:eastAsia="Arial" w:hAnsi="Arial"/>
                <w:sz w:val="18"/>
                <w:szCs w:val="18"/>
                <w:b w:val="1"/>
                <w:bCs w:val="1"/>
                <w:color w:val="auto"/>
              </w:rPr>
              <w:t>May 2,</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w w:val="94"/>
              </w:rPr>
              <w:t>May 3,</w:t>
            </w:r>
          </w:p>
        </w:tc>
        <w:tc>
          <w:tcPr>
            <w:tcW w:w="100" w:type="dxa"/>
            <w:vAlign w:val="bottom"/>
          </w:tcPr>
          <w:p>
            <w:pPr>
              <w:spacing w:after="0"/>
              <w:rPr>
                <w:sz w:val="17"/>
                <w:szCs w:val="17"/>
                <w:color w:val="auto"/>
              </w:rPr>
            </w:pPr>
          </w:p>
        </w:tc>
      </w:tr>
      <w:tr>
        <w:trPr>
          <w:trHeight w:val="234"/>
        </w:trPr>
        <w:tc>
          <w:tcPr>
            <w:tcW w:w="53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Athletic Stores</w:t>
            </w:r>
          </w:p>
        </w:tc>
        <w:tc>
          <w:tcPr>
            <w:tcW w:w="35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1,681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1,657</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0"/>
        </w:trPr>
        <w:tc>
          <w:tcPr>
            <w:tcW w:w="532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320" w:type="dxa"/>
            <w:vAlign w:val="bottom"/>
          </w:tcPr>
          <w:p>
            <w:pPr>
              <w:spacing w:after="0" w:line="256" w:lineRule="exact"/>
              <w:rPr>
                <w:sz w:val="20"/>
                <w:szCs w:val="20"/>
                <w:color w:val="auto"/>
              </w:rPr>
            </w:pPr>
            <w:r>
              <w:rPr>
                <w:rFonts w:ascii="Arial" w:cs="Arial" w:eastAsia="Arial" w:hAnsi="Arial"/>
                <w:sz w:val="18"/>
                <w:szCs w:val="18"/>
                <w:color w:val="auto"/>
              </w:rPr>
              <w:t>Athletic Stores</w:t>
            </w:r>
            <w:r>
              <w:rPr>
                <w:rFonts w:ascii="Arial" w:cs="Arial" w:eastAsia="Arial" w:hAnsi="Arial"/>
                <w:sz w:val="29"/>
                <w:szCs w:val="29"/>
                <w:color w:val="auto"/>
                <w:vertAlign w:val="superscript"/>
              </w:rPr>
              <w:t>(1)</w:t>
            </w:r>
          </w:p>
        </w:tc>
        <w:tc>
          <w:tcPr>
            <w:tcW w:w="35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Division profit</w:t>
            </w:r>
          </w:p>
        </w:tc>
        <w:tc>
          <w:tcPr>
            <w:tcW w:w="3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Corporate expense</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Operating profit</w:t>
            </w:r>
          </w:p>
        </w:tc>
        <w:tc>
          <w:tcPr>
            <w:tcW w:w="3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70"/>
        </w:trPr>
        <w:tc>
          <w:tcPr>
            <w:tcW w:w="5320" w:type="dxa"/>
            <w:vAlign w:val="bottom"/>
          </w:tcPr>
          <w:p>
            <w:pPr>
              <w:spacing w:after="0" w:line="269" w:lineRule="exact"/>
              <w:rPr>
                <w:sz w:val="20"/>
                <w:szCs w:val="20"/>
                <w:color w:val="auto"/>
              </w:rPr>
            </w:pPr>
            <w:r>
              <w:rPr>
                <w:rFonts w:ascii="Arial" w:cs="Arial" w:eastAsia="Arial" w:hAnsi="Arial"/>
                <w:sz w:val="18"/>
                <w:szCs w:val="18"/>
                <w:color w:val="auto"/>
              </w:rPr>
              <w:t>Other income</w:t>
            </w:r>
            <w:r>
              <w:rPr>
                <w:rFonts w:ascii="Arial" w:cs="Arial" w:eastAsia="Arial" w:hAnsi="Arial"/>
                <w:sz w:val="30"/>
                <w:szCs w:val="30"/>
                <w:color w:val="auto"/>
                <w:vertAlign w:val="superscript"/>
              </w:rPr>
              <w:t>(2)</w:t>
            </w:r>
          </w:p>
        </w:tc>
        <w:tc>
          <w:tcPr>
            <w:tcW w:w="3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line="194" w:lineRule="auto"/>
        <w:tabs>
          <w:tab w:leader="none" w:pos="58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During the first quarter of 2014, the Company recorded a non-cash impairment charge of $1 million to fully write down the remaining value of the tradename related to the Company’s stores in the Republic of Ireland, reflecting historical and projected underperformance.</w:t>
      </w:r>
    </w:p>
    <w:p>
      <w:pPr>
        <w:ind w:left="580" w:hanging="572"/>
        <w:spacing w:after="0" w:line="187" w:lineRule="auto"/>
        <w:tabs>
          <w:tab w:leader="none" w:pos="58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 The annual review of goodwill and intangible assets with indefinite lives performed during the first quarter of 2015 did not result in the recognition of impairment.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goodwill by reportable segment. The change represents foreign exchange fluctuations.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May 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4300" w:type="dxa"/>
            <w:vAlign w:val="bottom"/>
          </w:tcPr>
          <w:p>
            <w:pPr>
              <w:spacing w:after="0"/>
              <w:rPr>
                <w:sz w:val="20"/>
                <w:szCs w:val="20"/>
                <w:color w:val="auto"/>
              </w:rPr>
            </w:pPr>
          </w:p>
        </w:tc>
        <w:tc>
          <w:tcPr>
            <w:tcW w:w="3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430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2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Direct-to-Customers</w:t>
            </w:r>
          </w:p>
        </w:tc>
        <w:tc>
          <w:tcPr>
            <w:tcW w:w="2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23"/>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7"/>
              </w:rPr>
              <w:t>May 2, 2015</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May 3, 2014</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January 31, 2015</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08"/>
              <w:spacing w:after="0" w:line="119" w:lineRule="exact"/>
              <w:rPr>
                <w:sz w:val="20"/>
                <w:szCs w:val="20"/>
                <w:color w:val="auto"/>
              </w:rPr>
            </w:pPr>
            <w:r>
              <w:rPr>
                <w:rFonts w:ascii="Arial" w:cs="Arial" w:eastAsia="Arial" w:hAnsi="Arial"/>
                <w:sz w:val="13"/>
                <w:szCs w:val="13"/>
                <w:b w:val="1"/>
                <w:bCs w:val="1"/>
                <w:color w:val="auto"/>
              </w:rPr>
              <w:t>Accum.</w:t>
            </w:r>
          </w:p>
        </w:tc>
        <w:tc>
          <w:tcPr>
            <w:tcW w:w="140" w:type="dxa"/>
            <w:vAlign w:val="bottom"/>
          </w:tcPr>
          <w:p>
            <w:pPr>
              <w:spacing w:after="0"/>
              <w:rPr>
                <w:sz w:val="10"/>
                <w:szCs w:val="10"/>
                <w:color w:val="auto"/>
              </w:rPr>
            </w:pPr>
          </w:p>
        </w:tc>
        <w:tc>
          <w:tcPr>
            <w:tcW w:w="660" w:type="dxa"/>
            <w:vAlign w:val="bottom"/>
          </w:tcPr>
          <w:p>
            <w:pPr>
              <w:jc w:val="right"/>
              <w:ind w:right="229"/>
              <w:spacing w:after="0" w:line="119" w:lineRule="exact"/>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59"/>
              <w:spacing w:after="0" w:line="119" w:lineRule="exact"/>
              <w:rPr>
                <w:sz w:val="20"/>
                <w:szCs w:val="20"/>
                <w:color w:val="auto"/>
              </w:rPr>
            </w:pPr>
            <w:r>
              <w:rPr>
                <w:rFonts w:ascii="Arial" w:cs="Arial" w:eastAsia="Arial" w:hAnsi="Arial"/>
                <w:sz w:val="13"/>
                <w:szCs w:val="13"/>
                <w:b w:val="1"/>
                <w:bCs w:val="1"/>
                <w:color w:val="auto"/>
              </w:rPr>
              <w:t>Accum.</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ind w:right="69"/>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39"/>
              <w:spacing w:after="0" w:line="119" w:lineRule="exact"/>
              <w:rPr>
                <w:sz w:val="20"/>
                <w:szCs w:val="20"/>
                <w:color w:val="auto"/>
              </w:rPr>
            </w:pPr>
            <w:r>
              <w:rPr>
                <w:rFonts w:ascii="Arial" w:cs="Arial" w:eastAsia="Arial" w:hAnsi="Arial"/>
                <w:sz w:val="13"/>
                <w:szCs w:val="13"/>
                <w:b w:val="1"/>
                <w:bCs w:val="1"/>
                <w:color w:val="auto"/>
              </w:rPr>
              <w:t>Accum.</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ind w:right="89"/>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3"/>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3"/>
              </w:rPr>
              <w:t>amort.</w:t>
            </w: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660" w:type="dxa"/>
            <w:vAlign w:val="bottom"/>
          </w:tcPr>
          <w:p>
            <w:pPr>
              <w:jc w:val="right"/>
              <w:ind w:right="169"/>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amort.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2"/>
              </w:rPr>
              <w:t>amort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color w:val="auto"/>
              </w:rPr>
              <w:t xml:space="preserve">Amortized intangible assets: </w:t>
            </w:r>
            <w:r>
              <w:rPr>
                <w:rFonts w:ascii="Arial" w:cs="Arial" w:eastAsia="Arial" w:hAnsi="Arial"/>
                <w:sz w:val="21"/>
                <w:szCs w:val="21"/>
                <w:color w:val="auto"/>
                <w:vertAlign w:val="superscript"/>
              </w:rPr>
              <w:t>(1), (2)</w:t>
            </w: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Lease acquisition costs</w:t>
            </w:r>
          </w:p>
        </w:tc>
        <w:tc>
          <w:tcPr>
            <w:tcW w:w="600" w:type="dxa"/>
            <w:vAlign w:val="bottom"/>
          </w:tcPr>
          <w:p>
            <w:pPr>
              <w:jc w:val="right"/>
              <w:ind w:right="449"/>
              <w:spacing w:after="0" w:line="149"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126</w:t>
            </w:r>
          </w:p>
        </w:tc>
        <w:tc>
          <w:tcPr>
            <w:tcW w:w="24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b w:val="1"/>
                <w:bCs w:val="1"/>
                <w:color w:val="auto"/>
              </w:rPr>
              <w:t>(115)</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(142)</w:t>
            </w: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(116)</w:t>
            </w:r>
          </w:p>
        </w:tc>
        <w:tc>
          <w:tcPr>
            <w:tcW w:w="2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Trademarks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(12)</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ind w:left="160"/>
              <w:spacing w:after="0"/>
              <w:rPr>
                <w:sz w:val="20"/>
                <w:szCs w:val="20"/>
                <w:color w:val="auto"/>
              </w:rPr>
            </w:pPr>
            <w:r>
              <w:rPr>
                <w:rFonts w:ascii="Arial" w:cs="Arial" w:eastAsia="Arial" w:hAnsi="Arial"/>
                <w:sz w:val="14"/>
                <w:szCs w:val="14"/>
                <w:color w:val="auto"/>
              </w:rPr>
              <w:t>Favorable leases</w:t>
            </w:r>
          </w:p>
        </w:tc>
        <w:tc>
          <w:tcPr>
            <w:tcW w:w="6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(4)</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79"/>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449"/>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154</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w:t>
            </w:r>
          </w:p>
        </w:tc>
        <w:tc>
          <w:tcPr>
            <w:tcW w:w="260" w:type="dxa"/>
            <w:vAlign w:val="bottom"/>
            <w:tcBorders>
              <w:top w:val="single" w:sz="8" w:color="CCEEFF"/>
            </w:tcBorders>
            <w:shd w:val="clear" w:color="auto" w:fill="CCEEFF"/>
          </w:tcPr>
          <w:p>
            <w:pPr>
              <w:jc w:val="right"/>
              <w:ind w:right="128"/>
              <w:spacing w:after="0" w:line="142" w:lineRule="exact"/>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w:t>
            </w:r>
          </w:p>
        </w:tc>
        <w:tc>
          <w:tcPr>
            <w:tcW w:w="16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Indefinite life intangible assets </w:t>
            </w:r>
            <w:r>
              <w:rPr>
                <w:rFonts w:ascii="Arial" w:cs="Arial" w:eastAsia="Arial" w:hAnsi="Arial"/>
                <w:sz w:val="21"/>
                <w:szCs w:val="21"/>
                <w:color w:val="auto"/>
                <w:vertAlign w:val="superscript"/>
              </w:rPr>
              <w:t>(1)</w:t>
            </w: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ind w:left="160"/>
              <w:spacing w:after="0"/>
              <w:rPr>
                <w:sz w:val="20"/>
                <w:szCs w:val="20"/>
                <w:color w:val="auto"/>
              </w:rPr>
            </w:pPr>
            <w:r>
              <w:rPr>
                <w:rFonts w:ascii="Arial" w:cs="Arial" w:eastAsia="Arial" w:hAnsi="Arial"/>
                <w:sz w:val="14"/>
                <w:szCs w:val="14"/>
                <w:color w:val="auto"/>
              </w:rPr>
              <w:t>Runners Point Group trademarks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 trademarks </w:t>
            </w:r>
            <w:r>
              <w:rPr>
                <w:rFonts w:ascii="Arial" w:cs="Arial" w:eastAsia="Arial" w:hAnsi="Arial"/>
                <w:sz w:val="23"/>
                <w:szCs w:val="23"/>
                <w:color w:val="auto"/>
                <w:vertAlign w:val="superscript"/>
              </w:rPr>
              <w:t>(3)</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Other intangible assets, net</w:t>
            </w:r>
          </w:p>
        </w:tc>
        <w:tc>
          <w:tcPr>
            <w:tcW w:w="6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48</w:t>
            </w:r>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effect of foreign currency translation related primarily to the movements of the euro in relation to the U.S. dollar.</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2014, the Company exited the CCS e-commerce business; as such, the fully amortized customer relationship intangible of $21 million was removed from the amounts presented above for all periods presented.</w:t>
      </w:r>
    </w:p>
    <w:p>
      <w:pPr>
        <w:ind w:left="4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2014, the Company recorded a non-cash impairment charge of $1 million to fully write down the remaining value of the tradename related to the Company’s stores in the Republic of Ireland, reflecting historical and projected underperformance.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for intangibles subject to amortization was $1 million and $2 million for thirteen weeks ended May 2, 2015 and May 3,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finite life intangible assets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(in millions)</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6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2016</w:t>
            </w: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2018</w:t>
            </w: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2020</w:t>
            </w:r>
          </w:p>
        </w:tc>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634"/>
        </w:trPr>
        <w:tc>
          <w:tcPr>
            <w:tcW w:w="35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jc w:val="right"/>
              <w:ind w:right="421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(“AOCL”), net of tax, is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May 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May 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January 31,</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3"/>
              </w:rPr>
              <w:t>(in millions)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Cash flow hedges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Unrecognized pension cost and postretirement benefit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Unrealized loss on available-for-sale security</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40" w:type="dxa"/>
            <w:vAlign w:val="bottom"/>
            <w:gridSpan w:val="7"/>
            <w:vMerge w:val="restart"/>
          </w:tcPr>
          <w:p>
            <w:pPr>
              <w:spacing w:after="0"/>
              <w:rPr>
                <w:sz w:val="20"/>
                <w:szCs w:val="20"/>
                <w:color w:val="auto"/>
              </w:rPr>
            </w:pPr>
            <w:r>
              <w:rPr>
                <w:rFonts w:ascii="Arial" w:cs="Arial" w:eastAsia="Arial" w:hAnsi="Arial"/>
                <w:sz w:val="18"/>
                <w:szCs w:val="18"/>
                <w:color w:val="auto"/>
              </w:rPr>
              <w:t>The changes in AOCL for the thirteen weeks ended May 2, 2015 were as follows:</w:t>
            </w: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40" w:type="dxa"/>
            <w:vAlign w:val="bottom"/>
            <w:gridSpan w:val="7"/>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Items related to</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currency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pension and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9"/>
              </w:rPr>
              <w:t>loss 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translation</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Cash flow</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postretirement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available-for-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adjustments</w:t>
            </w:r>
          </w:p>
        </w:tc>
        <w:tc>
          <w:tcPr>
            <w:tcW w:w="2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hedges</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benefits</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sale security</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OCI before reclassification</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Reclassified from AOCL</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income/(loss)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May 2,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40" w:type="dxa"/>
            <w:vAlign w:val="bottom"/>
            <w:gridSpan w:val="7"/>
          </w:tcPr>
          <w:p>
            <w:pPr>
              <w:spacing w:after="0"/>
              <w:rPr>
                <w:sz w:val="20"/>
                <w:szCs w:val="20"/>
                <w:color w:val="auto"/>
              </w:rPr>
            </w:pPr>
            <w:r>
              <w:rPr>
                <w:rFonts w:ascii="Arial" w:cs="Arial" w:eastAsia="Arial" w:hAnsi="Arial"/>
                <w:sz w:val="18"/>
                <w:szCs w:val="18"/>
                <w:color w:val="auto"/>
              </w:rPr>
              <w:t>Reclassifications from AOCL for the thirteen weeks ended May 2, 2015 were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(gain) loss: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240"/>
              <w:spacing w:after="0"/>
              <w:rPr>
                <w:sz w:val="20"/>
                <w:szCs w:val="20"/>
                <w:color w:val="auto"/>
              </w:rPr>
            </w:pPr>
            <w:r>
              <w:rPr>
                <w:rFonts w:ascii="Arial" w:cs="Arial" w:eastAsia="Arial" w:hAnsi="Arial"/>
                <w:sz w:val="18"/>
                <w:szCs w:val="18"/>
                <w:color w:val="auto"/>
              </w:rPr>
              <w:t>Pension benefits - amortization of actuarial loss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Postretirement benefits - amortization of actuarial gain</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rPr>
              <w:t xml:space="preserve">Net periodic benefit cost (see </w:t>
            </w:r>
            <w:r>
              <w:rPr>
                <w:rFonts w:ascii="Arial" w:cs="Arial" w:eastAsia="Arial" w:hAnsi="Arial"/>
                <w:sz w:val="18"/>
                <w:szCs w:val="18"/>
                <w:i w:val="1"/>
                <w:iCs w:val="1"/>
                <w:color w:val="auto"/>
              </w:rPr>
              <w:t>Note 9</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is contained within Note 7,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primary currencies to which the Company is exposed are the euro, British pound, Canadian dollar, and Australian dollar. For the most part, merchandise inventories are purchased by each geographic area in their respective local currency. The exception to this is the United Kingdom, whose merchandise inventory purchases are denominated in euros. 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substantially all of the Company’s hedged forecasted transactions are less than twelve months, and the Company expects substantially all derivative-related amounts reported in AOCL to be reclassified to earnings within twelve months. The net change in the fair value of the foreign exchange derivative financial instruments designated as cash flow hedges of the purchase of inventory resulted in a loss of $1 million during the thirteen weeks ended May 2, 2015, and therefore increased AOCL. At May 2, 2015, there was a $4 million loss included in AOCL.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 of the contracts outstanding at May 2, 2015 was $89 million, and these contracts extend through July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Not Designated as Hedges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foreign exchange forward contracts that are not designated as hedges in order to manage the costs of foreign-currency denominated merchandise purchases and intercompany transactions. Changes in the fair value of these foreign exchange forward contracts are recorded in earnings immediately within selling, general and administrative expenses. The net change in fair value resulted in income for the thirteen weeks ended May 2, 2015 of $1 million. The net change in fair value was not significant for the prior-year period. The notional value of the contracts outstanding at May 2, 2015 was $97 million, and these contracts extend through November 2015.</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any of the periods presented. The notional value of the contract outstanding at May 2, 2015 was $23 million, and the contract extends through July 2015.</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Balance Sheet</w:t>
            </w:r>
          </w:p>
        </w:tc>
        <w:tc>
          <w:tcPr>
            <w:tcW w:w="2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May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Caption</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1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Current liabilities</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Current liabilities</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21"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6"/>
          <w:szCs w:val="16"/>
          <w:color w:val="auto"/>
        </w:rPr>
        <w:t>Quoted prices for identical instruments in active markets.</w:t>
      </w:r>
    </w:p>
    <w:p>
      <w:pPr>
        <w:spacing w:after="0" w:line="225" w:lineRule="exact"/>
        <w:rPr>
          <w:sz w:val="20"/>
          <w:szCs w:val="20"/>
          <w:color w:val="auto"/>
        </w:rPr>
      </w:pPr>
    </w:p>
    <w:p>
      <w:pPr>
        <w:ind w:left="1620" w:hanging="917"/>
        <w:spacing w:after="0" w:line="308" w:lineRule="auto"/>
        <w:tabs>
          <w:tab w:leader="none" w:pos="160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47" w:lineRule="exact"/>
        <w:rPr>
          <w:sz w:val="20"/>
          <w:szCs w:val="20"/>
          <w:color w:val="auto"/>
        </w:rPr>
      </w:pPr>
    </w:p>
    <w:p>
      <w:pPr>
        <w:jc w:val="center"/>
        <w:ind w:right="1060"/>
        <w:spacing w:after="0"/>
        <w:tabs>
          <w:tab w:leader="none" w:pos="2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6"/>
          <w:szCs w:val="16"/>
          <w:color w:val="auto"/>
        </w:rPr>
        <w:t>Model-derived valuations in which one or more significant inputs or significant value-drivers are unobservable.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At May 2, 2015</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At May 3, 2014</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At January 31, 2015</w:t>
            </w: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Short-term investments</w:t>
            </w:r>
          </w:p>
        </w:tc>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85"/>
              </w:rPr>
              <w:t>—</w:t>
            </w:r>
          </w:p>
        </w:tc>
        <w:tc>
          <w:tcPr>
            <w:tcW w:w="8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tcPr>
          <w:p>
            <w:pPr>
              <w:jc w:val="right"/>
              <w:ind w:right="429"/>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Auction rate security</w:t>
            </w: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w w:val="85"/>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5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85"/>
              </w:rPr>
              <w:t>—</w:t>
            </w:r>
          </w:p>
        </w:tc>
        <w:tc>
          <w:tcPr>
            <w:tcW w:w="24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w:t>
            </w:r>
          </w:p>
        </w:tc>
        <w:tc>
          <w:tcPr>
            <w:tcW w:w="26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85"/>
              </w:rPr>
              <w:t>—</w:t>
            </w:r>
          </w:p>
        </w:tc>
        <w:tc>
          <w:tcPr>
            <w:tcW w:w="24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w w:val="85"/>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forward contracts</w:t>
            </w: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w w:val="85"/>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Total Liabilities</w:t>
            </w:r>
          </w:p>
        </w:tc>
        <w:tc>
          <w:tcPr>
            <w:tcW w:w="5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85"/>
              </w:rPr>
              <w:t>—</w:t>
            </w:r>
          </w:p>
        </w:tc>
        <w:tc>
          <w:tcPr>
            <w:tcW w:w="240" w:type="dxa"/>
            <w:vAlign w:val="bottom"/>
          </w:tcPr>
          <w:p>
            <w:pPr>
              <w:spacing w:after="0"/>
              <w:rPr>
                <w:sz w:val="13"/>
                <w:szCs w:val="13"/>
                <w:color w:val="auto"/>
              </w:rPr>
            </w:pPr>
          </w:p>
        </w:tc>
        <w:tc>
          <w:tcPr>
            <w:tcW w:w="5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3"/>
                <w:szCs w:val="13"/>
                <w:color w:val="auto"/>
              </w:rPr>
            </w:pPr>
          </w:p>
        </w:tc>
        <w:tc>
          <w:tcPr>
            <w:tcW w:w="5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85"/>
              </w:rPr>
              <w:t>—</w:t>
            </w:r>
          </w:p>
        </w:tc>
        <w:tc>
          <w:tcPr>
            <w:tcW w:w="240" w:type="dxa"/>
            <w:vAlign w:val="bottom"/>
          </w:tcPr>
          <w:p>
            <w:pPr>
              <w:spacing w:after="0"/>
              <w:rPr>
                <w:sz w:val="13"/>
                <w:szCs w:val="13"/>
                <w:color w:val="auto"/>
              </w:rPr>
            </w:pPr>
          </w:p>
        </w:tc>
        <w:tc>
          <w:tcPr>
            <w:tcW w:w="5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Available-for-sale securities are recorded at fair value with unrealized gains and losses reported, net of tax, in other comprehensive income, unless unrealized losses are determined to be other than temporary. The fair value of the auction rate security is determined by using quoted prices for similar instruments in active markets and accordingly is classified as a Level 2 instrument.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May 2,</w:t>
            </w:r>
          </w:p>
        </w:tc>
        <w:tc>
          <w:tcPr>
            <w:tcW w:w="240" w:type="dxa"/>
            <w:vAlign w:val="bottom"/>
          </w:tcPr>
          <w:p>
            <w:pPr>
              <w:spacing w:after="0"/>
              <w:rPr>
                <w:sz w:val="19"/>
                <w:szCs w:val="19"/>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May 3,</w:t>
            </w:r>
          </w:p>
        </w:tc>
        <w:tc>
          <w:tcPr>
            <w:tcW w:w="2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4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3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34"/>
        </w:trPr>
        <w:tc>
          <w:tcPr>
            <w:tcW w:w="4100" w:type="dxa"/>
            <w:vAlign w:val="bottom"/>
          </w:tcPr>
          <w:p>
            <w:pPr>
              <w:spacing w:after="0"/>
              <w:rPr>
                <w:sz w:val="20"/>
                <w:szCs w:val="20"/>
                <w:color w:val="auto"/>
              </w:rPr>
            </w:pPr>
            <w:r>
              <w:rPr>
                <w:rFonts w:ascii="Arial" w:cs="Arial" w:eastAsia="Arial" w:hAnsi="Arial"/>
                <w:sz w:val="18"/>
                <w:szCs w:val="18"/>
                <w:color w:val="auto"/>
              </w:rPr>
              <w:t>Fair value</w:t>
            </w:r>
          </w:p>
        </w:tc>
        <w:tc>
          <w:tcPr>
            <w:tcW w:w="3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bl>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value-drivers are observable in active markets and, therefore, are classified as Level 2. The carrying values of cash and cash equivalents and other current receivables and payables approximate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reported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ectPr>
          <w:pgSz w:w="11900" w:h="16838" w:orient="portrait"/>
          <w:cols w:equalWidth="0" w:num="1">
            <w:col w:w="11420"/>
          </w:cols>
          <w:pgMar w:left="240" w:top="877"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basic and diluted earnings per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Dilution: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Weighted-average common shares assuming dilution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40" w:type="dxa"/>
            <w:vAlign w:val="bottom"/>
            <w:tcBorders>
              <w:top w:val="single" w:sz="8" w:color="auto"/>
            </w:tcBorders>
            <w:gridSpan w:val="3"/>
          </w:tcPr>
          <w:p>
            <w:pPr>
              <w:ind w:left="380"/>
              <w:spacing w:after="0" w:line="205" w:lineRule="exact"/>
              <w:rPr>
                <w:sz w:val="20"/>
                <w:szCs w:val="20"/>
                <w:color w:val="auto"/>
              </w:rPr>
            </w:pPr>
            <w:r>
              <w:rPr>
                <w:rFonts w:ascii="Arial" w:cs="Arial" w:eastAsia="Arial" w:hAnsi="Arial"/>
                <w:sz w:val="18"/>
                <w:szCs w:val="18"/>
                <w:b w:val="1"/>
                <w:bCs w:val="1"/>
                <w:color w:val="auto"/>
              </w:rPr>
              <w:t>May 2,</w:t>
            </w:r>
          </w:p>
        </w:tc>
        <w:tc>
          <w:tcPr>
            <w:tcW w:w="90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w w:val="94"/>
              </w:rPr>
              <w:t>May 3,</w:t>
            </w:r>
          </w:p>
        </w:tc>
      </w:tr>
      <w:tr>
        <w:trPr>
          <w:trHeight w:val="234"/>
        </w:trPr>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191"/>
        </w:trPr>
        <w:tc>
          <w:tcPr>
            <w:tcW w:w="1840" w:type="dxa"/>
            <w:vAlign w:val="bottom"/>
            <w:gridSpan w:val="3"/>
          </w:tcPr>
          <w:p>
            <w:pPr>
              <w:ind w:left="900"/>
              <w:spacing w:after="0" w:line="191" w:lineRule="exact"/>
              <w:rPr>
                <w:sz w:val="20"/>
                <w:szCs w:val="20"/>
                <w:color w:val="auto"/>
              </w:rPr>
            </w:pPr>
            <w:r>
              <w:rPr>
                <w:rFonts w:ascii="Arial" w:cs="Arial" w:eastAsia="Arial" w:hAnsi="Arial"/>
                <w:sz w:val="18"/>
                <w:szCs w:val="18"/>
                <w:b w:val="1"/>
                <w:bCs w:val="1"/>
                <w:color w:val="auto"/>
                <w:w w:val="91"/>
              </w:rPr>
              <w:t>(in millions)</w:t>
            </w:r>
          </w:p>
        </w:tc>
        <w:tc>
          <w:tcPr>
            <w:tcW w:w="900" w:type="dxa"/>
            <w:vAlign w:val="bottom"/>
          </w:tcPr>
          <w:p>
            <w:pPr>
              <w:spacing w:after="0"/>
              <w:rPr>
                <w:sz w:val="16"/>
                <w:szCs w:val="16"/>
                <w:color w:val="auto"/>
              </w:rPr>
            </w:pPr>
          </w:p>
        </w:tc>
      </w:tr>
      <w:tr>
        <w:trPr>
          <w:trHeight w:val="234"/>
        </w:trPr>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140.1</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446"/>
        </w:trPr>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142.1</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877" w:right="239" w:bottom="1440" w:gutter="0" w:footer="0" w:header="0"/>
          <w:type w:val="continuous"/>
        </w:sectPr>
      </w:pP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Options to purchase 0.4 million and 0.3 million shares of common stock were not included in the computation for the thirteen weeks ended May 2, 2015 and May 3, 2014, respectively. These options were not included primarily because the exercise prices of the options were greater than the average market price of the common shares and, therefore, the effect would have been antidilutive. Contingently issuable shares of 0.3 million and 0.4 million have not been included as the vesting conditions have not been satisfied as of May 2, 2015 and May 3,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defined benefit pension plans covering certain of its North American employees, which are funded in accordance with the provisions of the laws where the plans are in effect. In addition, the Company has a defined benefit pension plan covering certain individuals of the Runners Point Group.</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Pension</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Benefits</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w w:val="92"/>
              </w:rPr>
              <w:t>Benefits</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May 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290"/>
              <w:spacing w:after="0" w:line="205" w:lineRule="exact"/>
              <w:rPr>
                <w:sz w:val="20"/>
                <w:szCs w:val="20"/>
                <w:color w:val="auto"/>
              </w:rPr>
            </w:pPr>
            <w:r>
              <w:rPr>
                <w:rFonts w:ascii="Arial" w:cs="Arial" w:eastAsia="Arial" w:hAnsi="Arial"/>
                <w:sz w:val="18"/>
                <w:szCs w:val="18"/>
                <w:b w:val="1"/>
                <w:bCs w:val="1"/>
                <w:color w:val="auto"/>
              </w:rPr>
              <w:t>May 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May 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70"/>
              <w:spacing w:after="0" w:line="205" w:lineRule="exact"/>
              <w:rPr>
                <w:sz w:val="20"/>
                <w:szCs w:val="20"/>
                <w:color w:val="auto"/>
              </w:rPr>
            </w:pPr>
            <w:r>
              <w:rPr>
                <w:rFonts w:ascii="Arial" w:cs="Arial" w:eastAsia="Arial" w:hAnsi="Arial"/>
                <w:sz w:val="18"/>
                <w:szCs w:val="18"/>
                <w:b w:val="1"/>
                <w:bCs w:val="1"/>
                <w:color w:val="auto"/>
              </w:rPr>
              <w:t>May 3,</w:t>
            </w:r>
          </w:p>
        </w:tc>
        <w:tc>
          <w:tcPr>
            <w:tcW w:w="10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millions)</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Amortization of net loss (gain)</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benefit expense (income)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 contributions were made to the plans during the thirteen weeks ended May 2, 2015. The Company continually evaluates the amount and timing of any future contributions. The Company currently does not expect to contribute to the U.S. or Canadian qualified plans during the current year. Additional contributions will depend on the plan asset performance and other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the Company’s share-based compensation plans were as follows:</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780"/>
        <w:spacing w:after="0" w:line="258" w:lineRule="auto"/>
        <w:rPr>
          <w:sz w:val="20"/>
          <w:szCs w:val="20"/>
          <w:color w:val="auto"/>
        </w:rPr>
      </w:pPr>
      <w:r>
        <w:rPr>
          <w:rFonts w:ascii="Arial" w:cs="Arial" w:eastAsia="Arial" w:hAnsi="Arial"/>
          <w:sz w:val="18"/>
          <w:szCs w:val="18"/>
          <w:color w:val="auto"/>
        </w:rPr>
        <w:t>Options and shares purchased under the employee stock purchase plan Restricted stock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40"/>
              <w:spacing w:after="0" w:line="205" w:lineRule="exact"/>
              <w:rPr>
                <w:sz w:val="20"/>
                <w:szCs w:val="20"/>
                <w:color w:val="auto"/>
              </w:rPr>
            </w:pPr>
            <w:r>
              <w:rPr>
                <w:rFonts w:ascii="Arial" w:cs="Arial" w:eastAsia="Arial" w:hAnsi="Arial"/>
                <w:sz w:val="18"/>
                <w:szCs w:val="18"/>
                <w:b w:val="1"/>
                <w:bCs w:val="1"/>
                <w:color w:val="auto"/>
              </w:rPr>
              <w:t>May 2,</w:t>
            </w: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w w:val="94"/>
              </w:rPr>
              <w:t>May 3,</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right"/>
              <w:spacing w:after="0" w:line="191" w:lineRule="exact"/>
              <w:rPr>
                <w:sz w:val="20"/>
                <w:szCs w:val="20"/>
                <w:color w:val="auto"/>
              </w:rPr>
            </w:pPr>
            <w:r>
              <w:rPr>
                <w:rFonts w:ascii="Arial" w:cs="Arial" w:eastAsia="Arial" w:hAnsi="Arial"/>
                <w:sz w:val="18"/>
                <w:szCs w:val="18"/>
                <w:b w:val="1"/>
                <w:bCs w:val="1"/>
                <w:color w:val="auto"/>
              </w:rPr>
              <w:t>(in millions)</w:t>
            </w:r>
          </w:p>
        </w:tc>
        <w:tc>
          <w:tcPr>
            <w:tcW w:w="900" w:type="dxa"/>
            <w:vAlign w:val="bottom"/>
          </w:tcPr>
          <w:p>
            <w:pPr>
              <w:spacing w:after="0"/>
              <w:rPr>
                <w:sz w:val="16"/>
                <w:szCs w:val="16"/>
                <w:color w:val="auto"/>
              </w:rPr>
            </w:pPr>
          </w:p>
        </w:tc>
      </w:tr>
      <w:tr>
        <w:trPr>
          <w:trHeight w:val="230"/>
        </w:trPr>
        <w:tc>
          <w:tcPr>
            <w:tcW w:w="24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877"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recognized</w:t>
            </w:r>
          </w:p>
        </w:tc>
        <w:tc>
          <w:tcPr>
            <w:tcW w:w="7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440" w:type="dxa"/>
            <w:vAlign w:val="bottom"/>
          </w:tcPr>
          <w:p>
            <w:pPr>
              <w:spacing w:after="0" w:line="201" w:lineRule="exact"/>
              <w:rPr>
                <w:sz w:val="20"/>
                <w:szCs w:val="20"/>
                <w:color w:val="auto"/>
              </w:rPr>
            </w:pPr>
            <w:r>
              <w:rPr>
                <w:rFonts w:ascii="Arial" w:cs="Arial" w:eastAsia="Arial" w:hAnsi="Arial"/>
                <w:sz w:val="18"/>
                <w:szCs w:val="18"/>
                <w:color w:val="auto"/>
                <w:w w:val="91"/>
              </w:rPr>
              <w:t>Excess income tax benefit from settled equity-classified share-based awards reported as a cash flow from financing</w:t>
            </w:r>
          </w:p>
        </w:tc>
        <w:tc>
          <w:tcPr>
            <w:tcW w:w="7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14</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activities</w:t>
            </w:r>
          </w:p>
        </w:tc>
        <w:tc>
          <w:tcPr>
            <w:tcW w:w="7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Model and Assumptions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 The following table shows the Company’s assumptions used to compute the share-based compensation expense: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Stock Option Plans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Stock Purchase Plan</w:t>
            </w:r>
          </w:p>
        </w:tc>
      </w:tr>
      <w:tr>
        <w:trPr>
          <w:trHeight w:val="205"/>
        </w:trPr>
        <w:tc>
          <w:tcPr>
            <w:tcW w:w="4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May 2,</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0"/>
              <w:spacing w:after="0" w:line="205" w:lineRule="exact"/>
              <w:rPr>
                <w:sz w:val="20"/>
                <w:szCs w:val="20"/>
                <w:color w:val="auto"/>
              </w:rPr>
            </w:pPr>
            <w:r>
              <w:rPr>
                <w:rFonts w:ascii="Arial" w:cs="Arial" w:eastAsia="Arial" w:hAnsi="Arial"/>
                <w:sz w:val="18"/>
                <w:szCs w:val="18"/>
                <w:b w:val="1"/>
                <w:bCs w:val="1"/>
                <w:color w:val="auto"/>
              </w:rPr>
              <w:t>May 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600"/>
              <w:spacing w:after="0" w:line="205" w:lineRule="exact"/>
              <w:rPr>
                <w:sz w:val="20"/>
                <w:szCs w:val="20"/>
                <w:color w:val="auto"/>
              </w:rPr>
            </w:pPr>
            <w:r>
              <w:rPr>
                <w:rFonts w:ascii="Arial" w:cs="Arial" w:eastAsia="Arial" w:hAnsi="Arial"/>
                <w:sz w:val="18"/>
                <w:szCs w:val="18"/>
                <w:b w:val="1"/>
                <w:bCs w:val="1"/>
                <w:color w:val="auto"/>
              </w:rPr>
              <w:t>May 2,</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May 3,</w:t>
            </w:r>
          </w:p>
        </w:tc>
        <w:tc>
          <w:tcPr>
            <w:tcW w:w="160" w:type="dxa"/>
            <w:vAlign w:val="bottom"/>
          </w:tcPr>
          <w:p>
            <w:pPr>
              <w:spacing w:after="0"/>
              <w:rPr>
                <w:sz w:val="17"/>
                <w:szCs w:val="17"/>
                <w:color w:val="auto"/>
              </w:rPr>
            </w:pPr>
          </w:p>
        </w:tc>
      </w:tr>
      <w:tr>
        <w:trPr>
          <w:trHeight w:val="234"/>
        </w:trPr>
        <w:tc>
          <w:tcPr>
            <w:tcW w:w="42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award life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6.0 years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 years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 year</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 year</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8.03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r>
      <w:tr>
        <w:trPr>
          <w:trHeight w:val="648"/>
        </w:trPr>
        <w:tc>
          <w:tcPr>
            <w:tcW w:w="4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11</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in the following table covers options granted under the Company’s stock option plans for the thirteen weeks ended May 2,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Weighted-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Term</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500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8"/>
              </w:rPr>
              <w:t>(in thousands, except price per share and weighted-average term)</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5,569</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682</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Expired or cancelled</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May 2, 2015</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6.68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Options exercisable at May 2, 2015</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3,685</w:t>
            </w:r>
          </w:p>
        </w:tc>
        <w:tc>
          <w:tcPr>
            <w:tcW w:w="2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1"/>
              </w:rPr>
              <w:t>5.67</w:t>
            </w:r>
          </w:p>
        </w:tc>
        <w:tc>
          <w:tcPr>
            <w:tcW w:w="26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23.09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May 2, 2015</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5,144</w:t>
            </w:r>
          </w:p>
        </w:tc>
        <w:tc>
          <w:tcPr>
            <w:tcW w:w="1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6.65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Options available for future grant at May 2, 2015</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13,041</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6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Thirteen weeks ended</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6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00" w:type="dxa"/>
            <w:vAlign w:val="bottom"/>
          </w:tcPr>
          <w:p>
            <w:pPr>
              <w:jc w:val="center"/>
              <w:ind w:left="290"/>
              <w:spacing w:after="0" w:line="205" w:lineRule="exact"/>
              <w:rPr>
                <w:sz w:val="20"/>
                <w:szCs w:val="20"/>
                <w:color w:val="auto"/>
              </w:rPr>
            </w:pPr>
            <w:r>
              <w:rPr>
                <w:rFonts w:ascii="Arial" w:cs="Arial" w:eastAsia="Arial" w:hAnsi="Arial"/>
                <w:sz w:val="18"/>
                <w:szCs w:val="18"/>
                <w:b w:val="1"/>
                <w:bCs w:val="1"/>
                <w:color w:val="auto"/>
                <w:w w:val="94"/>
              </w:rPr>
              <w:t>May 2,</w:t>
            </w:r>
          </w:p>
        </w:tc>
        <w:tc>
          <w:tcPr>
            <w:tcW w:w="480" w:type="dxa"/>
            <w:vAlign w:val="bottom"/>
          </w:tcPr>
          <w:p>
            <w:pPr>
              <w:spacing w:after="0"/>
              <w:rPr>
                <w:sz w:val="17"/>
                <w:szCs w:val="17"/>
                <w:color w:val="auto"/>
              </w:rPr>
            </w:pPr>
          </w:p>
        </w:tc>
        <w:tc>
          <w:tcPr>
            <w:tcW w:w="1080" w:type="dxa"/>
            <w:vAlign w:val="bottom"/>
          </w:tcPr>
          <w:p>
            <w:pPr>
              <w:jc w:val="center"/>
              <w:ind w:left="290"/>
              <w:spacing w:after="0" w:line="205" w:lineRule="exact"/>
              <w:rPr>
                <w:sz w:val="20"/>
                <w:szCs w:val="20"/>
                <w:color w:val="auto"/>
              </w:rPr>
            </w:pPr>
            <w:r>
              <w:rPr>
                <w:rFonts w:ascii="Arial" w:cs="Arial" w:eastAsia="Arial" w:hAnsi="Arial"/>
                <w:sz w:val="18"/>
                <w:szCs w:val="18"/>
                <w:b w:val="1"/>
                <w:bCs w:val="1"/>
                <w:color w:val="auto"/>
                <w:w w:val="98"/>
              </w:rPr>
              <w:t>May 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60" w:type="dxa"/>
            <w:vAlign w:val="bottom"/>
          </w:tcPr>
          <w:p>
            <w:pPr>
              <w:spacing w:after="0"/>
              <w:rPr>
                <w:sz w:val="20"/>
                <w:szCs w:val="20"/>
                <w:color w:val="auto"/>
              </w:rPr>
            </w:pPr>
          </w:p>
        </w:tc>
        <w:tc>
          <w:tcPr>
            <w:tcW w:w="4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53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8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0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for stock options outstanding and for stock options exercisable (the difference between the Company’s closing stock price on the last trading day of the period and the exercise price of the options, multiplied by the number of in-the-money stock options)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Thirteen weeks ended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48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20" w:type="dxa"/>
            <w:vAlign w:val="bottom"/>
          </w:tcPr>
          <w:p>
            <w:pPr>
              <w:spacing w:after="0"/>
              <w:rPr>
                <w:sz w:val="20"/>
                <w:szCs w:val="20"/>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w w:val="91"/>
              </w:rPr>
              <w:t>(in millions)</w:t>
            </w: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41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Outstanding and exercisable</w:t>
            </w:r>
          </w:p>
        </w:tc>
        <w:tc>
          <w:tcPr>
            <w:tcW w:w="41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41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127</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May 2, 2015, there was $14 million of total unrecognized compensation cost, related to nonvested stock options, which is expected to be recognized over a weighted-average period of 1.79 years.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cash received from option exercises for the thirteen weeks ended May 2, 2015 and May 3, 2014 was $23 million and $10 million, respectively. The actual tax benefit realized from stock option exercises was $14 million and $4 million for the thirteen weeks ended May 2, 2015 and May 3, 2014,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May 2,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Options Outstanding</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ind w:left="58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5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Weighted-</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540" w:type="dxa"/>
            <w:vAlign w:val="bottom"/>
          </w:tcPr>
          <w:p>
            <w:pPr>
              <w:spacing w:after="0"/>
              <w:rPr>
                <w:sz w:val="20"/>
                <w:szCs w:val="20"/>
                <w:color w:val="auto"/>
              </w:rPr>
            </w:pPr>
          </w:p>
        </w:tc>
        <w:tc>
          <w:tcPr>
            <w:tcW w:w="3580" w:type="dxa"/>
            <w:vAlign w:val="bottom"/>
            <w:gridSpan w:val="2"/>
          </w:tcPr>
          <w:p>
            <w:pPr>
              <w:ind w:left="520"/>
              <w:spacing w:after="0"/>
              <w:rPr>
                <w:sz w:val="20"/>
                <w:szCs w:val="20"/>
                <w:color w:val="auto"/>
              </w:rPr>
            </w:pPr>
            <w:r>
              <w:rPr>
                <w:rFonts w:ascii="Arial" w:cs="Arial" w:eastAsia="Arial" w:hAnsi="Arial"/>
                <w:sz w:val="18"/>
                <w:szCs w:val="18"/>
                <w:b w:val="1"/>
                <w:bCs w:val="1"/>
                <w:color w:val="auto"/>
              </w:rPr>
              <w:t>Range of Exercise Prices</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Exercisable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54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89"/>
              </w:rPr>
              <w:t>(in thousands, except prices per share and contractual life)</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$ 9.85</w:t>
            </w:r>
          </w:p>
        </w:tc>
        <w:tc>
          <w:tcPr>
            <w:tcW w:w="3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 $15.10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7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w w:val="87"/>
              </w:rPr>
              <w:t>$18.80</w:t>
            </w:r>
          </w:p>
        </w:tc>
        <w:tc>
          <w:tcPr>
            <w:tcW w:w="3580" w:type="dxa"/>
            <w:vAlign w:val="bottom"/>
            <w:gridSpan w:val="2"/>
          </w:tcPr>
          <w:p>
            <w:pPr>
              <w:ind w:left="60"/>
              <w:spacing w:after="0"/>
              <w:rPr>
                <w:sz w:val="20"/>
                <w:szCs w:val="20"/>
                <w:color w:val="auto"/>
              </w:rPr>
            </w:pPr>
            <w:r>
              <w:rPr>
                <w:rFonts w:ascii="Arial" w:cs="Arial" w:eastAsia="Arial" w:hAnsi="Arial"/>
                <w:sz w:val="18"/>
                <w:szCs w:val="18"/>
                <w:color w:val="auto"/>
              </w:rPr>
              <w:t>to $25.19</w:t>
            </w:r>
          </w:p>
        </w:tc>
        <w:tc>
          <w:tcPr>
            <w:tcW w:w="1280" w:type="dxa"/>
            <w:vAlign w:val="bottom"/>
          </w:tcPr>
          <w:p>
            <w:pPr>
              <w:jc w:val="right"/>
              <w:spacing w:after="0"/>
              <w:rPr>
                <w:sz w:val="20"/>
                <w:szCs w:val="20"/>
                <w:color w:val="auto"/>
              </w:rPr>
            </w:pPr>
            <w:r>
              <w:rPr>
                <w:rFonts w:ascii="Arial" w:cs="Arial" w:eastAsia="Arial" w:hAnsi="Arial"/>
                <w:sz w:val="18"/>
                <w:szCs w:val="18"/>
                <w:color w:val="auto"/>
              </w:rPr>
              <w:t>1,201</w:t>
            </w:r>
          </w:p>
        </w:tc>
        <w:tc>
          <w:tcPr>
            <w:tcW w:w="1760" w:type="dxa"/>
            <w:vAlign w:val="bottom"/>
            <w:gridSpan w:val="3"/>
          </w:tcPr>
          <w:p>
            <w:pPr>
              <w:ind w:left="1200"/>
              <w:spacing w:after="0"/>
              <w:rPr>
                <w:sz w:val="20"/>
                <w:szCs w:val="20"/>
                <w:color w:val="auto"/>
              </w:rPr>
            </w:pPr>
            <w:r>
              <w:rPr>
                <w:rFonts w:ascii="Arial" w:cs="Arial" w:eastAsia="Arial" w:hAnsi="Arial"/>
                <w:sz w:val="18"/>
                <w:szCs w:val="18"/>
                <w:color w:val="auto"/>
              </w:rPr>
              <w:t>5.09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19.81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r>
      <w:tr>
        <w:trPr>
          <w:trHeight w:val="216"/>
        </w:trPr>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$30.92</w:t>
            </w:r>
          </w:p>
        </w:tc>
        <w:tc>
          <w:tcPr>
            <w:tcW w:w="3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 $36.59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7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w w:val="87"/>
              </w:rPr>
              <w:t>$45.08</w:t>
            </w:r>
          </w:p>
        </w:tc>
        <w:tc>
          <w:tcPr>
            <w:tcW w:w="3580" w:type="dxa"/>
            <w:vAlign w:val="bottom"/>
            <w:gridSpan w:val="2"/>
          </w:tcPr>
          <w:p>
            <w:pPr>
              <w:ind w:left="60"/>
              <w:spacing w:after="0"/>
              <w:rPr>
                <w:sz w:val="20"/>
                <w:szCs w:val="20"/>
                <w:color w:val="auto"/>
              </w:rPr>
            </w:pPr>
            <w:r>
              <w:rPr>
                <w:rFonts w:ascii="Arial" w:cs="Arial" w:eastAsia="Arial" w:hAnsi="Arial"/>
                <w:sz w:val="18"/>
                <w:szCs w:val="18"/>
                <w:color w:val="auto"/>
              </w:rPr>
              <w:t>to $62.11</w:t>
            </w:r>
          </w:p>
        </w:tc>
        <w:tc>
          <w:tcPr>
            <w:tcW w:w="1280" w:type="dxa"/>
            <w:vAlign w:val="bottom"/>
          </w:tcPr>
          <w:p>
            <w:pPr>
              <w:jc w:val="right"/>
              <w:spacing w:after="0"/>
              <w:rPr>
                <w:sz w:val="20"/>
                <w:szCs w:val="20"/>
                <w:color w:val="auto"/>
              </w:rPr>
            </w:pPr>
            <w:r>
              <w:rPr>
                <w:rFonts w:ascii="Arial" w:cs="Arial" w:eastAsia="Arial" w:hAnsi="Arial"/>
                <w:sz w:val="18"/>
                <w:szCs w:val="18"/>
                <w:color w:val="auto"/>
              </w:rPr>
              <w:t>1,361</w:t>
            </w:r>
          </w:p>
        </w:tc>
        <w:tc>
          <w:tcPr>
            <w:tcW w:w="1760" w:type="dxa"/>
            <w:vAlign w:val="bottom"/>
            <w:gridSpan w:val="3"/>
          </w:tcPr>
          <w:p>
            <w:pPr>
              <w:ind w:left="1200"/>
              <w:spacing w:after="0"/>
              <w:rPr>
                <w:sz w:val="20"/>
                <w:szCs w:val="20"/>
                <w:color w:val="auto"/>
              </w:rPr>
            </w:pPr>
            <w:r>
              <w:rPr>
                <w:rFonts w:ascii="Arial" w:cs="Arial" w:eastAsia="Arial" w:hAnsi="Arial"/>
                <w:sz w:val="18"/>
                <w:szCs w:val="18"/>
                <w:color w:val="auto"/>
              </w:rPr>
              <w:t>9.33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54.05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45.46</w:t>
            </w:r>
          </w:p>
        </w:tc>
      </w:tr>
      <w:tr>
        <w:trPr>
          <w:trHeight w:val="223"/>
        </w:trPr>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79"/>
              </w:rPr>
              <w:t>6.68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shares of the Company’s common stock and restricted stock units may be awarded to certain officers and key employees of the Company. Awards made to executives outside of the United States and to nonemployee directors are made in the form of restricted stock units. Additionally, restricted stock unit awards are made in connection with the Company’s long-term incentive program. Each restricted stock unit represents the right to receive one share of the Company’s common stock provided that the vesting conditions are satisfied. There were 594,910 and 793,011 restricted stock units outstanding as of May 2, 2015 and May 3, 2014, respectively.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Generally, awards fully vest after the passage of time, typically three years. However, restricted stock unit grants made in connection with the Company’s long-term incentive program vest after the attainment of both certain performance metrics and the passage of time. Restricted stock is considered outstanding at the time of grant and the holders have voting rights. Dividends are paid to holders of restricted stock that vest with the passage of time; for performance-based restricted stock, dividends will be accumulated and paid after the performance criteria are met. No dividends are paid on restricted stock units.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expense is recognized using the fair market value at the date of grant and is amortized over the vesting period, provided the recipient continues to be employed by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w w:val="96"/>
              </w:rPr>
              <w:t>Restricted share and unit activity for the thirteen weeks ended May 2, 2015 is summarized as follows:</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20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Number of Shares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Value per Share</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9"/>
              </w:rPr>
              <w:t>(in thousands, except price 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the beginning of the year</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Granted</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5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Expired or cancelled</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23"/>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May 2, 2015</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Aggregate value (in millions)</w:t>
            </w:r>
          </w:p>
        </w:tc>
        <w:tc>
          <w:tcPr>
            <w:tcW w:w="4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contractual life (in years)</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 years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grant-date fair value per share was $61.46 and $45.03 for the thirteen weeks ended May 2, 2015 and May 3, 2014, respectively. The total value of awards for which restrictions lapsed for both the thirteen weeks ended May 2, 2015 and May 3, 2014 was $9 million. As of May 2, 2015, there was $14 million of total unrecognized compensation cost net of forfeitures related to nonvested restricted awards.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 through its subsidiaries, operates in two reportable segments – Athletic Stores and Direct-to-Customers.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Athletic Stores segment is one of the largest athletic footwear and apparel retailers in the world, with formats that include Foot Locker, Lady Foot Locker, Kids Foot Locker, Champs Sports, Footaction, SIX:02, Runners Point, and Sidestep.</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Direct-to-Customers segment is multi-branded and multi-channeled. This segment sells, through its affiliates, directly to customers through its Internet and mobile sites and catalogs. Eastbay, one of the affiliates, is among the largest direct marketers in the United States. The Direct-to-Customers segment operates the websites for eastbay.com, final-score.com, eastbayteamsales.com, as well as websites aligned with the brand names of its store banners (footlocker.com, ladyfootlocker.com, kidsfootlocker.com, footlocker.ca, footlocker.eu, champssports.com, footaction.com, six02.com, runnerspoint.com, and sidestep-shoes.com). Additionally, this segment includes sp24.com, a clearance website for our European e-commerce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May 2, 2015, the Company operated 3,419 stores as compared with 3,423 and 3,464 stores at January 31, 2015 and May 3, 2014, respectively. During the thirteen weeks ended May 2, 2015, the Company opened 37 stores, remodeled or relocated 55 stores and closed 41 stores.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total of 82 franchised stores were operating at May 2, 2015, as compared with 78 and 74 stores at January 31, 2015 and May 4, 2013, respectively. Revenue from the franchised stores was not significant for any of the periods presented. These stores are not included in the Company’s operating store count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increased by $48 million, or 2.6 percent, to $1,916 million for the thirteen weeks ended May 2, 2015, from $1,868 million for the thirteen weeks ended May 3, 2014. Excluding the effect of foreign currency fluctuations, total sales for the thirteen-week period increased 7.9 percent, as compared with the corresponding prior-year period. Comparable-store sales increased by 7.8 percent for the thirteen weeks ended May 2, 2015.</w:t>
      </w:r>
    </w:p>
    <w:p>
      <w:pPr>
        <w:sectPr>
          <w:pgSz w:w="11900" w:h="16838" w:orient="portrait"/>
          <w:cols w:equalWidth="0" w:num="1">
            <w:col w:w="11420"/>
          </w:cols>
          <w:pgMar w:left="240" w:top="881"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Gross margin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Change in the gross margin rate is comprised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Occupancy and buyers’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Merchandise margin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in gross margin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tcBorders>
              <w:top w:val="single" w:sz="8" w:color="auto"/>
            </w:tcBorders>
            <w:gridSpan w:val="2"/>
          </w:tcPr>
          <w:p>
            <w:pPr>
              <w:jc w:val="right"/>
              <w:ind w:right="660"/>
              <w:spacing w:after="0" w:line="205" w:lineRule="exact"/>
              <w:rPr>
                <w:sz w:val="20"/>
                <w:szCs w:val="20"/>
                <w:color w:val="auto"/>
              </w:rPr>
            </w:pPr>
            <w:r>
              <w:rPr>
                <w:rFonts w:ascii="Arial" w:cs="Arial" w:eastAsia="Arial" w:hAnsi="Arial"/>
                <w:sz w:val="18"/>
                <w:szCs w:val="18"/>
                <w:b w:val="1"/>
                <w:bCs w:val="1"/>
                <w:color w:val="auto"/>
              </w:rPr>
              <w:t>May 2,</w:t>
            </w:r>
          </w:p>
        </w:tc>
        <w:tc>
          <w:tcPr>
            <w:tcW w:w="12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May 3,</w:t>
            </w:r>
          </w:p>
        </w:tc>
        <w:tc>
          <w:tcPr>
            <w:tcW w:w="140" w:type="dxa"/>
            <w:vAlign w:val="bottom"/>
          </w:tcPr>
          <w:p>
            <w:pPr>
              <w:spacing w:after="0"/>
              <w:rPr>
                <w:sz w:val="17"/>
                <w:szCs w:val="17"/>
                <w:color w:val="auto"/>
              </w:rPr>
            </w:pPr>
          </w:p>
        </w:tc>
      </w:tr>
      <w:tr>
        <w:trPr>
          <w:trHeight w:val="234"/>
        </w:trPr>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r>
      <w:tr>
        <w:trPr>
          <w:trHeight w:val="228"/>
        </w:trPr>
        <w:tc>
          <w:tcPr>
            <w:tcW w:w="1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34.6%</w:t>
            </w:r>
          </w:p>
        </w:tc>
      </w:tr>
      <w:tr>
        <w:trPr>
          <w:trHeight w:val="414"/>
        </w:trPr>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0.4</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ind w:left="1060"/>
        <w:spacing w:after="0"/>
        <w:rPr>
          <w:sz w:val="20"/>
          <w:szCs w:val="20"/>
          <w:color w:val="auto"/>
        </w:rPr>
      </w:pPr>
      <w:r>
        <w:rPr>
          <w:rFonts w:ascii="Arial" w:cs="Arial" w:eastAsia="Arial" w:hAnsi="Arial"/>
          <w:sz w:val="18"/>
          <w:szCs w:val="18"/>
          <w:b w:val="1"/>
          <w:bCs w:val="1"/>
          <w:color w:val="auto"/>
        </w:rPr>
        <w: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17665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60" w:space="720"/>
            <w:col w:w="2940"/>
          </w:cols>
          <w:pgMar w:left="240" w:top="881" w:right="239" w:bottom="1440" w:gutter="0" w:footer="0" w:header="0"/>
          <w:type w:val="continuous"/>
        </w:sectPr>
      </w:pPr>
    </w:p>
    <w:p>
      <w:pPr>
        <w:spacing w:after="0" w:line="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occupancy and buyers’ compensation expense rate primarily reflects improved leverage of fixed costs. Merchandise margin was unchanged as compared with the prior quarter, with an overall lower markdown rate offset by foreign currency fluctuations.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420" w:type="dxa"/>
            <w:vAlign w:val="bottom"/>
            <w:gridSpan w:val="2"/>
          </w:tcPr>
          <w:p>
            <w:pPr>
              <w:spacing w:after="0"/>
              <w:rPr>
                <w:sz w:val="20"/>
                <w:szCs w:val="20"/>
                <w:color w:val="auto"/>
              </w:rPr>
            </w:pPr>
            <w:r>
              <w:rPr>
                <w:rFonts w:ascii="Arial" w:cs="Arial" w:eastAsia="Arial" w:hAnsi="Arial"/>
                <w:sz w:val="18"/>
                <w:szCs w:val="18"/>
                <w:i w:val="1"/>
                <w:iCs w:val="1"/>
                <w:color w:val="auto"/>
              </w:rPr>
              <w:t>Selling, General and Administrative Expenses (SG&amp;A)</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396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250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89"/>
              </w:rPr>
              <w:t>Thirteen weeks ended</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5"/>
        </w:trPr>
        <w:tc>
          <w:tcPr>
            <w:tcW w:w="39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640" w:type="dxa"/>
            <w:vAlign w:val="bottom"/>
          </w:tcPr>
          <w:p>
            <w:pPr>
              <w:spacing w:after="0"/>
              <w:rPr>
                <w:sz w:val="17"/>
                <w:szCs w:val="17"/>
                <w:color w:val="auto"/>
              </w:rPr>
            </w:pPr>
          </w:p>
        </w:tc>
        <w:tc>
          <w:tcPr>
            <w:tcW w:w="960" w:type="dxa"/>
            <w:vAlign w:val="bottom"/>
          </w:tcPr>
          <w:p>
            <w:pPr>
              <w:jc w:val="center"/>
              <w:ind w:left="310"/>
              <w:spacing w:after="0" w:line="205" w:lineRule="exact"/>
              <w:rPr>
                <w:sz w:val="20"/>
                <w:szCs w:val="20"/>
                <w:color w:val="auto"/>
              </w:rPr>
            </w:pPr>
            <w:r>
              <w:rPr>
                <w:rFonts w:ascii="Arial" w:cs="Arial" w:eastAsia="Arial" w:hAnsi="Arial"/>
                <w:sz w:val="18"/>
                <w:szCs w:val="18"/>
                <w:b w:val="1"/>
                <w:bCs w:val="1"/>
                <w:color w:val="auto"/>
                <w:w w:val="94"/>
              </w:rPr>
              <w:t>May 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9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9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91"/>
              </w:rPr>
              <w:t>(in millions)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345</w:t>
            </w:r>
          </w:p>
        </w:tc>
        <w:tc>
          <w:tcPr>
            <w:tcW w:w="9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900" w:type="dxa"/>
            <w:vAlign w:val="bottom"/>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8420" w:type="dxa"/>
            <w:vAlign w:val="bottom"/>
            <w:gridSpan w:val="2"/>
          </w:tcPr>
          <w:p>
            <w:pPr>
              <w:spacing w:after="0"/>
              <w:rPr>
                <w:sz w:val="20"/>
                <w:szCs w:val="20"/>
                <w:color w:val="auto"/>
              </w:rPr>
            </w:pPr>
            <w:r>
              <w:rPr>
                <w:rFonts w:ascii="Arial" w:cs="Arial" w:eastAsia="Arial" w:hAnsi="Arial"/>
                <w:sz w:val="18"/>
                <w:szCs w:val="18"/>
                <w:color w:val="auto"/>
              </w:rPr>
              <w:t>SG&amp;A as a percentage of sales</w:t>
            </w:r>
          </w:p>
        </w:tc>
        <w:tc>
          <w:tcPr>
            <w:tcW w:w="9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18.0%</w:t>
            </w:r>
          </w:p>
        </w:tc>
        <w:tc>
          <w:tcPr>
            <w:tcW w:w="9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19.0%</w:t>
            </w:r>
          </w:p>
        </w:tc>
      </w:tr>
    </w:tbl>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foreign currency fluctuations, SG&amp;A increased by $16 million for the thirteen weeks ended May 2, 2015, as compared with the corresponding prior-year period. Excluding foreign currency fluctuations, the SG&amp;A rate was 18.4 percent as a percentage of sales. The 60 basis point improvement reflected continued effective expense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6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89"/>
              </w:rPr>
              <w:t>Thirteen weeks ended</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920" w:type="dxa"/>
            <w:vAlign w:val="bottom"/>
          </w:tcPr>
          <w:p>
            <w:pPr>
              <w:jc w:val="center"/>
              <w:ind w:left="230"/>
              <w:spacing w:after="0" w:line="205" w:lineRule="exact"/>
              <w:rPr>
                <w:sz w:val="20"/>
                <w:szCs w:val="20"/>
                <w:color w:val="auto"/>
              </w:rPr>
            </w:pPr>
            <w:r>
              <w:rPr>
                <w:rFonts w:ascii="Arial" w:cs="Arial" w:eastAsia="Arial" w:hAnsi="Arial"/>
                <w:sz w:val="18"/>
                <w:szCs w:val="18"/>
                <w:b w:val="1"/>
                <w:bCs w:val="1"/>
                <w:color w:val="auto"/>
                <w:w w:val="94"/>
              </w:rPr>
              <w:t>May 2,</w:t>
            </w:r>
          </w:p>
        </w:tc>
        <w:tc>
          <w:tcPr>
            <w:tcW w:w="620" w:type="dxa"/>
            <w:vAlign w:val="bottom"/>
          </w:tcPr>
          <w:p>
            <w:pPr>
              <w:spacing w:after="0"/>
              <w:rPr>
                <w:sz w:val="17"/>
                <w:szCs w:val="17"/>
                <w:color w:val="auto"/>
              </w:rPr>
            </w:pPr>
          </w:p>
        </w:tc>
        <w:tc>
          <w:tcPr>
            <w:tcW w:w="1020" w:type="dxa"/>
            <w:vAlign w:val="bottom"/>
          </w:tcPr>
          <w:p>
            <w:pPr>
              <w:jc w:val="center"/>
              <w:ind w:left="230"/>
              <w:spacing w:after="0" w:line="205" w:lineRule="exact"/>
              <w:rPr>
                <w:sz w:val="20"/>
                <w:szCs w:val="20"/>
                <w:color w:val="auto"/>
              </w:rPr>
            </w:pPr>
            <w:r>
              <w:rPr>
                <w:rFonts w:ascii="Arial" w:cs="Arial" w:eastAsia="Arial" w:hAnsi="Arial"/>
                <w:sz w:val="18"/>
                <w:szCs w:val="18"/>
                <w:b w:val="1"/>
                <w:bCs w:val="1"/>
                <w:color w:val="auto"/>
                <w:w w:val="98"/>
              </w:rPr>
              <w:t>May 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60" w:type="dxa"/>
            <w:vAlign w:val="bottom"/>
          </w:tcPr>
          <w:p>
            <w:pPr>
              <w:spacing w:after="0"/>
              <w:rPr>
                <w:sz w:val="20"/>
                <w:szCs w:val="20"/>
                <w:color w:val="auto"/>
              </w:rPr>
            </w:pPr>
          </w:p>
        </w:tc>
        <w:tc>
          <w:tcPr>
            <w:tcW w:w="40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right="55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35</w:t>
            </w:r>
          </w:p>
        </w:tc>
        <w:tc>
          <w:tcPr>
            <w:tcW w:w="10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34"/>
        </w:trPr>
        <w:tc>
          <w:tcPr>
            <w:tcW w:w="5360" w:type="dxa"/>
            <w:vAlign w:val="bottom"/>
          </w:tcPr>
          <w:p>
            <w:pPr>
              <w:spacing w:after="0"/>
              <w:rPr>
                <w:sz w:val="20"/>
                <w:szCs w:val="20"/>
                <w:color w:val="auto"/>
              </w:rPr>
            </w:pPr>
            <w:r>
              <w:rPr>
                <w:rFonts w:ascii="Arial" w:cs="Arial" w:eastAsia="Arial" w:hAnsi="Arial"/>
                <w:sz w:val="18"/>
                <w:szCs w:val="18"/>
                <w:color w:val="auto"/>
              </w:rPr>
              <w:t>% change</w:t>
            </w: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decreased by $1 million in the thirteen weeks ended May 2, 2015, as compared with the corresponding prior-year period. Excluding the effect of foreign currency fluctuations, depreciation and amortization increased by $1 million for the thirteen weeks ended May 2, 2015, as compared with the corresponding prior-year period. On a constant currency basis, the increase in depreciation and amortization reflects increased capital spending.</w:t>
      </w:r>
    </w:p>
    <w:p>
      <w:pPr>
        <w:sectPr>
          <w:pgSz w:w="11900" w:h="16838" w:orient="portrait"/>
          <w:cols w:equalWidth="0" w:num="1">
            <w:col w:w="11420"/>
          </w:cols>
          <w:pgMar w:left="240" w:top="86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and interest income were unchanged as compared with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580"/>
              <w:spacing w:after="0" w:line="205" w:lineRule="exact"/>
              <w:rPr>
                <w:sz w:val="20"/>
                <w:szCs w:val="20"/>
                <w:color w:val="auto"/>
              </w:rPr>
            </w:pPr>
            <w:r>
              <w:rPr>
                <w:rFonts w:ascii="Arial" w:cs="Arial" w:eastAsia="Arial" w:hAnsi="Arial"/>
                <w:sz w:val="18"/>
                <w:szCs w:val="18"/>
                <w:b w:val="1"/>
                <w:bCs w:val="1"/>
                <w:color w:val="auto"/>
              </w:rPr>
              <w:t>May 2,</w:t>
            </w: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w w:val="94"/>
              </w:rPr>
              <w:t>May 3,</w:t>
            </w: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right"/>
              <w:spacing w:after="0" w:line="191" w:lineRule="exact"/>
              <w:rPr>
                <w:sz w:val="20"/>
                <w:szCs w:val="20"/>
                <w:color w:val="auto"/>
              </w:rPr>
            </w:pPr>
            <w:r>
              <w:rPr>
                <w:rFonts w:ascii="Arial" w:cs="Arial" w:eastAsia="Arial" w:hAnsi="Arial"/>
                <w:sz w:val="18"/>
                <w:szCs w:val="18"/>
                <w:b w:val="1"/>
                <w:bCs w:val="1"/>
                <w:color w:val="auto"/>
              </w:rPr>
              <w:t>(in millions)</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4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7860" w:space="720"/>
            <w:col w:w="2840"/>
          </w:cols>
          <w:pgMar w:left="240" w:top="864" w:right="239" w:bottom="1440" w:gutter="0" w:footer="0" w:header="0"/>
          <w:type w:val="continuous"/>
        </w:sectPr>
      </w:pPr>
    </w:p>
    <w:p>
      <w:pPr>
        <w:spacing w:after="0" w:line="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thirteen weeks ended May 2, 2015, the Company recorded an income tax provision of $106 million, which represented an effective tax rate of 36.5 percent, compared with the prior-year income tax provision of $92 million, which represented an effective tax rate of 36.1 percent. The Company’s interim provision for income taxes is measured using an annual effective tax rate, adjusted for discrete items that occur within the periods presented.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regularly assesses the adequacy of the Company’s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type w:val="continuous"/>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changes in the tax reserves for the thirteen weeks ended May 2, 2015 were not significant. The effective tax rate for the thirteen weeks ended May 3, 2014 included tax benefits of $1 million from reserve releases due to the settlements of tax examinations during the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 for the thirteen weeks ended May 2, 2015 increased as compared with the corresponding prior-year period, excluding the reserve releases, due primarily to a higher proportion of income earned in higher tax jurisdictions.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currently expects its full year tax rate to approximate 36.5 percent, excluding the effect of any nonrecurring items that may occur. The actual tax rate will depend primarily on the level and mix of income earned in the United States as compared with its international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thirteen weeks ended May 2, 2015, net income increased by $22 million, or 13.6 percent, to $184 million as compared with the corresponding prior-year period. The improved performance, on a constant currency basis, represented a 31 percent flow-through of increased sales to pre-tax income, which reflected leveraging of fixed costs and controlling 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adjustments have been made to the 2015 results. However, during the first quarter of 2014, the Company recorded approximately $2 million, or $0.01 per diluted share, of costs associated with the integration of Runners Point Group as a well as an impairment charge to fully write down the remaining value of the tradename related to the Company’s stores in the Republic of Ireland.</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Accordingly, the Company excluded these costs to arrive at its non-GAAP results. The non-GAAP financial measure is provided in addition to, and not as an alternative to, the Company’s reported results prepared in accordance with GAAP. The Company believes this non-GAAP information is a useful measure to investors because it provides for a more direct comparison of the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are GAAP and non-GAAP results for the thirteen-weeks ended May 2, 2015 and May 3, 2014,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Thirteen weeks ended</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5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1"/>
              </w:rPr>
              <w:t>(in millions)</w:t>
            </w: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0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w:t>
            </w:r>
          </w:p>
        </w:tc>
        <w:tc>
          <w:tcPr>
            <w:tcW w:w="10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After-tax adjustments to arrive at non-GAAP:</w:t>
            </w:r>
          </w:p>
        </w:tc>
        <w:tc>
          <w:tcPr>
            <w:tcW w:w="4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Runners Point Group integration costs</w:t>
            </w:r>
          </w:p>
        </w:tc>
        <w:tc>
          <w:tcPr>
            <w:tcW w:w="4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60" w:type="dxa"/>
            <w:vAlign w:val="bottom"/>
          </w:tcPr>
          <w:p>
            <w:pPr>
              <w:ind w:left="340"/>
              <w:spacing w:after="0"/>
              <w:rPr>
                <w:sz w:val="20"/>
                <w:szCs w:val="20"/>
                <w:color w:val="auto"/>
              </w:rPr>
            </w:pPr>
            <w:r>
              <w:rPr>
                <w:rFonts w:ascii="Arial" w:cs="Arial" w:eastAsia="Arial" w:hAnsi="Arial"/>
                <w:sz w:val="18"/>
                <w:szCs w:val="18"/>
                <w:color w:val="auto"/>
              </w:rPr>
              <w:t>Tradename impairment</w:t>
            </w:r>
          </w:p>
        </w:tc>
        <w:tc>
          <w:tcPr>
            <w:tcW w:w="4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non-GAAP</w:t>
            </w:r>
          </w:p>
        </w:tc>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Diluted EPS, as reported</w:t>
            </w:r>
          </w:p>
        </w:tc>
        <w:tc>
          <w:tcPr>
            <w:tcW w:w="41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4120" w:type="dxa"/>
            <w:vAlign w:val="bottom"/>
            <w:vMerge w:val="continue"/>
          </w:tcPr>
          <w:p>
            <w:pPr>
              <w:spacing w:after="0"/>
              <w:rPr>
                <w:sz w:val="17"/>
                <w:szCs w:val="17"/>
                <w:color w:val="auto"/>
              </w:rPr>
            </w:pPr>
          </w:p>
        </w:tc>
        <w:tc>
          <w:tcPr>
            <w:tcW w:w="900" w:type="dxa"/>
            <w:vAlign w:val="bottom"/>
          </w:tcPr>
          <w:p>
            <w:pPr>
              <w:jc w:val="right"/>
              <w:ind w:right="71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1.29</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1"/>
              </w:rPr>
              <w:t>1.10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After-tax adjustments to arrive at non-GAAP:</w:t>
            </w:r>
          </w:p>
        </w:tc>
        <w:tc>
          <w:tcPr>
            <w:tcW w:w="4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60"/>
              <w:spacing w:after="0"/>
              <w:rPr>
                <w:sz w:val="20"/>
                <w:szCs w:val="20"/>
                <w:color w:val="auto"/>
              </w:rPr>
            </w:pPr>
            <w:r>
              <w:rPr>
                <w:rFonts w:ascii="Arial" w:cs="Arial" w:eastAsia="Arial" w:hAnsi="Arial"/>
                <w:sz w:val="18"/>
                <w:szCs w:val="18"/>
                <w:color w:val="auto"/>
              </w:rPr>
              <w:t>Runners Point Group integration costs</w:t>
            </w:r>
          </w:p>
        </w:tc>
        <w:tc>
          <w:tcPr>
            <w:tcW w:w="4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Tradename impairment</w:t>
            </w:r>
          </w:p>
        </w:tc>
        <w:tc>
          <w:tcPr>
            <w:tcW w:w="4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Diluted EPS, non-GAAP</w:t>
            </w:r>
          </w:p>
        </w:tc>
        <w:tc>
          <w:tcPr>
            <w:tcW w:w="4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120" w:type="dxa"/>
            <w:vAlign w:val="bottom"/>
            <w:vMerge w:val="restart"/>
          </w:tcPr>
          <w:p>
            <w:pPr>
              <w:jc w:val="right"/>
              <w:ind w:right="2690"/>
              <w:spacing w:after="0"/>
              <w:rPr>
                <w:sz w:val="20"/>
                <w:szCs w:val="20"/>
                <w:color w:val="auto"/>
              </w:rPr>
            </w:pPr>
            <w:r>
              <w:rPr>
                <w:rFonts w:ascii="Arial" w:cs="Arial" w:eastAsia="Arial" w:hAnsi="Arial"/>
                <w:sz w:val="18"/>
                <w:szCs w:val="18"/>
                <w:color w:val="auto"/>
              </w:rPr>
              <w:t>16</w:t>
            </w: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The following table summarizes results by segment:</w:t>
            </w: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ind w:left="280"/>
              <w:spacing w:after="0"/>
              <w:rPr>
                <w:sz w:val="20"/>
                <w:szCs w:val="20"/>
                <w:color w:val="auto"/>
              </w:rPr>
            </w:pPr>
            <w:r>
              <w:rPr>
                <w:rFonts w:ascii="Arial" w:cs="Arial" w:eastAsia="Arial" w:hAnsi="Arial"/>
                <w:sz w:val="18"/>
                <w:szCs w:val="18"/>
                <w:b w:val="1"/>
                <w:bCs w:val="1"/>
                <w:color w:val="auto"/>
              </w:rPr>
              <w:t>Thirteen weeks ended</w:t>
            </w:r>
          </w:p>
        </w:tc>
      </w:tr>
      <w:tr>
        <w:trPr>
          <w:trHeight w:val="205"/>
        </w:trPr>
        <w:tc>
          <w:tcPr>
            <w:tcW w:w="6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40"/>
              <w:spacing w:after="0" w:line="205" w:lineRule="exact"/>
              <w:rPr>
                <w:sz w:val="20"/>
                <w:szCs w:val="20"/>
                <w:color w:val="auto"/>
              </w:rPr>
            </w:pPr>
            <w:r>
              <w:rPr>
                <w:rFonts w:ascii="Arial" w:cs="Arial" w:eastAsia="Arial" w:hAnsi="Arial"/>
                <w:sz w:val="18"/>
                <w:szCs w:val="18"/>
                <w:b w:val="1"/>
                <w:bCs w:val="1"/>
                <w:color w:val="auto"/>
              </w:rPr>
              <w:t>May 2,</w:t>
            </w: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w w:val="94"/>
              </w:rPr>
              <w:t>May 3,</w:t>
            </w:r>
          </w:p>
        </w:tc>
        <w:tc>
          <w:tcPr>
            <w:tcW w:w="100" w:type="dxa"/>
            <w:vAlign w:val="bottom"/>
            <w:gridSpan w:val="2"/>
          </w:tcPr>
          <w:p>
            <w:pPr>
              <w:spacing w:after="0"/>
              <w:rPr>
                <w:sz w:val="17"/>
                <w:szCs w:val="17"/>
                <w:color w:val="auto"/>
              </w:rPr>
            </w:pPr>
          </w:p>
        </w:tc>
      </w:tr>
      <w:tr>
        <w:trPr>
          <w:trHeight w:val="234"/>
        </w:trPr>
        <w:tc>
          <w:tcPr>
            <w:tcW w:w="6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Athletic Stores</w:t>
            </w:r>
          </w:p>
        </w:tc>
        <w:tc>
          <w:tcPr>
            <w:tcW w:w="26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1,681</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8"/>
                <w:szCs w:val="18"/>
                <w:color w:val="auto"/>
              </w:rPr>
            </w:pP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235</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0"/>
        </w:trPr>
        <w:tc>
          <w:tcPr>
            <w:tcW w:w="618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6180" w:type="dxa"/>
            <w:vAlign w:val="bottom"/>
          </w:tcPr>
          <w:p>
            <w:pPr>
              <w:spacing w:after="0" w:line="256" w:lineRule="exact"/>
              <w:rPr>
                <w:sz w:val="20"/>
                <w:szCs w:val="20"/>
                <w:color w:val="auto"/>
              </w:rPr>
            </w:pPr>
            <w:r>
              <w:rPr>
                <w:rFonts w:ascii="Arial" w:cs="Arial" w:eastAsia="Arial" w:hAnsi="Arial"/>
                <w:sz w:val="18"/>
                <w:szCs w:val="18"/>
                <w:color w:val="auto"/>
              </w:rPr>
              <w:t>Athletic Stores</w:t>
            </w:r>
            <w:r>
              <w:rPr>
                <w:rFonts w:ascii="Arial" w:cs="Arial" w:eastAsia="Arial" w:hAnsi="Arial"/>
                <w:sz w:val="29"/>
                <w:szCs w:val="29"/>
                <w:color w:val="auto"/>
                <w:vertAlign w:val="superscript"/>
              </w:rPr>
              <w:t>(1)</w:t>
            </w:r>
          </w:p>
        </w:tc>
        <w:tc>
          <w:tcPr>
            <w:tcW w:w="26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267</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2"/>
                <w:szCs w:val="22"/>
                <w:color w:val="auto"/>
              </w:rPr>
            </w:pP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Division profit</w:t>
            </w:r>
          </w:p>
        </w:tc>
        <w:tc>
          <w:tcPr>
            <w:tcW w:w="2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Corporate expense</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Operating profit</w:t>
            </w:r>
          </w:p>
        </w:tc>
        <w:tc>
          <w:tcPr>
            <w:tcW w:w="2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61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30"/>
                <w:szCs w:val="30"/>
                <w:color w:val="auto"/>
                <w:vertAlign w:val="superscript"/>
              </w:rPr>
              <w:t>(2)</w:t>
            </w:r>
          </w:p>
        </w:tc>
        <w:tc>
          <w:tcPr>
            <w:tcW w:w="2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3"/>
                <w:szCs w:val="23"/>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Earnings before interest expense and income taxes</w:t>
            </w:r>
          </w:p>
        </w:tc>
        <w:tc>
          <w:tcPr>
            <w:tcW w:w="2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line="194" w:lineRule="auto"/>
        <w:tabs>
          <w:tab w:leader="none" w:pos="46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During the first quarter of 2014, the Company recorded a non-cash impairment charge of $1 million to fully write down the remaining value of the tradename related to the Company’s stores in the Republic of Ireland, reflecting historical and projected underperformance.</w:t>
      </w:r>
    </w:p>
    <w:p>
      <w:pPr>
        <w:ind w:left="460" w:hanging="452"/>
        <w:spacing w:after="0" w:line="187" w:lineRule="auto"/>
        <w:tabs>
          <w:tab w:leader="none" w:pos="46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gridSpan w:val="2"/>
          </w:tcPr>
          <w:p>
            <w:pPr>
              <w:spacing w:after="0"/>
              <w:rPr>
                <w:sz w:val="20"/>
                <w:szCs w:val="20"/>
                <w:color w:val="auto"/>
              </w:rPr>
            </w:pPr>
            <w:r>
              <w:rPr>
                <w:rFonts w:ascii="Arial" w:cs="Arial" w:eastAsia="Arial" w:hAnsi="Arial"/>
                <w:sz w:val="18"/>
                <w:szCs w:val="18"/>
                <w:i w:val="1"/>
                <w:iCs w:val="1"/>
                <w:color w:val="auto"/>
              </w:rPr>
              <w:t>Athletic Stores</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6"/>
        </w:trPr>
        <w:tc>
          <w:tcPr>
            <w:tcW w:w="106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Thirteen weeks ended</w:t>
            </w:r>
          </w:p>
        </w:tc>
      </w:tr>
      <w:tr>
        <w:trPr>
          <w:trHeight w:val="205"/>
        </w:trPr>
        <w:tc>
          <w:tcPr>
            <w:tcW w:w="10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center"/>
              <w:ind w:left="30"/>
              <w:spacing w:after="0" w:line="205" w:lineRule="exact"/>
              <w:rPr>
                <w:sz w:val="20"/>
                <w:szCs w:val="20"/>
                <w:color w:val="auto"/>
              </w:rPr>
            </w:pPr>
            <w:r>
              <w:rPr>
                <w:rFonts w:ascii="Arial" w:cs="Arial" w:eastAsia="Arial" w:hAnsi="Arial"/>
                <w:sz w:val="18"/>
                <w:szCs w:val="18"/>
                <w:b w:val="1"/>
                <w:bCs w:val="1"/>
                <w:color w:val="auto"/>
                <w:w w:val="94"/>
              </w:rPr>
              <w:t>May 2,</w:t>
            </w:r>
          </w:p>
        </w:tc>
        <w:tc>
          <w:tcPr>
            <w:tcW w:w="5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w w:val="94"/>
              </w:rPr>
              <w:t>May 3,</w:t>
            </w:r>
          </w:p>
        </w:tc>
        <w:tc>
          <w:tcPr>
            <w:tcW w:w="160" w:type="dxa"/>
            <w:vAlign w:val="bottom"/>
          </w:tcPr>
          <w:p>
            <w:pPr>
              <w:spacing w:after="0"/>
              <w:rPr>
                <w:sz w:val="17"/>
                <w:szCs w:val="17"/>
                <w:color w:val="auto"/>
              </w:rPr>
            </w:pPr>
          </w:p>
        </w:tc>
      </w:tr>
      <w:tr>
        <w:trPr>
          <w:trHeight w:val="234"/>
        </w:trPr>
        <w:tc>
          <w:tcPr>
            <w:tcW w:w="10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10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(in millions)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3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1,681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3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b w:val="1"/>
                <w:bCs w:val="1"/>
                <w:color w:val="auto"/>
              </w:rPr>
              <w:t>24</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3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b w:val="1"/>
                <w:bCs w:val="1"/>
                <w:color w:val="auto"/>
              </w:rPr>
              <w:t>267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Excluding the effect of foreign currency fluctuations, Athletic Stores segment sales increased 7.2 percent for the thirteen weeks ended May 2, 2015, as compared with the corresponding prior-year period. Comparable-store sales increased by 6.5 percent for the thirteen weeks ended May 2, 2015.</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growth in comparable-store sales was led primarily by our international divisions, specifically Foot Locker Europe and Foot Locker Asia Pacific. Foot Locker Europe benefited from strong performances in lifestyle running and basketball footwear, while apparel sales increased modestly. All major countries for Foot Locker Europe experienced comparable-sales gains as compared with the corresponding prior year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The increase in sales in the U.S. was attributable to Foot Locker, Footaction, and Kids Foot Locker. While Lady Foot Locker’s overall sales declined during the quarter due to store closures, the banner experienced its fourth consecutive quarterly comparable-store sales gain. The focus on serving the female customer’s fitness-driven lifestyle has resonated with customers, as both footwear and apparel grew on a comparable-store basis. Champs Sports experienced a modest comparable-store sales decline, largely reflecting a continued decline in apparel sales due primarily to a fashion shift away from licensed apparel products.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Athletic Stores division profit increased 8.1 percent for the thirteen weeks ended May 2, 2015, as compared with the corresponding prior-year period. Division profit, as a percentage of sales, was 15.9 percent for the thirteen weeks ended May 2, 2015 as compared with 14.9 percent for the corresponding prior-year period. This primarily reflects improved sales, an improved gross margin rate driven by improved leverage of fixed occupancy expenses, and diligent expense management. Included in the results of the Athletic Stores segment for the thirteen weeks ended May 3, 2014 is a $1 million impairment charge.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gridSpan w:val="2"/>
          </w:tcPr>
          <w:p>
            <w:pPr>
              <w:spacing w:after="0"/>
              <w:rPr>
                <w:sz w:val="20"/>
                <w:szCs w:val="20"/>
                <w:color w:val="auto"/>
              </w:rPr>
            </w:pPr>
            <w:r>
              <w:rPr>
                <w:rFonts w:ascii="Arial" w:cs="Arial" w:eastAsia="Arial" w:hAnsi="Arial"/>
                <w:sz w:val="18"/>
                <w:szCs w:val="18"/>
                <w:i w:val="1"/>
                <w:iCs w:val="1"/>
                <w:color w:val="auto"/>
              </w:rPr>
              <w:t>Direct-to-Customers</w:t>
            </w:r>
          </w:p>
        </w:tc>
        <w:tc>
          <w:tcPr>
            <w:tcW w:w="3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50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Thirteen weeks ended</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5"/>
        </w:trPr>
        <w:tc>
          <w:tcPr>
            <w:tcW w:w="1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5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w w:val="91"/>
              </w:rPr>
              <w:t>(in millions)</w:t>
            </w: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43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235</w:t>
            </w:r>
          </w:p>
        </w:tc>
        <w:tc>
          <w:tcPr>
            <w:tcW w:w="9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432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b w:val="1"/>
                <w:bCs w:val="1"/>
                <w:color w:val="auto"/>
              </w:rPr>
              <w:t>24</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3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11.4%</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432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b w:val="1"/>
                <w:bCs w:val="1"/>
                <w:color w:val="auto"/>
              </w:rPr>
              <w:t>40</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3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17.0%</w:t>
            </w: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13.3%</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Excluding the effect of foreign currency fluctuations, Direct-to-Customers segment sales increased 13.3 percent for the thirteen weeks ended May 2, 2015, as compared with the corresponding prior-year period. Comparable sales increased by 18.5 percent for the thirteen weeks ended May 2, 2015. Increases were primarily the result of continued strong sales performance of the Company’s domestic store-banner websites, coupled with growth from the international e-commerce businesses, particularly in Europe. Sales at each of the U.S. store-banner websites increased significantly, increasing collectively over 47 percent, reflecting the continued success and expansion of the connectivity of store banners to the e-commerce sites. The segment was led by basketball, casual, and training styles which all posted strong comparable sales gains during the period. These increases were offset, in part, by the fact that during 2014 the CCS business was shut down.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Direct-to-Customers division profit for the thirteen weeks ended May 2, 2015 increased by $12 million to $40 million as compared with the corresponding prior-year period. Division profit, as a percentage of sales, was 17.0 percent for the thirteen weeks ended May 2, 2015 as compared with 13.3 percent for the corresponding prior-year period. The increase primarily reflects strong flow-through of sales to profit, resulting from improved gross margins due to more full-price selling and diligent expense management. In addition, division profit in the prior period was negatively affected by the CCS business which was shut down during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Expense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46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Thirteen weeks ended</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4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520" w:type="dxa"/>
            <w:vAlign w:val="bottom"/>
          </w:tcPr>
          <w:p>
            <w:pPr>
              <w:spacing w:after="0"/>
              <w:rPr>
                <w:sz w:val="17"/>
                <w:szCs w:val="17"/>
                <w:color w:val="auto"/>
              </w:rPr>
            </w:pPr>
          </w:p>
        </w:tc>
        <w:tc>
          <w:tcPr>
            <w:tcW w:w="1040" w:type="dxa"/>
            <w:vAlign w:val="bottom"/>
          </w:tcPr>
          <w:p>
            <w:pPr>
              <w:jc w:val="center"/>
              <w:ind w:left="250"/>
              <w:spacing w:after="0" w:line="205" w:lineRule="exact"/>
              <w:rPr>
                <w:sz w:val="20"/>
                <w:szCs w:val="20"/>
                <w:color w:val="auto"/>
              </w:rPr>
            </w:pPr>
            <w:r>
              <w:rPr>
                <w:rFonts w:ascii="Arial" w:cs="Arial" w:eastAsia="Arial" w:hAnsi="Arial"/>
                <w:sz w:val="18"/>
                <w:szCs w:val="18"/>
                <w:b w:val="1"/>
                <w:bCs w:val="1"/>
                <w:color w:val="auto"/>
                <w:w w:val="98"/>
              </w:rPr>
              <w:t>May 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480" w:type="dxa"/>
            <w:vAlign w:val="bottom"/>
          </w:tcPr>
          <w:p>
            <w:pPr>
              <w:spacing w:after="0"/>
              <w:rPr>
                <w:sz w:val="20"/>
                <w:szCs w:val="20"/>
                <w:color w:val="auto"/>
              </w:rPr>
            </w:pPr>
          </w:p>
        </w:tc>
        <w:tc>
          <w:tcPr>
            <w:tcW w:w="6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53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6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w:t>
            </w:r>
          </w:p>
        </w:tc>
        <w:tc>
          <w:tcPr>
            <w:tcW w:w="1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34"/>
        </w:trPr>
        <w:tc>
          <w:tcPr>
            <w:tcW w:w="3480" w:type="dxa"/>
            <w:vAlign w:val="bottom"/>
          </w:tcPr>
          <w:p>
            <w:pPr>
              <w:spacing w:after="0"/>
              <w:rPr>
                <w:sz w:val="20"/>
                <w:szCs w:val="20"/>
                <w:color w:val="auto"/>
              </w:rPr>
            </w:pPr>
            <w:r>
              <w:rPr>
                <w:rFonts w:ascii="Arial" w:cs="Arial" w:eastAsia="Arial" w:hAnsi="Arial"/>
                <w:sz w:val="18"/>
                <w:szCs w:val="18"/>
                <w:color w:val="auto"/>
              </w:rPr>
              <w:t>$ Change</w:t>
            </w:r>
          </w:p>
        </w:tc>
        <w:tc>
          <w:tcPr>
            <w:tcW w:w="60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34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jc w:val="right"/>
              <w:ind w:right="2690"/>
              <w:spacing w:after="0"/>
              <w:rPr>
                <w:sz w:val="20"/>
                <w:szCs w:val="20"/>
                <w:color w:val="auto"/>
              </w:rPr>
            </w:pPr>
            <w:r>
              <w:rPr>
                <w:rFonts w:ascii="Arial" w:cs="Arial" w:eastAsia="Arial" w:hAnsi="Arial"/>
                <w:sz w:val="18"/>
                <w:szCs w:val="18"/>
                <w:color w:val="auto"/>
              </w:rPr>
              <w:t>18</w:t>
            </w: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7"/>
          <w:szCs w:val="17"/>
          <w:color w:val="auto"/>
        </w:rPr>
        <w:t>Corporate expense consists of unallocated SG&amp;A,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$3 million for both the thirteen weeks ended May 2, 2015 and May 3, 2014.</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$4 million decrease in corporate expense in the first quarter of 2015 is primarily related to the fact that, in the first quarter of 2014, a $2 million charge was recorded to increase legal reserves. In addition, the prior year included costs related to the integration of Runners Point Group of $1 million. Based upon an annual internal study of corporate expense, the allocation of such expenses to the operating divisions was increased by $1 million in the first quarter of 2015, thereby reducing corporate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primary source of liquidity has been cash flow from earnings,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May 2, 2015, approximately $927 million remained available under the Company’s current $1 billion share repurchase program.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9"/>
              </w:rPr>
              <w:t>Thirteen weeks ended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520" w:type="dxa"/>
            <w:vAlign w:val="bottom"/>
          </w:tcPr>
          <w:p>
            <w:pPr>
              <w:spacing w:after="0"/>
              <w:rPr>
                <w:sz w:val="17"/>
                <w:szCs w:val="17"/>
                <w:color w:val="auto"/>
              </w:rPr>
            </w:pPr>
          </w:p>
        </w:tc>
        <w:tc>
          <w:tcPr>
            <w:tcW w:w="1000" w:type="dxa"/>
            <w:vAlign w:val="bottom"/>
          </w:tcPr>
          <w:p>
            <w:pPr>
              <w:jc w:val="center"/>
              <w:ind w:left="290"/>
              <w:spacing w:after="0" w:line="205" w:lineRule="exact"/>
              <w:rPr>
                <w:sz w:val="20"/>
                <w:szCs w:val="20"/>
                <w:color w:val="auto"/>
              </w:rPr>
            </w:pPr>
            <w:r>
              <w:rPr>
                <w:rFonts w:ascii="Arial" w:cs="Arial" w:eastAsia="Arial" w:hAnsi="Arial"/>
                <w:sz w:val="18"/>
                <w:szCs w:val="18"/>
                <w:b w:val="1"/>
                <w:bCs w:val="1"/>
                <w:color w:val="auto"/>
                <w:w w:val="98"/>
              </w:rPr>
              <w:t>May 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780" w:type="dxa"/>
            <w:vAlign w:val="bottom"/>
          </w:tcPr>
          <w:p>
            <w:pPr>
              <w:spacing w:after="0"/>
              <w:rPr>
                <w:sz w:val="20"/>
                <w:szCs w:val="20"/>
                <w:color w:val="auto"/>
              </w:rPr>
            </w:pPr>
          </w:p>
        </w:tc>
        <w:tc>
          <w:tcPr>
            <w:tcW w:w="3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490"/>
              <w:spacing w:after="0"/>
              <w:rPr>
                <w:sz w:val="20"/>
                <w:szCs w:val="20"/>
                <w:color w:val="auto"/>
              </w:rPr>
            </w:pPr>
            <w:r>
              <w:rPr>
                <w:rFonts w:ascii="Arial" w:cs="Arial" w:eastAsia="Arial" w:hAnsi="Arial"/>
                <w:sz w:val="18"/>
                <w:szCs w:val="18"/>
                <w:b w:val="1"/>
                <w:bCs w:val="1"/>
                <w:color w:val="auto"/>
                <w:w w:val="93"/>
              </w:rPr>
              <w:t>(in millions)</w:t>
            </w: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213</w:t>
            </w:r>
          </w:p>
        </w:tc>
        <w:tc>
          <w:tcPr>
            <w:tcW w:w="10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272</w:t>
            </w:r>
          </w:p>
        </w:tc>
      </w:tr>
      <w:tr>
        <w:trPr>
          <w:trHeight w:val="234"/>
        </w:trPr>
        <w:tc>
          <w:tcPr>
            <w:tcW w:w="5780" w:type="dxa"/>
            <w:vAlign w:val="bottom"/>
          </w:tcPr>
          <w:p>
            <w:pPr>
              <w:spacing w:after="0"/>
              <w:rPr>
                <w:sz w:val="20"/>
                <w:szCs w:val="20"/>
                <w:color w:val="auto"/>
              </w:rPr>
            </w:pPr>
            <w:r>
              <w:rPr>
                <w:rFonts w:ascii="Arial" w:cs="Arial" w:eastAsia="Arial" w:hAnsi="Arial"/>
                <w:sz w:val="18"/>
                <w:szCs w:val="18"/>
                <w:color w:val="auto"/>
              </w:rPr>
              <w:t>$ Change</w:t>
            </w:r>
          </w:p>
        </w:tc>
        <w:tc>
          <w:tcPr>
            <w:tcW w:w="37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provided by operating activities reflects net income adjusted for non-cash items and working capital changes. Adjustments to net income for non-cash items include non-cash impairment charges, depreciation and amortization, share-based compensation expense and related tax benefits. The decrease from the prior year reflects working capital changes and an increase in cash paid for income taxes during the thirteen weeks ended May 2, 2015. The increase of cash paid for taxes of $43 million reflected higher amounts paid due to the Company’s earnings strength.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i w:val="1"/>
                <w:iCs w:val="1"/>
                <w:color w:val="auto"/>
              </w:rPr>
              <w:t>Investing Activities</w:t>
            </w:r>
          </w:p>
        </w:tc>
        <w:tc>
          <w:tcPr>
            <w:tcW w:w="3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38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6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Thirteen weeks ended</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3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480" w:type="dxa"/>
            <w:vAlign w:val="bottom"/>
          </w:tcPr>
          <w:p>
            <w:pPr>
              <w:spacing w:after="0"/>
              <w:rPr>
                <w:sz w:val="17"/>
                <w:szCs w:val="17"/>
                <w:color w:val="auto"/>
              </w:rPr>
            </w:pPr>
          </w:p>
        </w:tc>
        <w:tc>
          <w:tcPr>
            <w:tcW w:w="1080" w:type="dxa"/>
            <w:vAlign w:val="bottom"/>
          </w:tcPr>
          <w:p>
            <w:pPr>
              <w:jc w:val="center"/>
              <w:ind w:left="290"/>
              <w:spacing w:after="0" w:line="205" w:lineRule="exact"/>
              <w:rPr>
                <w:sz w:val="20"/>
                <w:szCs w:val="20"/>
                <w:color w:val="auto"/>
              </w:rPr>
            </w:pPr>
            <w:r>
              <w:rPr>
                <w:rFonts w:ascii="Arial" w:cs="Arial" w:eastAsia="Arial" w:hAnsi="Arial"/>
                <w:sz w:val="18"/>
                <w:szCs w:val="18"/>
                <w:b w:val="1"/>
                <w:bCs w:val="1"/>
                <w:color w:val="auto"/>
                <w:w w:val="98"/>
              </w:rPr>
              <w:t>May 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53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9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w:t>
            </w:r>
          </w:p>
        </w:tc>
        <w:tc>
          <w:tcPr>
            <w:tcW w:w="10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34"/>
        </w:trPr>
        <w:tc>
          <w:tcPr>
            <w:tcW w:w="558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39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Capital expenditures represented an $11 million increase from the prior year related to a higher number of store projects in the current year, as well as increased spending on corporate technology projects. The Company’s full year forecast for capital expenditures is $218 million, which includes $172 million related to the remodeling or relocation of existing stores and approximately 100 new store openings, as well as $46 million for the development of information systems, websites, and infrastructure. The prior year included $7 million from the sales and maturities of short-term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6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Thirteen weeks ended</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6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480" w:type="dxa"/>
            <w:vAlign w:val="bottom"/>
          </w:tcPr>
          <w:p>
            <w:pPr>
              <w:spacing w:after="0"/>
              <w:rPr>
                <w:sz w:val="17"/>
                <w:szCs w:val="17"/>
                <w:color w:val="auto"/>
              </w:rPr>
            </w:pPr>
          </w:p>
        </w:tc>
        <w:tc>
          <w:tcPr>
            <w:tcW w:w="1080" w:type="dxa"/>
            <w:vAlign w:val="bottom"/>
          </w:tcPr>
          <w:p>
            <w:pPr>
              <w:jc w:val="center"/>
              <w:ind w:left="290"/>
              <w:spacing w:after="0" w:line="205" w:lineRule="exact"/>
              <w:rPr>
                <w:sz w:val="20"/>
                <w:szCs w:val="20"/>
                <w:color w:val="auto"/>
              </w:rPr>
            </w:pPr>
            <w:r>
              <w:rPr>
                <w:rFonts w:ascii="Arial" w:cs="Arial" w:eastAsia="Arial" w:hAnsi="Arial"/>
                <w:sz w:val="18"/>
                <w:szCs w:val="18"/>
                <w:b w:val="1"/>
                <w:bCs w:val="1"/>
                <w:color w:val="auto"/>
                <w:w w:val="98"/>
              </w:rPr>
              <w:t>May 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00" w:type="dxa"/>
            <w:vAlign w:val="bottom"/>
          </w:tcPr>
          <w:p>
            <w:pPr>
              <w:spacing w:after="0"/>
              <w:rPr>
                <w:sz w:val="20"/>
                <w:szCs w:val="20"/>
                <w:color w:val="auto"/>
              </w:rPr>
            </w:pPr>
          </w:p>
        </w:tc>
        <w:tc>
          <w:tcPr>
            <w:tcW w:w="3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53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8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0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34"/>
        </w:trPr>
        <w:tc>
          <w:tcPr>
            <w:tcW w:w="5600" w:type="dxa"/>
            <w:vAlign w:val="bottom"/>
          </w:tcPr>
          <w:p>
            <w:pPr>
              <w:spacing w:after="0"/>
              <w:rPr>
                <w:sz w:val="20"/>
                <w:szCs w:val="20"/>
                <w:color w:val="auto"/>
              </w:rPr>
            </w:pPr>
            <w:r>
              <w:rPr>
                <w:rFonts w:ascii="Arial" w:cs="Arial" w:eastAsia="Arial" w:hAnsi="Arial"/>
                <w:sz w:val="18"/>
                <w:szCs w:val="18"/>
                <w:color w:val="auto"/>
              </w:rPr>
              <w:t>$ Change</w:t>
            </w:r>
          </w:p>
        </w:tc>
        <w:tc>
          <w:tcPr>
            <w:tcW w:w="38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2015, the Company repurchased 2,300,000 shares of its common stock for $129 million as compared with 1,530,253 shares for $70 million in the corresponding prior-year period. The Company declared and paid dividends during the first quarters of 2015 and 2014 of $35 million and $32 million, respectively. This represents quarterly rates of $0.25 and $0.22 per share for 2015 and 2014, respectively. Additionally, the Company received proceeds from the issuance of common stock in connection with employee stock programs of $23 million and $10 million for the thirteen weeks ended May 2, 2015 and May 3, 2014, respectively. In connection with stock option exercises and share-based compensation programs, the Company recorded excess tax benefits of $14 million and $7 million as a financing activity for the thirteen weeks ended May 2, 2015 and May 3, 2014, respectively. The increased excess tax benefit primarily reflected the high number of stock option exercises during the first quarter of 2015. The activity during 2014 also reflected payments on capital lease obligations of $1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January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Recently issued accounting pronouncements did not, or are not believed by management to, have a material effect on the Company’s present or future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suppliers for a majority of its merchandise purchases (including a significant portion from one key supplier),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2014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May 2, 2015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ended May 2, 2015,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subsidiaries are defendants in a number of lawsuits filed in state and federal courts containing various class action allegations under federal or state wage and hour laws, including allegations concerning unpaid overtime, meal and rest breaks, and uniforms.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is a defendant in one such case in which plaintiff alleges that the Company permitted unpaid off-the-clock hours in violation of the Fair Labor Standards Act and state labor laws. The case, </w:t>
      </w:r>
      <w:r>
        <w:rPr>
          <w:rFonts w:ascii="Arial" w:cs="Arial" w:eastAsia="Arial" w:hAnsi="Arial"/>
          <w:sz w:val="18"/>
          <w:szCs w:val="18"/>
          <w:i w:val="1"/>
          <w:iCs w:val="1"/>
          <w:color w:val="auto"/>
        </w:rPr>
        <w:t>Pereira v. Foot Locker</w:t>
      </w:r>
      <w:r>
        <w:rPr>
          <w:rFonts w:ascii="Arial" w:cs="Arial" w:eastAsia="Arial" w:hAnsi="Arial"/>
          <w:sz w:val="18"/>
          <w:szCs w:val="18"/>
          <w:color w:val="auto"/>
        </w:rPr>
        <w:t>, was filed in the U.S. District Court for the Eastern District of Pennsylvania in 2007. In his complaint, in addition to unpaid wage and overtime allegations, plaintiff seeks compensatory and punitive damages, injunctive relief, and attorneys’ fees and costs. In 2009, the Court conditionally certified a nationwide collective action. During the course of 2010, notices were sent to approximately 81,888 current and former employees of the Company offering them the opportunity to participate in the class action, and approximately 5,027 have opted into the class action.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 xml:space="preserve">The Company is a defendant in additional purported wage and hour class actions that assert claims similar to those asserted in </w:t>
      </w:r>
      <w:r>
        <w:rPr>
          <w:rFonts w:ascii="Arial" w:cs="Arial" w:eastAsia="Arial" w:hAnsi="Arial"/>
          <w:sz w:val="18"/>
          <w:szCs w:val="18"/>
          <w:i w:val="1"/>
          <w:iCs w:val="1"/>
          <w:color w:val="auto"/>
        </w:rPr>
        <w:t>Pereira</w:t>
      </w:r>
      <w:r>
        <w:rPr>
          <w:rFonts w:ascii="Arial" w:cs="Arial" w:eastAsia="Arial" w:hAnsi="Arial"/>
          <w:sz w:val="18"/>
          <w:szCs w:val="18"/>
          <w:color w:val="auto"/>
        </w:rPr>
        <w:t xml:space="preserve"> and seek similar remedies. With the exception of </w:t>
      </w:r>
      <w:r>
        <w:rPr>
          <w:rFonts w:ascii="Arial" w:cs="Arial" w:eastAsia="Arial" w:hAnsi="Arial"/>
          <w:sz w:val="18"/>
          <w:szCs w:val="18"/>
          <w:i w:val="1"/>
          <w:iCs w:val="1"/>
          <w:color w:val="auto"/>
        </w:rPr>
        <w:t>Hill v. Foot Locker</w:t>
      </w:r>
      <w:r>
        <w:rPr>
          <w:rFonts w:ascii="Arial" w:cs="Arial" w:eastAsia="Arial" w:hAnsi="Arial"/>
          <w:sz w:val="18"/>
          <w:szCs w:val="18"/>
          <w:color w:val="auto"/>
        </w:rPr>
        <w:t xml:space="preserve"> filed in state court in Illinois, </w:t>
      </w:r>
      <w:r>
        <w:rPr>
          <w:rFonts w:ascii="Arial" w:cs="Arial" w:eastAsia="Arial" w:hAnsi="Arial"/>
          <w:sz w:val="18"/>
          <w:szCs w:val="18"/>
          <w:i w:val="1"/>
          <w:iCs w:val="1"/>
          <w:color w:val="auto"/>
        </w:rPr>
        <w:t>Kissinger v. Foot Locker</w:t>
      </w:r>
      <w:r>
        <w:rPr>
          <w:rFonts w:ascii="Arial" w:cs="Arial" w:eastAsia="Arial" w:hAnsi="Arial"/>
          <w:sz w:val="18"/>
          <w:szCs w:val="18"/>
          <w:color w:val="auto"/>
        </w:rPr>
        <w:t xml:space="preserve"> filed in state court in California, and </w:t>
      </w:r>
      <w:r>
        <w:rPr>
          <w:rFonts w:ascii="Arial" w:cs="Arial" w:eastAsia="Arial" w:hAnsi="Arial"/>
          <w:sz w:val="18"/>
          <w:szCs w:val="18"/>
          <w:i w:val="1"/>
          <w:iCs w:val="1"/>
          <w:color w:val="auto"/>
        </w:rPr>
        <w:t>Cortes v. Foot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Locker </w:t>
      </w:r>
      <w:r>
        <w:rPr>
          <w:rFonts w:ascii="Arial" w:cs="Arial" w:eastAsia="Arial" w:hAnsi="Arial"/>
          <w:sz w:val="18"/>
          <w:szCs w:val="18"/>
          <w:color w:val="auto"/>
        </w:rPr>
        <w:t>filed in federal court in New York, all of these actions were consolidated by the United States Judicial Panel on Multidistrict Litigation with</w:t>
      </w:r>
      <w:r>
        <w:rPr>
          <w:rFonts w:ascii="Arial" w:cs="Arial" w:eastAsia="Arial" w:hAnsi="Arial"/>
          <w:sz w:val="18"/>
          <w:szCs w:val="18"/>
          <w:i w:val="1"/>
          <w:iCs w:val="1"/>
          <w:color w:val="auto"/>
        </w:rPr>
        <w:t xml:space="preserve"> Pereira </w:t>
      </w:r>
      <w:r>
        <w:rPr>
          <w:rFonts w:ascii="Arial" w:cs="Arial" w:eastAsia="Arial" w:hAnsi="Arial"/>
          <w:sz w:val="18"/>
          <w:szCs w:val="18"/>
          <w:color w:val="auto"/>
        </w:rPr>
        <w:t xml:space="preserve">under the caption </w:t>
      </w:r>
      <w:r>
        <w:rPr>
          <w:rFonts w:ascii="Arial" w:cs="Arial" w:eastAsia="Arial" w:hAnsi="Arial"/>
          <w:sz w:val="18"/>
          <w:szCs w:val="18"/>
          <w:i w:val="1"/>
          <w:iCs w:val="1"/>
          <w:color w:val="auto"/>
        </w:rPr>
        <w:t>In re Foot Locker, Inc. Fair Labor Standards Act and Wage and Hour Litigation.</w:t>
      </w:r>
      <w:r>
        <w:rPr>
          <w:rFonts w:ascii="Arial" w:cs="Arial" w:eastAsia="Arial" w:hAnsi="Arial"/>
          <w:sz w:val="18"/>
          <w:szCs w:val="18"/>
          <w:color w:val="auto"/>
        </w:rPr>
        <w:t xml:space="preserve"> In </w:t>
      </w:r>
      <w:r>
        <w:rPr>
          <w:rFonts w:ascii="Arial" w:cs="Arial" w:eastAsia="Arial" w:hAnsi="Arial"/>
          <w:sz w:val="18"/>
          <w:szCs w:val="18"/>
          <w:i w:val="1"/>
          <w:iCs w:val="1"/>
          <w:color w:val="auto"/>
        </w:rPr>
        <w:t>Hill v. Foot Locker,</w:t>
      </w:r>
      <w:r>
        <w:rPr>
          <w:rFonts w:ascii="Arial" w:cs="Arial" w:eastAsia="Arial" w:hAnsi="Arial"/>
          <w:sz w:val="18"/>
          <w:szCs w:val="18"/>
          <w:color w:val="auto"/>
        </w:rPr>
        <w:t xml:space="preserve"> in May 2011, the court granted plaintiffs’ motion for certification of an opt-out class covering certain Illinois employees only. The Company and plaintiffs have entered into a proposed settlement agreement to resolve the consolidated cases, </w:t>
      </w:r>
      <w:r>
        <w:rPr>
          <w:rFonts w:ascii="Arial" w:cs="Arial" w:eastAsia="Arial" w:hAnsi="Arial"/>
          <w:sz w:val="18"/>
          <w:szCs w:val="18"/>
          <w:i w:val="1"/>
          <w:iCs w:val="1"/>
          <w:color w:val="auto"/>
        </w:rPr>
        <w:t>Hill</w:t>
      </w:r>
      <w:r>
        <w:rPr>
          <w:rFonts w:ascii="Arial" w:cs="Arial" w:eastAsia="Arial" w:hAnsi="Arial"/>
          <w:sz w:val="18"/>
          <w:szCs w:val="18"/>
          <w:color w:val="auto"/>
        </w:rPr>
        <w:t xml:space="preserve"> and </w:t>
      </w:r>
      <w:r>
        <w:rPr>
          <w:rFonts w:ascii="Arial" w:cs="Arial" w:eastAsia="Arial" w:hAnsi="Arial"/>
          <w:sz w:val="18"/>
          <w:szCs w:val="18"/>
          <w:i w:val="1"/>
          <w:iCs w:val="1"/>
          <w:color w:val="auto"/>
        </w:rPr>
        <w:t>Cortes,</w:t>
      </w:r>
      <w:r>
        <w:rPr>
          <w:rFonts w:ascii="Arial" w:cs="Arial" w:eastAsia="Arial" w:hAnsi="Arial"/>
          <w:sz w:val="18"/>
          <w:szCs w:val="18"/>
          <w:color w:val="auto"/>
        </w:rPr>
        <w:t xml:space="preserve"> that is subject to court approval. The court recently granted preliminary approval of the proposed settlement agreement.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and the Company’s U.S. retirement plan are defendants in a purported class action (</w:t>
      </w:r>
      <w:r>
        <w:rPr>
          <w:rFonts w:ascii="Arial" w:cs="Arial" w:eastAsia="Arial" w:hAnsi="Arial"/>
          <w:sz w:val="18"/>
          <w:szCs w:val="18"/>
          <w:i w:val="1"/>
          <w:iCs w:val="1"/>
          <w:color w:val="auto"/>
        </w:rPr>
        <w:t>Osberg v. Foot Locker</w:t>
      </w:r>
      <w:r>
        <w:rPr>
          <w:rFonts w:ascii="Arial" w:cs="Arial" w:eastAsia="Arial" w:hAnsi="Arial"/>
          <w:sz w:val="18"/>
          <w:szCs w:val="18"/>
          <w:color w:val="auto"/>
        </w:rPr>
        <w:t>,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current claims are for breach of fiduciary duty under the Employee Retirement Income Security Act of 1974 and violation of the statutory provisions governing the content of the Summary Plan Description. The district court issued rulings certifying the class. The Company sought leave to appeal the class certification rulings to the U.S. Court of Appeals for the Second Circuit, but these applications were denied. Trial has been adjourned to July 13, 2015.</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Management does not believe that the outcome of any such legal proceedings pending against the Company or its consolidated subsidiaries, including </w:t>
      </w:r>
      <w:r>
        <w:rPr>
          <w:rFonts w:ascii="Arial" w:cs="Arial" w:eastAsia="Arial" w:hAnsi="Arial"/>
          <w:sz w:val="16"/>
          <w:szCs w:val="16"/>
          <w:i w:val="1"/>
          <w:iCs w:val="1"/>
          <w:color w:val="auto"/>
        </w:rPr>
        <w:t>In re</w:t>
      </w:r>
      <w:r>
        <w:rPr>
          <w:rFonts w:ascii="Arial" w:cs="Arial" w:eastAsia="Arial" w:hAnsi="Arial"/>
          <w:sz w:val="16"/>
          <w:szCs w:val="16"/>
          <w:color w:val="auto"/>
        </w:rPr>
        <w:t xml:space="preserve"> </w:t>
      </w:r>
      <w:r>
        <w:rPr>
          <w:rFonts w:ascii="Arial" w:cs="Arial" w:eastAsia="Arial" w:hAnsi="Arial"/>
          <w:sz w:val="16"/>
          <w:szCs w:val="16"/>
          <w:i w:val="1"/>
          <w:iCs w:val="1"/>
          <w:color w:val="auto"/>
        </w:rPr>
        <w:t>Foot Locker, Inc. Fair Labor Standards Act and Wage and Hour Litigation</w:t>
      </w:r>
      <w:r>
        <w:rPr>
          <w:rFonts w:ascii="Arial" w:cs="Arial" w:eastAsia="Arial" w:hAnsi="Arial"/>
          <w:sz w:val="16"/>
          <w:szCs w:val="16"/>
          <w:color w:val="auto"/>
        </w:rPr>
        <w:t>,</w:t>
      </w:r>
      <w:r>
        <w:rPr>
          <w:rFonts w:ascii="Arial" w:cs="Arial" w:eastAsia="Arial" w:hAnsi="Arial"/>
          <w:sz w:val="16"/>
          <w:szCs w:val="16"/>
          <w:i w:val="1"/>
          <w:iCs w:val="1"/>
          <w:color w:val="auto"/>
        </w:rPr>
        <w:t xml:space="preserve"> Hill, Cortes, Kissinger, </w:t>
      </w:r>
      <w:r>
        <w:rPr>
          <w:rFonts w:ascii="Arial" w:cs="Arial" w:eastAsia="Arial" w:hAnsi="Arial"/>
          <w:sz w:val="16"/>
          <w:szCs w:val="16"/>
          <w:color w:val="auto"/>
        </w:rPr>
        <w:t>and</w:t>
      </w:r>
      <w:r>
        <w:rPr>
          <w:rFonts w:ascii="Arial" w:cs="Arial" w:eastAsia="Arial" w:hAnsi="Arial"/>
          <w:sz w:val="16"/>
          <w:szCs w:val="16"/>
          <w:i w:val="1"/>
          <w:iCs w:val="1"/>
          <w:color w:val="auto"/>
        </w:rPr>
        <w:t xml:space="preserve"> Osberg</w:t>
      </w:r>
      <w:r>
        <w:rPr>
          <w:rFonts w:ascii="Arial" w:cs="Arial" w:eastAsia="Arial" w:hAnsi="Arial"/>
          <w:sz w:val="16"/>
          <w:szCs w:val="16"/>
          <w:color w:val="auto"/>
        </w:rPr>
        <w:t>, as described above, would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effect on the Company’s consolidated financial position, liquidity, or results of operations, taken as a whole. Litigation is inherently unpredictable, and judgments could be rendered or settlements entered that could adversely affect the Company’s operating results or cash flows in a particular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the 2014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May 2,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Purchased as</w:t>
            </w:r>
          </w:p>
        </w:tc>
        <w:tc>
          <w:tcPr>
            <w:tcW w:w="1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Shares that may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520" w:type="dxa"/>
            <w:vAlign w:val="bottom"/>
            <w:gridSpan w:val="4"/>
          </w:tcPr>
          <w:p>
            <w:pPr>
              <w:ind w:left="120"/>
              <w:spacing w:after="0"/>
              <w:rPr>
                <w:sz w:val="20"/>
                <w:szCs w:val="20"/>
                <w:color w:val="auto"/>
              </w:rPr>
            </w:pPr>
            <w:r>
              <w:rPr>
                <w:rFonts w:ascii="Arial" w:cs="Arial" w:eastAsia="Arial" w:hAnsi="Arial"/>
                <w:sz w:val="18"/>
                <w:szCs w:val="18"/>
                <w:b w:val="1"/>
                <w:bCs w:val="1"/>
                <w:color w:val="auto"/>
                <w:w w:val="92"/>
              </w:rPr>
              <w:t>yet be Purchased</w:t>
            </w:r>
          </w:p>
        </w:tc>
      </w:tr>
      <w:tr>
        <w:trPr>
          <w:trHeight w:val="22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Price Paid</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Under the</w:t>
            </w:r>
          </w:p>
        </w:tc>
      </w:tr>
      <w:tr>
        <w:trPr>
          <w:trHeight w:val="271"/>
        </w:trPr>
        <w:tc>
          <w:tcPr>
            <w:tcW w:w="5620" w:type="dxa"/>
            <w:vAlign w:val="bottom"/>
            <w:gridSpan w:val="2"/>
          </w:tcPr>
          <w:p>
            <w:pPr>
              <w:ind w:left="2140"/>
              <w:spacing w:after="0"/>
              <w:rPr>
                <w:sz w:val="20"/>
                <w:szCs w:val="20"/>
                <w:color w:val="auto"/>
              </w:rPr>
            </w:pPr>
            <w:r>
              <w:rPr>
                <w:rFonts w:ascii="Arial" w:cs="Arial" w:eastAsia="Arial" w:hAnsi="Arial"/>
                <w:sz w:val="18"/>
                <w:szCs w:val="18"/>
                <w:b w:val="1"/>
                <w:bCs w:val="1"/>
                <w:color w:val="auto"/>
              </w:rPr>
              <w:t>Date Purchased</w:t>
            </w:r>
          </w:p>
        </w:tc>
        <w:tc>
          <w:tcPr>
            <w:tcW w:w="1340" w:type="dxa"/>
            <w:vAlign w:val="bottom"/>
            <w:gridSpan w:val="2"/>
          </w:tcPr>
          <w:p>
            <w:pPr>
              <w:jc w:val="center"/>
              <w:ind w:right="120"/>
              <w:spacing w:after="0" w:line="271"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30"/>
                <w:szCs w:val="30"/>
                <w:b w:val="1"/>
                <w:bCs w:val="1"/>
                <w:color w:val="auto"/>
                <w:w w:val="84"/>
                <w:vertAlign w:val="superscript"/>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7"/>
              </w:rPr>
              <w:t xml:space="preserve">per Share </w:t>
            </w:r>
            <w:r>
              <w:rPr>
                <w:rFonts w:ascii="Arial" w:cs="Arial" w:eastAsia="Arial" w:hAnsi="Arial"/>
                <w:sz w:val="30"/>
                <w:szCs w:val="30"/>
                <w:b w:val="1"/>
                <w:bCs w:val="1"/>
                <w:color w:val="auto"/>
                <w:w w:val="87"/>
                <w:vertAlign w:val="superscript"/>
              </w:rPr>
              <w:t>(1)</w:t>
            </w:r>
          </w:p>
        </w:tc>
        <w:tc>
          <w:tcPr>
            <w:tcW w:w="100" w:type="dxa"/>
            <w:vAlign w:val="bottom"/>
          </w:tcPr>
          <w:p>
            <w:pPr>
              <w:spacing w:after="0"/>
              <w:rPr>
                <w:sz w:val="23"/>
                <w:szCs w:val="23"/>
                <w:color w:val="auto"/>
              </w:rPr>
            </w:pPr>
          </w:p>
        </w:tc>
        <w:tc>
          <w:tcPr>
            <w:tcW w:w="1380" w:type="dxa"/>
            <w:vAlign w:val="bottom"/>
            <w:gridSpan w:val="2"/>
          </w:tcPr>
          <w:p>
            <w:pPr>
              <w:jc w:val="center"/>
              <w:ind w:right="80"/>
              <w:spacing w:after="0" w:line="271" w:lineRule="exact"/>
              <w:rPr>
                <w:sz w:val="20"/>
                <w:szCs w:val="20"/>
                <w:color w:val="auto"/>
              </w:rPr>
            </w:pPr>
            <w:r>
              <w:rPr>
                <w:rFonts w:ascii="Arial" w:cs="Arial" w:eastAsia="Arial" w:hAnsi="Arial"/>
                <w:sz w:val="18"/>
                <w:szCs w:val="18"/>
                <w:b w:val="1"/>
                <w:bCs w:val="1"/>
                <w:color w:val="auto"/>
                <w:w w:val="86"/>
              </w:rPr>
              <w:t xml:space="preserve">Program </w:t>
            </w:r>
            <w:r>
              <w:rPr>
                <w:rFonts w:ascii="Arial" w:cs="Arial" w:eastAsia="Arial" w:hAnsi="Arial"/>
                <w:sz w:val="30"/>
                <w:szCs w:val="30"/>
                <w:b w:val="1"/>
                <w:bCs w:val="1"/>
                <w:color w:val="auto"/>
                <w:w w:val="86"/>
                <w:vertAlign w:val="superscript"/>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center"/>
              <w:ind w:right="220"/>
              <w:spacing w:after="0" w:line="271" w:lineRule="exact"/>
              <w:rPr>
                <w:sz w:val="20"/>
                <w:szCs w:val="20"/>
                <w:color w:val="auto"/>
              </w:rPr>
            </w:pPr>
            <w:r>
              <w:rPr>
                <w:rFonts w:ascii="Arial" w:cs="Arial" w:eastAsia="Arial" w:hAnsi="Arial"/>
                <w:sz w:val="18"/>
                <w:szCs w:val="18"/>
                <w:b w:val="1"/>
                <w:bCs w:val="1"/>
                <w:color w:val="auto"/>
                <w:w w:val="86"/>
              </w:rPr>
              <w:t xml:space="preserve">Program </w:t>
            </w:r>
            <w:r>
              <w:rPr>
                <w:rFonts w:ascii="Arial" w:cs="Arial" w:eastAsia="Arial" w:hAnsi="Arial"/>
                <w:sz w:val="30"/>
                <w:szCs w:val="30"/>
                <w:b w:val="1"/>
                <w:bCs w:val="1"/>
                <w:color w:val="auto"/>
                <w:w w:val="86"/>
                <w:vertAlign w:val="superscript"/>
              </w:rPr>
              <w:t>(2)</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 2015 through February 28, 2015</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1,661,657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966,230,006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March 1, 2015 through April 4, 2015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315,970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61.29</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190,216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954,731,648</w:t>
            </w: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5, 2015 through May 2, 2015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60.92</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448,900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927,383,837</w:t>
            </w:r>
          </w:p>
        </w:tc>
      </w:tr>
      <w:tr>
        <w:trPr>
          <w:trHeight w:val="223"/>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80" w:hanging="572"/>
        <w:spacing w:after="0" w:line="209" w:lineRule="auto"/>
        <w:tabs>
          <w:tab w:leader="none" w:pos="58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These columns also reflect shares acquired in satisfaction of the minimum statutory tax withholding obligation of holders of restricted stock units which vested during the quarter. The calculation of the average price paid per share includes all fees, commissions, and other costs associated with the repurchase of such shares.</w:t>
      </w:r>
    </w:p>
    <w:p>
      <w:pPr>
        <w:spacing w:after="0" w:line="1" w:lineRule="exact"/>
        <w:rPr>
          <w:rFonts w:ascii="Arial" w:cs="Arial" w:eastAsia="Arial" w:hAnsi="Arial"/>
          <w:sz w:val="30"/>
          <w:szCs w:val="30"/>
          <w:color w:val="auto"/>
          <w:vertAlign w:val="superscript"/>
        </w:rPr>
      </w:pPr>
    </w:p>
    <w:p>
      <w:pPr>
        <w:jc w:val="both"/>
        <w:ind w:left="580" w:right="20" w:hanging="572"/>
        <w:spacing w:after="0" w:line="204" w:lineRule="auto"/>
        <w:tabs>
          <w:tab w:leader="none" w:pos="58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 month of February includes 1,050,784 shares purchased, at an average cost of $53.58 per share, under the Company’s previous $600 million share repurchase program. On February 17, 2015, the Board of Directors approved a new 3-year, $1 billion share repurchase program extending through January 2018. All subsequent share repurchases were made under the new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ind w:left="820" w:hanging="58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FOOT LOCKER, INC.</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June 11, 2015</w:t>
            </w: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(Company)</w:t>
            </w:r>
          </w:p>
        </w:tc>
      </w:tr>
      <w:tr>
        <w:trPr>
          <w:trHeight w:val="432"/>
        </w:trPr>
        <w:tc>
          <w:tcPr>
            <w:tcW w:w="3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B. Peters</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LAUREN B. PETERS</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3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900" w:type="dxa"/>
            <w:vAlign w:val="bottom"/>
            <w:gridSpan w:val="4"/>
          </w:tcPr>
          <w:p>
            <w:pPr>
              <w:jc w:val="center"/>
              <w:ind w:right="2500"/>
              <w:spacing w:after="0"/>
              <w:rPr>
                <w:sz w:val="20"/>
                <w:szCs w:val="20"/>
                <w:color w:val="auto"/>
              </w:rPr>
            </w:pPr>
            <w:r>
              <w:rPr>
                <w:rFonts w:ascii="Arial" w:cs="Arial" w:eastAsia="Arial" w:hAnsi="Arial"/>
                <w:sz w:val="18"/>
                <w:szCs w:val="18"/>
                <w:b w:val="1"/>
                <w:bCs w:val="1"/>
                <w:color w:val="auto"/>
              </w:rPr>
              <w:t>FOOT LOCKER, INC.</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00" w:type="dxa"/>
            <w:vAlign w:val="bottom"/>
            <w:gridSpan w:val="4"/>
          </w:tcPr>
          <w:p>
            <w:pPr>
              <w:jc w:val="center"/>
              <w:ind w:right="2500"/>
              <w:spacing w:after="0"/>
              <w:rPr>
                <w:sz w:val="20"/>
                <w:szCs w:val="20"/>
                <w:color w:val="auto"/>
              </w:rPr>
            </w:pPr>
            <w:r>
              <w:rPr>
                <w:rFonts w:ascii="Arial" w:cs="Arial" w:eastAsia="Arial" w:hAnsi="Arial"/>
                <w:sz w:val="18"/>
                <w:szCs w:val="18"/>
                <w:b w:val="1"/>
                <w:bCs w:val="1"/>
                <w:color w:val="auto"/>
              </w:rPr>
              <w:t>INDEX OF EXHIBITS REQUIRED BY ITEM 6(a) OF FORM 10-Q</w:t>
            </w: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900" w:type="dxa"/>
            <w:vAlign w:val="bottom"/>
            <w:gridSpan w:val="4"/>
          </w:tcPr>
          <w:p>
            <w:pPr>
              <w:jc w:val="center"/>
              <w:ind w:right="2520"/>
              <w:spacing w:after="0" w:line="194" w:lineRule="exact"/>
              <w:rPr>
                <w:sz w:val="20"/>
                <w:szCs w:val="20"/>
                <w:color w:val="auto"/>
              </w:rPr>
            </w:pPr>
            <w:r>
              <w:rPr>
                <w:rFonts w:ascii="Arial" w:cs="Arial" w:eastAsia="Arial" w:hAnsi="Arial"/>
                <w:sz w:val="18"/>
                <w:szCs w:val="18"/>
                <w:b w:val="1"/>
                <w:bCs w:val="1"/>
                <w:color w:val="auto"/>
              </w:rPr>
              <w:t>AND FURNISHED IN ACCORDANCE WITH ITEM 601 OF REGULATION S-K</w:t>
            </w:r>
          </w:p>
        </w:tc>
        <w:tc>
          <w:tcPr>
            <w:tcW w:w="0" w:type="dxa"/>
            <w:vAlign w:val="bottom"/>
          </w:tcPr>
          <w:p>
            <w:pPr>
              <w:spacing w:after="0"/>
              <w:rPr>
                <w:sz w:val="1"/>
                <w:szCs w:val="1"/>
                <w:color w:val="auto"/>
              </w:rPr>
            </w:pPr>
          </w:p>
        </w:tc>
      </w:tr>
      <w:tr>
        <w:trPr>
          <w:trHeight w:val="426"/>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260" w:type="dxa"/>
            <w:vAlign w:val="bottom"/>
          </w:tcPr>
          <w:p>
            <w:pPr>
              <w:jc w:val="center"/>
              <w:spacing w:after="0" w:line="195" w:lineRule="exact"/>
              <w:rPr>
                <w:sz w:val="20"/>
                <w:szCs w:val="20"/>
                <w:color w:val="auto"/>
              </w:rPr>
            </w:pPr>
            <w:r>
              <w:rPr>
                <w:rFonts w:ascii="Arial" w:cs="Arial" w:eastAsia="Arial" w:hAnsi="Arial"/>
                <w:sz w:val="18"/>
                <w:szCs w:val="18"/>
                <w:color w:val="auto"/>
                <w:w w:val="88"/>
              </w:rPr>
              <w:t>10.1†</w:t>
            </w:r>
          </w:p>
        </w:tc>
        <w:tc>
          <w:tcPr>
            <w:tcW w:w="240" w:type="dxa"/>
            <w:vAlign w:val="bottom"/>
            <w:vMerge w:val="continue"/>
          </w:tcPr>
          <w:p>
            <w:pPr>
              <w:spacing w:after="0"/>
              <w:rPr>
                <w:sz w:val="16"/>
                <w:szCs w:val="16"/>
                <w:color w:val="auto"/>
              </w:rPr>
            </w:pPr>
          </w:p>
        </w:tc>
        <w:tc>
          <w:tcPr>
            <w:tcW w:w="9920" w:type="dxa"/>
            <w:vAlign w:val="bottom"/>
            <w:gridSpan w:val="5"/>
          </w:tcPr>
          <w:p>
            <w:pPr>
              <w:spacing w:after="0" w:line="195" w:lineRule="exact"/>
              <w:rPr>
                <w:sz w:val="20"/>
                <w:szCs w:val="20"/>
                <w:color w:val="auto"/>
              </w:rPr>
            </w:pPr>
            <w:r>
              <w:rPr>
                <w:rFonts w:ascii="Arial" w:cs="Arial" w:eastAsia="Arial" w:hAnsi="Arial"/>
                <w:sz w:val="18"/>
                <w:szCs w:val="18"/>
                <w:color w:val="auto"/>
                <w:w w:val="92"/>
              </w:rPr>
              <w:t>Form of Senior Executive Employment Agreement (incorporated herein by reference to Exhibit 10.1 to the Current Report on Form 8-K,</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dated April 20, 2015, filed on April 20, 2015).</w:t>
            </w:r>
          </w:p>
        </w:tc>
        <w:tc>
          <w:tcPr>
            <w:tcW w:w="0" w:type="dxa"/>
            <w:vAlign w:val="bottom"/>
          </w:tcPr>
          <w:p>
            <w:pPr>
              <w:spacing w:after="0"/>
              <w:rPr>
                <w:sz w:val="1"/>
                <w:szCs w:val="1"/>
                <w:color w:val="auto"/>
              </w:rPr>
            </w:pP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12*</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15*</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Accountants’ Acknowledgement.</w:t>
            </w:r>
          </w:p>
        </w:tc>
        <w:tc>
          <w:tcPr>
            <w:tcW w:w="0" w:type="dxa"/>
            <w:vAlign w:val="bottom"/>
          </w:tcPr>
          <w:p>
            <w:pPr>
              <w:spacing w:after="0"/>
              <w:rPr>
                <w:sz w:val="1"/>
                <w:szCs w:val="1"/>
                <w:color w:val="auto"/>
              </w:rPr>
            </w:pP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w w:val="93"/>
              </w:rPr>
              <w:t>Certification of Chief Executive Officer Pursuant to Rule 13a-14(a) or 15d-14(a), as adopted pursuant to Section 302 of the Sarbanes-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w w:val="93"/>
              </w:rPr>
              <w:t>Certification of Chief Financial Officer Pursuant to Rule 13a-14(a) or 15d-14(a), as adopted pursuant to Section 302 of the Sarbanes-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rPr>
              <w:t>32**</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906 of the Sarbanes-Oxley Act of 2002.</w:t>
            </w:r>
          </w:p>
        </w:tc>
        <w:tc>
          <w:tcPr>
            <w:tcW w:w="0" w:type="dxa"/>
            <w:vAlign w:val="bottom"/>
          </w:tcPr>
          <w:p>
            <w:pPr>
              <w:spacing w:after="0"/>
              <w:rPr>
                <w:sz w:val="1"/>
                <w:szCs w:val="1"/>
                <w:color w:val="auto"/>
              </w:rPr>
            </w:pP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rPr>
              <w:t>99*</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Report of Independent Registered Public Accounting Firm.</w:t>
            </w:r>
          </w:p>
        </w:tc>
        <w:tc>
          <w:tcPr>
            <w:tcW w:w="0" w:type="dxa"/>
            <w:vAlign w:val="bottom"/>
          </w:tcPr>
          <w:p>
            <w:pPr>
              <w:spacing w:after="0"/>
              <w:rPr>
                <w:sz w:val="1"/>
                <w:szCs w:val="1"/>
                <w:color w:val="auto"/>
              </w:rPr>
            </w:pP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10160" w:type="dxa"/>
            <w:vAlign w:val="bottom"/>
            <w:gridSpan w:val="6"/>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00" w:hanging="90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1500" w:hanging="909"/>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1500" w:hanging="954"/>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Thirteen weeks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ended</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Fiscal year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May 2,</w:t>
            </w:r>
          </w:p>
        </w:tc>
        <w:tc>
          <w:tcPr>
            <w:tcW w:w="120" w:type="dxa"/>
            <w:vAlign w:val="bottom"/>
          </w:tcPr>
          <w:p>
            <w:pPr>
              <w:spacing w:after="0"/>
              <w:rPr>
                <w:sz w:val="11"/>
                <w:szCs w:val="11"/>
                <w:color w:val="auto"/>
              </w:rPr>
            </w:pPr>
          </w:p>
        </w:tc>
        <w:tc>
          <w:tcPr>
            <w:tcW w:w="6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Jan. 31,</w:t>
            </w:r>
          </w:p>
        </w:tc>
        <w:tc>
          <w:tcPr>
            <w:tcW w:w="1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Feb. 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Feb. 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Jan. 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w w:val="97"/>
              </w:rPr>
              <w:t>Jan.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2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429</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Interest expense, excluding capitalized interest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4"/>
                <w:szCs w:val="14"/>
                <w:color w:val="auto"/>
              </w:rPr>
              <w:t>Portion of rents deemed representative of the interest factor (1/3)</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w:t>
            </w:r>
          </w:p>
        </w:tc>
        <w:tc>
          <w:tcPr>
            <w:tcW w:w="2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w:t>
            </w:r>
          </w:p>
        </w:tc>
        <w:tc>
          <w:tcPr>
            <w:tcW w:w="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1,0699</w:t>
            </w:r>
          </w:p>
        </w:tc>
        <w:tc>
          <w:tcPr>
            <w:tcW w:w="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910</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840</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FIXED CHARGES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interest expense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Portion of rents deemed representative of the interest factor (1/3)</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222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EARNINGS TO FIXED CHARGES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hereby acknowledge our awareness of the use of our report dated June 11, 2015 related to our review of interim financial information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Statements:</w:t>
      </w:r>
    </w:p>
    <w:p>
      <w:pPr>
        <w:spacing w:after="0" w:line="211" w:lineRule="exact"/>
        <w:rPr>
          <w:sz w:val="20"/>
          <w:szCs w:val="20"/>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380" w:hanging="25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 Johnson, certify that:</w:t>
      </w:r>
    </w:p>
    <w:p>
      <w:pPr>
        <w:spacing w:after="0" w:line="225" w:lineRule="exact"/>
        <w:rPr>
          <w:sz w:val="20"/>
          <w:szCs w:val="20"/>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25" w:lineRule="exact"/>
        <w:rPr>
          <w:rFonts w:ascii="Arial" w:cs="Arial" w:eastAsia="Arial" w:hAnsi="Arial"/>
          <w:sz w:val="18"/>
          <w:szCs w:val="18"/>
          <w:color w:val="auto"/>
        </w:rPr>
      </w:pPr>
    </w:p>
    <w:p>
      <w:pPr>
        <w:jc w:val="both"/>
        <w:ind w:left="820" w:hanging="812"/>
        <w:spacing w:after="0" w:line="264"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hanging="812"/>
        <w:spacing w:after="0" w:line="264"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620" w:hanging="802"/>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hanging="802"/>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20" w:hanging="812"/>
        <w:spacing w:after="0" w:line="342"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hanging="802"/>
        <w:spacing w:after="0" w:line="308"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hanging="802"/>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11, 2015</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Richard A. Johnson</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-130810</wp:posOffset>
            </wp:positionV>
            <wp:extent cx="18783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225"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25" w:lineRule="exact"/>
        <w:rPr>
          <w:rFonts w:ascii="Arial" w:cs="Arial" w:eastAsia="Arial" w:hAnsi="Arial"/>
          <w:sz w:val="18"/>
          <w:szCs w:val="18"/>
          <w:color w:val="auto"/>
        </w:rPr>
      </w:pPr>
    </w:p>
    <w:p>
      <w:pPr>
        <w:jc w:val="both"/>
        <w:ind w:left="820" w:hanging="812"/>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hanging="812"/>
        <w:spacing w:after="0" w:line="308"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hanging="812"/>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620" w:hanging="802"/>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hanging="802"/>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20" w:hanging="812"/>
        <w:spacing w:after="0" w:line="342"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hanging="802"/>
        <w:spacing w:after="0" w:line="308"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hanging="802"/>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11, 2015</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Lauren B. Peters</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-130810</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May 2, 2015,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87" w:lineRule="exact"/>
        <w:rPr>
          <w:sz w:val="20"/>
          <w:szCs w:val="20"/>
          <w:color w:val="auto"/>
        </w:rPr>
      </w:pPr>
    </w:p>
    <w:p>
      <w:pPr>
        <w:ind w:left="580" w:hanging="386"/>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38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2015</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Richard A. Johnson</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-130810</wp:posOffset>
            </wp:positionV>
            <wp:extent cx="1878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-130810</wp:posOffset>
            </wp:positionV>
            <wp:extent cx="18783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reviewed the accompanying condensed consolidated balance sheets of Foot Locker, Inc. and subsidiaries as of May 2, 2015 and May 3, 2014, and the related condensed consolidated statements of operations, comprehensive income, and cash flows for the thirteen week periods ended May 2, 2015 and May 3, 2014. These condensed consolidated financial statements are the responsibility of the Company’s management.</w:t>
      </w:r>
    </w:p>
    <w:p>
      <w:pPr>
        <w:spacing w:after="0" w:line="16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Foot Locker, Inc. and subsidiaries as of January 31, 2015, and the related consolidated statements of operations, comprehensive income, shareholders’ equity, and cash flows for the year then ended (not presented herein); and in our report dated March 30, 2015 we expressed an unqualified opinion on those consolidated financial statements. In our opinion, the information set forth in the accompanying condensed consolidated balance sheet as of January 31, 2015,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þ"/>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60"/>
    </w:lvl>
  </w:abstractNum>
  <w:abstractNum w:abstractNumId="4">
    <w:nsid w:val="140E0F76"/>
    <w:multiLevelType w:val="hybridMultilevel"/>
    <w:lvl w:ilvl="0">
      <w:lvlJc w:val="left"/>
      <w:lvlText w:val="(%1)"/>
      <w:numFmt w:val="decimal"/>
      <w:start w:val="35"/>
    </w:lvl>
  </w:abstractNum>
  <w:abstractNum w:abstractNumId="5">
    <w:nsid w:val="3352255A"/>
    <w:multiLevelType w:val="hybridMultilevel"/>
    <w:lvl w:ilvl="0">
      <w:lvlJc w:val="left"/>
      <w:lvlText w:val="(%1)"/>
      <w:numFmt w:val="decimal"/>
      <w:start w:val="129"/>
    </w:lvl>
  </w:abstractNum>
  <w:abstractNum w:abstractNumId="6">
    <w:nsid w:val="109CF92E"/>
    <w:multiLevelType w:val="hybridMultilevel"/>
    <w:lvl w:ilvl="0">
      <w:lvlJc w:val="left"/>
      <w:lvlText w:val="%1"/>
      <w:numFmt w:val="decimal"/>
      <w:start w:val="19"/>
    </w:lvl>
  </w:abstractNum>
  <w:abstractNum w:abstractNumId="7">
    <w:nsid w:val="DED7263"/>
    <w:multiLevelType w:val="hybridMultilevel"/>
    <w:lvl w:ilvl="0">
      <w:lvlJc w:val="left"/>
      <w:lvlText w:val="%1"/>
      <w:numFmt w:val="decimal"/>
      <w:start w:val="967"/>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2019-12-29T16:03:33Z</dcterms:created>
  <dcterms:modified xsi:type="dcterms:W3CDTF">2019-12-29T16:03:33Z</dcterms:modified>
</cp:coreProperties>
</file>