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10-K</w:t>
      </w:r>
    </w:p>
    <w:p>
      <w:pPr>
        <w:spacing w:after="0" w:line="274" w:lineRule="exact"/>
        <w:rPr>
          <w:sz w:val="24"/>
          <w:szCs w:val="24"/>
          <w:color w:val="auto"/>
        </w:rPr>
      </w:pPr>
    </w:p>
    <w:p>
      <w:pPr>
        <w:ind w:left="60"/>
        <w:spacing w:after="0"/>
        <w:rPr>
          <w:sz w:val="20"/>
          <w:szCs w:val="20"/>
          <w:color w:val="auto"/>
        </w:rPr>
      </w:pPr>
      <w:r>
        <w:rPr>
          <w:rFonts w:ascii="Arial" w:cs="Arial" w:eastAsia="Arial" w:hAnsi="Arial"/>
          <w:sz w:val="13"/>
          <w:szCs w:val="13"/>
          <w:color w:val="auto"/>
        </w:rPr>
        <w:t>(Mark One)</w:t>
      </w:r>
    </w:p>
    <w:p>
      <w:pPr>
        <w:ind w:left="3220" w:right="1739" w:hanging="2942"/>
        <w:spacing w:after="0" w:line="222" w:lineRule="auto"/>
        <w:tabs>
          <w:tab w:leader="none" w:pos="615"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 xml:space="preserve">ANNUAL REPORT PURSUANT TO SECTION 13 OR 15(d) OF THE SECURITIES EXCHANGE ACT OF 1934 </w:t>
      </w:r>
      <w:r>
        <w:rPr>
          <w:rFonts w:ascii="Arial" w:cs="Arial" w:eastAsia="Arial" w:hAnsi="Arial"/>
          <w:sz w:val="13"/>
          <w:szCs w:val="13"/>
          <w:color w:val="auto"/>
        </w:rPr>
        <w:t>For the fiscal year ended February 1, 2020</w:t>
      </w:r>
    </w:p>
    <w:p>
      <w:pPr>
        <w:ind w:left="4400"/>
        <w:spacing w:after="0" w:line="233" w:lineRule="auto"/>
        <w:rPr>
          <w:rFonts w:ascii="Arial" w:cs="Arial" w:eastAsia="Arial" w:hAnsi="Arial"/>
          <w:sz w:val="13"/>
          <w:szCs w:val="13"/>
          <w:color w:val="auto"/>
        </w:rPr>
      </w:pPr>
      <w:r>
        <w:rPr>
          <w:rFonts w:ascii="Arial" w:cs="Arial" w:eastAsia="Arial" w:hAnsi="Arial"/>
          <w:sz w:val="13"/>
          <w:szCs w:val="13"/>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-268605</wp:posOffset>
            </wp:positionV>
            <wp:extent cx="65405" cy="66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05" cy="66040"/>
                    </a:xfrm>
                    <a:prstGeom prst="rect">
                      <a:avLst/>
                    </a:prstGeom>
                    <a:noFill/>
                  </pic:spPr>
                </pic:pic>
              </a:graphicData>
            </a:graphic>
          </wp:anchor>
        </w:drawing>
      </w:r>
    </w:p>
    <w:p>
      <w:pPr>
        <w:ind w:left="620" w:hanging="342"/>
        <w:spacing w:after="0" w:line="228" w:lineRule="auto"/>
        <w:tabs>
          <w:tab w:leader="none" w:pos="620" w:val="left"/>
        </w:tabs>
        <w:numPr>
          <w:ilvl w:val="0"/>
          <w:numId w:val="2"/>
        </w:numPr>
        <w:rPr>
          <w:rFonts w:ascii="Arial" w:cs="Arial" w:eastAsia="Arial" w:hAnsi="Arial"/>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-90805</wp:posOffset>
            </wp:positionV>
            <wp:extent cx="64770" cy="66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770" cy="66040"/>
                    </a:xfrm>
                    <a:prstGeom prst="rect">
                      <a:avLst/>
                    </a:prstGeom>
                    <a:noFill/>
                  </pic:spPr>
                </pic:pic>
              </a:graphicData>
            </a:graphic>
          </wp:anchor>
        </w:drawing>
      </w:r>
    </w:p>
    <w:p>
      <w:pPr>
        <w:spacing w:after="0" w:line="263" w:lineRule="exact"/>
        <w:rPr>
          <w:sz w:val="24"/>
          <w:szCs w:val="24"/>
          <w:color w:val="auto"/>
        </w:rPr>
      </w:pPr>
    </w:p>
    <w:tbl>
      <w:tblPr>
        <w:tblLayout w:type="fixed"/>
        <w:tblInd w:w="6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60" w:type="dxa"/>
            <w:vAlign w:val="bottom"/>
            <w:gridSpan w:val="3"/>
          </w:tcPr>
          <w:p>
            <w:pPr>
              <w:ind w:left="380"/>
              <w:spacing w:after="0"/>
              <w:rPr>
                <w:sz w:val="20"/>
                <w:szCs w:val="20"/>
                <w:color w:val="auto"/>
              </w:rPr>
            </w:pPr>
            <w:r>
              <w:rPr>
                <w:rFonts w:ascii="Arial" w:cs="Arial" w:eastAsia="Arial" w:hAnsi="Arial"/>
                <w:sz w:val="13"/>
                <w:szCs w:val="13"/>
                <w:color w:val="auto"/>
              </w:rPr>
              <w:t>For the transition period from</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rPr>
              <w:t>to</w:t>
            </w:r>
          </w:p>
        </w:tc>
        <w:tc>
          <w:tcPr>
            <w:tcW w:w="640" w:type="dxa"/>
            <w:vAlign w:val="bottom"/>
            <w:tcBorders>
              <w:bottom w:val="single" w:sz="8" w:color="auto"/>
            </w:tcBorders>
            <w:gridSpan w:val="2"/>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Commission File</w:t>
            </w:r>
          </w:p>
        </w:tc>
        <w:tc>
          <w:tcPr>
            <w:tcW w:w="2720" w:type="dxa"/>
            <w:vAlign w:val="bottom"/>
            <w:gridSpan w:val="6"/>
          </w:tcPr>
          <w:p>
            <w:pPr>
              <w:spacing w:after="0"/>
              <w:rPr>
                <w:sz w:val="20"/>
                <w:szCs w:val="20"/>
                <w:color w:val="auto"/>
              </w:rPr>
            </w:pPr>
            <w:r>
              <w:rPr>
                <w:rFonts w:ascii="Arial" w:cs="Arial" w:eastAsia="Arial" w:hAnsi="Arial"/>
                <w:sz w:val="13"/>
                <w:szCs w:val="13"/>
                <w:color w:val="auto"/>
              </w:rPr>
              <w:t>No. 1-10299</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796"/>
        </w:trPr>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80" w:type="dxa"/>
            <w:vAlign w:val="bottom"/>
            <w:gridSpan w:val="9"/>
          </w:tcPr>
          <w:p>
            <w:pPr>
              <w:jc w:val="center"/>
              <w:ind w:right="813"/>
              <w:spacing w:after="0"/>
              <w:rPr>
                <w:sz w:val="20"/>
                <w:szCs w:val="20"/>
                <w:color w:val="auto"/>
              </w:rPr>
            </w:pPr>
            <w:r>
              <w:rPr>
                <w:rFonts w:ascii="Arial" w:cs="Arial" w:eastAsia="Arial" w:hAnsi="Arial"/>
                <w:sz w:val="13"/>
                <w:szCs w:val="13"/>
                <w:color w:val="auto"/>
              </w:rPr>
              <w:t>(Exact name of registrant as specified in its charter)</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69"/>
        </w:trPr>
        <w:tc>
          <w:tcPr>
            <w:tcW w:w="1280" w:type="dxa"/>
            <w:vAlign w:val="bottom"/>
          </w:tcPr>
          <w:p>
            <w:pPr>
              <w:spacing w:after="0"/>
              <w:rPr>
                <w:sz w:val="23"/>
                <w:szCs w:val="23"/>
                <w:color w:val="auto"/>
              </w:rPr>
            </w:pPr>
          </w:p>
        </w:tc>
        <w:tc>
          <w:tcPr>
            <w:tcW w:w="2280" w:type="dxa"/>
            <w:vAlign w:val="bottom"/>
            <w:gridSpan w:val="2"/>
          </w:tcPr>
          <w:p>
            <w:pPr>
              <w:jc w:val="center"/>
              <w:ind w:right="313"/>
              <w:spacing w:after="0"/>
              <w:rPr>
                <w:sz w:val="20"/>
                <w:szCs w:val="20"/>
                <w:color w:val="auto"/>
              </w:rPr>
            </w:pPr>
            <w:r>
              <w:rPr>
                <w:rFonts w:ascii="Arial" w:cs="Arial" w:eastAsia="Arial" w:hAnsi="Arial"/>
                <w:sz w:val="13"/>
                <w:szCs w:val="13"/>
                <w:b w:val="1"/>
                <w:bCs w:val="1"/>
                <w:color w:val="auto"/>
              </w:rPr>
              <w:t>New York</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80" w:type="dxa"/>
            <w:vAlign w:val="bottom"/>
            <w:gridSpan w:val="5"/>
          </w:tcPr>
          <w:p>
            <w:pPr>
              <w:jc w:val="right"/>
              <w:ind w:right="213"/>
              <w:spacing w:after="0"/>
              <w:rPr>
                <w:sz w:val="20"/>
                <w:szCs w:val="20"/>
                <w:color w:val="auto"/>
              </w:rPr>
            </w:pPr>
            <w:r>
              <w:rPr>
                <w:rFonts w:ascii="Arial" w:cs="Arial" w:eastAsia="Arial" w:hAnsi="Arial"/>
                <w:sz w:val="13"/>
                <w:szCs w:val="13"/>
                <w:b w:val="1"/>
                <w:bCs w:val="1"/>
                <w:color w:val="auto"/>
              </w:rPr>
              <w:t>13-3513936</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148"/>
        </w:trPr>
        <w:tc>
          <w:tcPr>
            <w:tcW w:w="1280" w:type="dxa"/>
            <w:vAlign w:val="bottom"/>
          </w:tcPr>
          <w:p>
            <w:pPr>
              <w:spacing w:after="0"/>
              <w:rPr>
                <w:sz w:val="12"/>
                <w:szCs w:val="12"/>
                <w:color w:val="auto"/>
              </w:rPr>
            </w:pPr>
          </w:p>
        </w:tc>
        <w:tc>
          <w:tcPr>
            <w:tcW w:w="2280" w:type="dxa"/>
            <w:vAlign w:val="bottom"/>
            <w:gridSpan w:val="2"/>
          </w:tcPr>
          <w:p>
            <w:pPr>
              <w:jc w:val="center"/>
              <w:ind w:right="313"/>
              <w:spacing w:after="0"/>
              <w:rPr>
                <w:sz w:val="20"/>
                <w:szCs w:val="20"/>
                <w:color w:val="auto"/>
              </w:rPr>
            </w:pPr>
            <w:r>
              <w:rPr>
                <w:rFonts w:ascii="Arial" w:cs="Arial" w:eastAsia="Arial" w:hAnsi="Arial"/>
                <w:sz w:val="13"/>
                <w:szCs w:val="13"/>
                <w:i w:val="1"/>
                <w:iCs w:val="1"/>
                <w:color w:val="auto"/>
              </w:rPr>
              <w:t>(State or other jurisdiction of</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tcPr>
          <w:p>
            <w:pPr>
              <w:jc w:val="center"/>
              <w:spacing w:after="0"/>
              <w:rPr>
                <w:sz w:val="20"/>
                <w:szCs w:val="20"/>
                <w:color w:val="auto"/>
              </w:rPr>
            </w:pPr>
            <w:r>
              <w:rPr>
                <w:rFonts w:ascii="Arial" w:cs="Arial" w:eastAsia="Arial" w:hAnsi="Arial"/>
                <w:sz w:val="13"/>
                <w:szCs w:val="13"/>
                <w:i w:val="1"/>
                <w:iCs w:val="1"/>
                <w:color w:val="auto"/>
              </w:rPr>
              <w:t>(I.R.S. Employer Identification No.)</w:t>
            </w:r>
          </w:p>
        </w:tc>
        <w:tc>
          <w:tcPr>
            <w:tcW w:w="420" w:type="dxa"/>
            <w:vAlign w:val="bottom"/>
          </w:tcPr>
          <w:p>
            <w:pPr>
              <w:spacing w:after="0"/>
              <w:rPr>
                <w:sz w:val="12"/>
                <w:szCs w:val="12"/>
                <w:color w:val="auto"/>
              </w:rPr>
            </w:pPr>
          </w:p>
        </w:tc>
      </w:tr>
      <w:tr>
        <w:trPr>
          <w:trHeight w:val="141"/>
        </w:trPr>
        <w:tc>
          <w:tcPr>
            <w:tcW w:w="1280" w:type="dxa"/>
            <w:vAlign w:val="bottom"/>
          </w:tcPr>
          <w:p>
            <w:pPr>
              <w:spacing w:after="0"/>
              <w:rPr>
                <w:sz w:val="12"/>
                <w:szCs w:val="12"/>
                <w:color w:val="auto"/>
              </w:rPr>
            </w:pPr>
          </w:p>
        </w:tc>
        <w:tc>
          <w:tcPr>
            <w:tcW w:w="2280" w:type="dxa"/>
            <w:vAlign w:val="bottom"/>
            <w:gridSpan w:val="2"/>
          </w:tcPr>
          <w:p>
            <w:pPr>
              <w:jc w:val="center"/>
              <w:ind w:right="313"/>
              <w:spacing w:after="0" w:line="141" w:lineRule="exact"/>
              <w:rPr>
                <w:sz w:val="20"/>
                <w:szCs w:val="20"/>
                <w:color w:val="auto"/>
              </w:rPr>
            </w:pPr>
            <w:r>
              <w:rPr>
                <w:rFonts w:ascii="Arial" w:cs="Arial" w:eastAsia="Arial" w:hAnsi="Arial"/>
                <w:sz w:val="13"/>
                <w:szCs w:val="13"/>
                <w:i w:val="1"/>
                <w:iCs w:val="1"/>
                <w:color w:val="auto"/>
              </w:rPr>
              <w:t>incorporation or organization)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56"/>
        </w:trPr>
        <w:tc>
          <w:tcPr>
            <w:tcW w:w="3560" w:type="dxa"/>
            <w:vAlign w:val="bottom"/>
            <w:gridSpan w:val="3"/>
          </w:tcPr>
          <w:p>
            <w:pPr>
              <w:jc w:val="center"/>
              <w:ind w:left="834"/>
              <w:spacing w:after="0" w:line="157" w:lineRule="exact"/>
              <w:rPr>
                <w:sz w:val="20"/>
                <w:szCs w:val="20"/>
                <w:color w:val="auto"/>
              </w:rPr>
            </w:pPr>
            <w:r>
              <w:rPr>
                <w:rFonts w:ascii="Arial" w:cs="Arial" w:eastAsia="Arial" w:hAnsi="Arial"/>
                <w:sz w:val="12"/>
                <w:szCs w:val="12"/>
                <w:b w:val="1"/>
                <w:bCs w:val="1"/>
                <w:color w:val="auto"/>
              </w:rPr>
              <w:t>330 West 34</w:t>
            </w:r>
            <w:r>
              <w:rPr>
                <w:rFonts w:ascii="Arial" w:cs="Arial" w:eastAsia="Arial" w:hAnsi="Arial"/>
                <w:sz w:val="18"/>
                <w:szCs w:val="18"/>
                <w:b w:val="1"/>
                <w:bCs w:val="1"/>
                <w:color w:val="auto"/>
                <w:vertAlign w:val="superscript"/>
              </w:rPr>
              <w:t>th</w:t>
            </w:r>
            <w:r>
              <w:rPr>
                <w:rFonts w:ascii="Arial" w:cs="Arial" w:eastAsia="Arial" w:hAnsi="Arial"/>
                <w:sz w:val="12"/>
                <w:szCs w:val="12"/>
                <w:b w:val="1"/>
                <w:bCs w:val="1"/>
                <w:color w:val="auto"/>
              </w:rPr>
              <w:t xml:space="preserve"> Street, New York, New York</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80" w:type="dxa"/>
            <w:vAlign w:val="bottom"/>
            <w:gridSpan w:val="5"/>
          </w:tcPr>
          <w:p>
            <w:pPr>
              <w:jc w:val="right"/>
              <w:ind w:right="393"/>
              <w:spacing w:after="0"/>
              <w:rPr>
                <w:sz w:val="20"/>
                <w:szCs w:val="20"/>
                <w:color w:val="auto"/>
              </w:rPr>
            </w:pPr>
            <w:r>
              <w:rPr>
                <w:rFonts w:ascii="Arial" w:cs="Arial" w:eastAsia="Arial" w:hAnsi="Arial"/>
                <w:sz w:val="13"/>
                <w:szCs w:val="13"/>
                <w:b w:val="1"/>
                <w:bCs w:val="1"/>
                <w:color w:val="auto"/>
              </w:rPr>
              <w:t>10001</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76"/>
        </w:trPr>
        <w:tc>
          <w:tcPr>
            <w:tcW w:w="3560" w:type="dxa"/>
            <w:vAlign w:val="bottom"/>
            <w:gridSpan w:val="3"/>
          </w:tcPr>
          <w:p>
            <w:pPr>
              <w:jc w:val="center"/>
              <w:ind w:left="834"/>
              <w:spacing w:after="0"/>
              <w:rPr>
                <w:sz w:val="20"/>
                <w:szCs w:val="20"/>
                <w:color w:val="auto"/>
              </w:rPr>
            </w:pPr>
            <w:r>
              <w:rPr>
                <w:rFonts w:ascii="Arial" w:cs="Arial" w:eastAsia="Arial" w:hAnsi="Arial"/>
                <w:sz w:val="13"/>
                <w:szCs w:val="13"/>
                <w:i w:val="1"/>
                <w:iCs w:val="1"/>
                <w:color w:val="auto"/>
              </w:rPr>
              <w:t>(Address of principal executive offices)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3"/>
                <w:szCs w:val="13"/>
                <w:i w:val="1"/>
                <w:iCs w:val="1"/>
                <w:color w:val="auto"/>
              </w:rPr>
              <w:t>(Zip Code)</w:t>
            </w: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67"/>
        </w:trPr>
        <w:tc>
          <w:tcPr>
            <w:tcW w:w="1280" w:type="dxa"/>
            <w:vAlign w:val="bottom"/>
          </w:tcPr>
          <w:p>
            <w:pPr>
              <w:spacing w:after="0"/>
              <w:rPr>
                <w:sz w:val="23"/>
                <w:szCs w:val="23"/>
                <w:color w:val="auto"/>
              </w:rPr>
            </w:pPr>
          </w:p>
        </w:tc>
        <w:tc>
          <w:tcPr>
            <w:tcW w:w="6040" w:type="dxa"/>
            <w:vAlign w:val="bottom"/>
            <w:gridSpan w:val="10"/>
          </w:tcPr>
          <w:p>
            <w:pPr>
              <w:jc w:val="center"/>
              <w:ind w:left="213"/>
              <w:spacing w:after="0"/>
              <w:rPr>
                <w:sz w:val="20"/>
                <w:szCs w:val="20"/>
                <w:color w:val="auto"/>
              </w:rPr>
            </w:pPr>
            <w:r>
              <w:rPr>
                <w:rFonts w:ascii="Arial" w:cs="Arial" w:eastAsia="Arial" w:hAnsi="Arial"/>
                <w:sz w:val="13"/>
                <w:szCs w:val="13"/>
                <w:b w:val="1"/>
                <w:bCs w:val="1"/>
                <w:color w:val="auto"/>
              </w:rPr>
              <w:t>Registrant’s telephone number, including area code: (212) 720-3700</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178"/>
        </w:trPr>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80" w:type="dxa"/>
            <w:vAlign w:val="bottom"/>
            <w:gridSpan w:val="9"/>
          </w:tcPr>
          <w:p>
            <w:pPr>
              <w:jc w:val="center"/>
              <w:ind w:right="793"/>
              <w:spacing w:after="0"/>
              <w:rPr>
                <w:sz w:val="20"/>
                <w:szCs w:val="20"/>
                <w:color w:val="auto"/>
              </w:rPr>
            </w:pPr>
            <w:r>
              <w:rPr>
                <w:rFonts w:ascii="Arial" w:cs="Arial" w:eastAsia="Arial" w:hAnsi="Arial"/>
                <w:sz w:val="13"/>
                <w:szCs w:val="13"/>
                <w:b w:val="1"/>
                <w:bCs w:val="1"/>
                <w:color w:val="auto"/>
              </w:rPr>
              <w:t>Securities registered pursuant to Section 12(b) of the Act:</w:t>
            </w: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37"/>
        </w:trPr>
        <w:tc>
          <w:tcPr>
            <w:tcW w:w="128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Title of each class</w:t>
            </w:r>
          </w:p>
        </w:tc>
        <w:tc>
          <w:tcPr>
            <w:tcW w:w="1120" w:type="dxa"/>
            <w:vAlign w:val="bottom"/>
          </w:tcPr>
          <w:p>
            <w:pPr>
              <w:spacing w:after="0"/>
              <w:rPr>
                <w:sz w:val="20"/>
                <w:szCs w:val="20"/>
                <w:color w:val="auto"/>
              </w:rPr>
            </w:pPr>
          </w:p>
        </w:tc>
        <w:tc>
          <w:tcPr>
            <w:tcW w:w="1280" w:type="dxa"/>
            <w:vAlign w:val="bottom"/>
            <w:gridSpan w:val="3"/>
          </w:tcPr>
          <w:p>
            <w:pPr>
              <w:ind w:left="140"/>
              <w:spacing w:after="0"/>
              <w:rPr>
                <w:sz w:val="20"/>
                <w:szCs w:val="20"/>
                <w:color w:val="auto"/>
              </w:rPr>
            </w:pPr>
            <w:r>
              <w:rPr>
                <w:rFonts w:ascii="Arial" w:cs="Arial" w:eastAsia="Arial" w:hAnsi="Arial"/>
                <w:sz w:val="13"/>
                <w:szCs w:val="13"/>
                <w:b w:val="1"/>
                <w:bCs w:val="1"/>
                <w:color w:val="auto"/>
              </w:rPr>
              <w:t>Trading Symbol</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49"/>
        </w:trPr>
        <w:tc>
          <w:tcPr>
            <w:tcW w:w="3560" w:type="dxa"/>
            <w:vAlign w:val="bottom"/>
            <w:gridSpan w:val="3"/>
          </w:tcPr>
          <w:p>
            <w:pPr>
              <w:jc w:val="center"/>
              <w:ind w:left="74"/>
              <w:spacing w:after="0"/>
              <w:rPr>
                <w:sz w:val="20"/>
                <w:szCs w:val="20"/>
                <w:color w:val="auto"/>
              </w:rPr>
            </w:pPr>
            <w:r>
              <w:rPr>
                <w:rFonts w:ascii="Arial" w:cs="Arial" w:eastAsia="Arial" w:hAnsi="Arial"/>
                <w:sz w:val="13"/>
                <w:szCs w:val="13"/>
                <w:color w:val="auto"/>
              </w:rPr>
              <w:t>Common Stock, par value $0.01</w:t>
            </w:r>
          </w:p>
        </w:tc>
        <w:tc>
          <w:tcPr>
            <w:tcW w:w="160" w:type="dxa"/>
            <w:vAlign w:val="bottom"/>
          </w:tcPr>
          <w:p>
            <w:pPr>
              <w:spacing w:after="0"/>
              <w:rPr>
                <w:sz w:val="12"/>
                <w:szCs w:val="12"/>
                <w:color w:val="auto"/>
              </w:rPr>
            </w:pPr>
          </w:p>
        </w:tc>
        <w:tc>
          <w:tcPr>
            <w:tcW w:w="1120" w:type="dxa"/>
            <w:vAlign w:val="bottom"/>
            <w:tcBorders>
              <w:top w:val="single" w:sz="8" w:color="auto"/>
            </w:tcBorders>
            <w:gridSpan w:val="2"/>
          </w:tcPr>
          <w:p>
            <w:pPr>
              <w:ind w:left="460"/>
              <w:spacing w:after="0"/>
              <w:rPr>
                <w:sz w:val="20"/>
                <w:szCs w:val="20"/>
                <w:color w:val="auto"/>
              </w:rPr>
            </w:pPr>
            <w:r>
              <w:rPr>
                <w:rFonts w:ascii="Arial" w:cs="Arial" w:eastAsia="Arial" w:hAnsi="Arial"/>
                <w:sz w:val="13"/>
                <w:szCs w:val="13"/>
                <w:color w:val="auto"/>
              </w:rPr>
              <w:t>FL</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0" w:type="dxa"/>
            <w:vAlign w:val="bottom"/>
            <w:gridSpan w:val="2"/>
          </w:tcPr>
          <w:p>
            <w:pPr>
              <w:jc w:val="center"/>
              <w:ind w:right="133"/>
              <w:spacing w:after="0"/>
              <w:rPr>
                <w:sz w:val="20"/>
                <w:szCs w:val="20"/>
                <w:color w:val="auto"/>
              </w:rPr>
            </w:pPr>
            <w:r>
              <w:rPr>
                <w:rFonts w:ascii="Arial" w:cs="Arial" w:eastAsia="Arial" w:hAnsi="Arial"/>
                <w:sz w:val="13"/>
                <w:szCs w:val="13"/>
                <w:color w:val="auto"/>
              </w:rPr>
              <w:t>New York Stock Exchange</w:t>
            </w:r>
          </w:p>
        </w:tc>
        <w:tc>
          <w:tcPr>
            <w:tcW w:w="420" w:type="dxa"/>
            <w:vAlign w:val="bottom"/>
          </w:tcPr>
          <w:p>
            <w:pPr>
              <w:spacing w:after="0"/>
              <w:rPr>
                <w:sz w:val="12"/>
                <w:szCs w:val="12"/>
                <w:color w:val="auto"/>
              </w:rPr>
            </w:pPr>
          </w:p>
        </w:tc>
      </w:tr>
      <w:tr>
        <w:trPr>
          <w:trHeight w:val="296"/>
        </w:trPr>
        <w:tc>
          <w:tcPr>
            <w:tcW w:w="1280" w:type="dxa"/>
            <w:vAlign w:val="bottom"/>
          </w:tcPr>
          <w:p>
            <w:pPr>
              <w:spacing w:after="0"/>
              <w:rPr>
                <w:sz w:val="24"/>
                <w:szCs w:val="24"/>
                <w:color w:val="auto"/>
              </w:rPr>
            </w:pPr>
          </w:p>
        </w:tc>
        <w:tc>
          <w:tcPr>
            <w:tcW w:w="6040" w:type="dxa"/>
            <w:vAlign w:val="bottom"/>
            <w:gridSpan w:val="10"/>
          </w:tcPr>
          <w:p>
            <w:pPr>
              <w:jc w:val="center"/>
              <w:ind w:left="213"/>
              <w:spacing w:after="0"/>
              <w:rPr>
                <w:sz w:val="20"/>
                <w:szCs w:val="20"/>
                <w:color w:val="auto"/>
              </w:rPr>
            </w:pPr>
            <w:r>
              <w:rPr>
                <w:rFonts w:ascii="Arial" w:cs="Arial" w:eastAsia="Arial" w:hAnsi="Arial"/>
                <w:sz w:val="13"/>
                <w:szCs w:val="13"/>
                <w:b w:val="1"/>
                <w:bCs w:val="1"/>
                <w:color w:val="auto"/>
              </w:rPr>
              <w:t>Securities registered pursuant to Section 12(g) of the Act: None</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1"/>
        </w:trPr>
        <w:tc>
          <w:tcPr>
            <w:tcW w:w="7320" w:type="dxa"/>
            <w:vAlign w:val="bottom"/>
            <w:gridSpan w:val="11"/>
          </w:tcPr>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w:t>
            </w:r>
          </w:p>
        </w:tc>
        <w:tc>
          <w:tcPr>
            <w:tcW w:w="540" w:type="dxa"/>
            <w:vAlign w:val="bottom"/>
          </w:tcPr>
          <w:p>
            <w:pPr>
              <w:ind w:left="2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tc>
        <w:tc>
          <w:tcPr>
            <w:tcW w:w="420" w:type="dxa"/>
            <w:vAlign w:val="bottom"/>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57"/>
        </w:trPr>
        <w:tc>
          <w:tcPr>
            <w:tcW w:w="7320" w:type="dxa"/>
            <w:vAlign w:val="bottom"/>
            <w:gridSpan w:val="11"/>
          </w:tcPr>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 Yes</w:t>
            </w:r>
          </w:p>
        </w:tc>
        <w:tc>
          <w:tcPr>
            <w:tcW w:w="540" w:type="dxa"/>
            <w:vAlign w:val="bottom"/>
          </w:tcPr>
          <w:p>
            <w:pPr>
              <w:ind w:left="10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tc>
        <w:tc>
          <w:tcPr>
            <w:tcW w:w="420" w:type="dxa"/>
            <w:vAlign w:val="bottom"/>
          </w:tcPr>
          <w:p>
            <w:pPr>
              <w:ind w:left="8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1831340</wp:posOffset>
            </wp:positionH>
            <wp:positionV relativeFrom="paragraph">
              <wp:posOffset>-2048510</wp:posOffset>
            </wp:positionV>
            <wp:extent cx="205740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222885"/>
                    </a:xfrm>
                    <a:prstGeom prst="rect">
                      <a:avLst/>
                    </a:prstGeom>
                    <a:noFill/>
                  </pic:spPr>
                </pic:pic>
              </a:graphicData>
            </a:graphic>
          </wp:anchor>
        </w:drawing>
      </w:r>
    </w:p>
    <w:p>
      <w:pPr>
        <w:spacing w:after="0" w:line="60" w:lineRule="exact"/>
        <w:rPr>
          <w:sz w:val="24"/>
          <w:szCs w:val="24"/>
          <w:color w:val="auto"/>
        </w:rPr>
      </w:pPr>
    </w:p>
    <w:p>
      <w:pPr>
        <w:jc w:val="both"/>
        <w:ind w:left="60" w:right="59"/>
        <w:spacing w:after="0" w:line="15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0" w:lineRule="exact"/>
        <w:rPr>
          <w:sz w:val="24"/>
          <w:szCs w:val="24"/>
          <w:color w:val="auto"/>
        </w:rPr>
      </w:pPr>
    </w:p>
    <w:p>
      <w:pPr>
        <w:jc w:val="both"/>
        <w:ind w:left="60" w:right="59"/>
        <w:spacing w:after="0" w:line="158"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0" w:lineRule="exact"/>
        <w:rPr>
          <w:sz w:val="24"/>
          <w:szCs w:val="24"/>
          <w:color w:val="auto"/>
        </w:rPr>
      </w:pPr>
    </w:p>
    <w:p>
      <w:pPr>
        <w:jc w:val="both"/>
        <w:ind w:left="60" w:right="59"/>
        <w:spacing w:after="0" w:line="24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863" w:right="1440" w:bottom="1440" w:gutter="0" w:footer="0" w:header="0"/>
        </w:sectPr>
      </w:pPr>
    </w:p>
    <w:p>
      <w:pPr>
        <w:spacing w:after="0" w:line="90" w:lineRule="exact"/>
        <w:rPr>
          <w:sz w:val="24"/>
          <w:szCs w:val="24"/>
          <w:color w:val="auto"/>
        </w:rPr>
      </w:pPr>
    </w:p>
    <w:p>
      <w:pPr>
        <w:ind w:left="6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1" w:lineRule="exact"/>
        <w:rPr>
          <w:sz w:val="24"/>
          <w:szCs w:val="24"/>
          <w:color w:val="auto"/>
        </w:rPr>
      </w:pPr>
    </w:p>
    <w:p>
      <w:pPr>
        <w:sectPr>
          <w:pgSz w:w="11900" w:h="16838" w:orient="portrait"/>
          <w:cols w:equalWidth="0" w:num="4">
            <w:col w:w="1600" w:space="720"/>
            <w:col w:w="1540" w:space="720"/>
            <w:col w:w="1560" w:space="720"/>
            <w:col w:w="2159"/>
          </w:cols>
          <w:pgMar w:left="1440" w:top="863" w:right="1440" w:bottom="1440" w:gutter="0" w:footer="0" w:header="0"/>
          <w:type w:val="continuous"/>
        </w:sectPr>
      </w:pPr>
    </w:p>
    <w:p>
      <w:pPr>
        <w:ind w:left="60"/>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ectPr>
          <w:pgSz w:w="11900" w:h="16838" w:orient="portrait"/>
          <w:cols w:equalWidth="0" w:num="1">
            <w:col w:w="9019"/>
          </w:cols>
          <w:pgMar w:left="1440" w:top="863" w:right="1440" w:bottom="1440" w:gutter="0" w:footer="0" w:header="0"/>
          <w:type w:val="continuous"/>
        </w:sectPr>
      </w:pPr>
    </w:p>
    <w:p>
      <w:pPr>
        <w:spacing w:after="0" w:line="53" w:lineRule="exact"/>
        <w:rPr>
          <w:sz w:val="24"/>
          <w:szCs w:val="24"/>
          <w:color w:val="auto"/>
        </w:rPr>
      </w:pPr>
    </w:p>
    <w:p>
      <w:pPr>
        <w:ind w:left="60" w:right="59"/>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Arial Unicode MS" w:cs="Arial Unicode MS" w:eastAsia="Arial Unicode MS" w:hAnsi="Arial Unicode MS"/>
          <w:sz w:val="13"/>
          <w:szCs w:val="13"/>
          <w:color w:val="auto"/>
        </w:rPr>
        <w:t>☐</w:t>
      </w:r>
    </w:p>
    <w:p>
      <w:pPr>
        <w:spacing w:after="0" w:line="46" w:lineRule="exact"/>
        <w:rPr>
          <w:sz w:val="24"/>
          <w:szCs w:val="24"/>
          <w:color w:val="auto"/>
        </w:rPr>
      </w:pPr>
    </w:p>
    <w:tbl>
      <w:tblPr>
        <w:tblLayout w:type="fixed"/>
        <w:tblInd w:w="60" w:type="dxa"/>
        <w:tblCellMar>
          <w:top w:w="0" w:type="dxa"/>
          <w:left w:w="0" w:type="dxa"/>
          <w:bottom w:w="0" w:type="dxa"/>
          <w:right w:w="0" w:type="dxa"/>
        </w:tblCellMar>
      </w:tblPr>
      <w:tr>
        <w:trPr>
          <w:trHeight w:val="211"/>
        </w:trPr>
        <w:tc>
          <w:tcPr>
            <w:tcW w:w="7480" w:type="dxa"/>
            <w:vAlign w:val="bottom"/>
          </w:tcPr>
          <w:p>
            <w:pPr>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tc>
        <w:tc>
          <w:tcPr>
            <w:tcW w:w="1400" w:type="dxa"/>
            <w:vAlign w:val="bottom"/>
          </w:tcPr>
          <w:p>
            <w:pPr>
              <w:spacing w:after="0"/>
              <w:rPr>
                <w:sz w:val="18"/>
                <w:szCs w:val="18"/>
                <w:color w:val="auto"/>
              </w:rPr>
            </w:pPr>
          </w:p>
        </w:tc>
      </w:tr>
      <w:tr>
        <w:trPr>
          <w:trHeight w:val="242"/>
        </w:trPr>
        <w:tc>
          <w:tcPr>
            <w:tcW w:w="7480" w:type="dxa"/>
            <w:vAlign w:val="bottom"/>
          </w:tcPr>
          <w:p>
            <w:pPr>
              <w:spacing w:after="0"/>
              <w:rPr>
                <w:sz w:val="20"/>
                <w:szCs w:val="20"/>
                <w:color w:val="auto"/>
              </w:rPr>
            </w:pPr>
            <w:r>
              <w:rPr>
                <w:rFonts w:ascii="Arial" w:cs="Arial" w:eastAsia="Arial" w:hAnsi="Arial"/>
                <w:sz w:val="13"/>
                <w:szCs w:val="13"/>
                <w:color w:val="auto"/>
              </w:rPr>
              <w:t>The number of shares of the registrant’s Common Stock, par value $0.01 per share, outstanding as of March 23, 2020:</w:t>
            </w:r>
          </w:p>
        </w:tc>
        <w:tc>
          <w:tcPr>
            <w:tcW w:w="1400" w:type="dxa"/>
            <w:vAlign w:val="bottom"/>
          </w:tcPr>
          <w:p>
            <w:pPr>
              <w:jc w:val="right"/>
              <w:spacing w:after="0"/>
              <w:rPr>
                <w:sz w:val="20"/>
                <w:szCs w:val="20"/>
                <w:color w:val="auto"/>
              </w:rPr>
            </w:pPr>
            <w:r>
              <w:rPr>
                <w:rFonts w:ascii="Arial" w:cs="Arial" w:eastAsia="Arial" w:hAnsi="Arial"/>
                <w:sz w:val="13"/>
                <w:szCs w:val="13"/>
                <w:color w:val="auto"/>
              </w:rPr>
              <w:t>104,191,210</w:t>
            </w:r>
          </w:p>
        </w:tc>
      </w:tr>
      <w:tr>
        <w:trPr>
          <w:trHeight w:val="148"/>
        </w:trPr>
        <w:tc>
          <w:tcPr>
            <w:tcW w:w="7480" w:type="dxa"/>
            <w:vAlign w:val="bottom"/>
          </w:tcPr>
          <w:p>
            <w:pPr>
              <w:spacing w:after="0"/>
              <w:rPr>
                <w:sz w:val="20"/>
                <w:szCs w:val="20"/>
                <w:color w:val="auto"/>
              </w:rPr>
            </w:pPr>
            <w:r>
              <w:rPr>
                <w:rFonts w:ascii="Arial" w:cs="Arial" w:eastAsia="Arial" w:hAnsi="Arial"/>
                <w:sz w:val="13"/>
                <w:szCs w:val="13"/>
                <w:color w:val="auto"/>
              </w:rPr>
              <w:t>The aggregate market value of voting stock held by non-affiliates of the registrant computed by reference to the closing</w:t>
            </w:r>
          </w:p>
        </w:tc>
        <w:tc>
          <w:tcPr>
            <w:tcW w:w="1400" w:type="dxa"/>
            <w:vAlign w:val="bottom"/>
          </w:tcPr>
          <w:p>
            <w:pPr>
              <w:spacing w:after="0"/>
              <w:rPr>
                <w:sz w:val="12"/>
                <w:szCs w:val="12"/>
                <w:color w:val="auto"/>
              </w:rPr>
            </w:pPr>
          </w:p>
        </w:tc>
      </w:tr>
      <w:tr>
        <w:trPr>
          <w:trHeight w:val="149"/>
        </w:trPr>
        <w:tc>
          <w:tcPr>
            <w:tcW w:w="7480" w:type="dxa"/>
            <w:vAlign w:val="bottom"/>
          </w:tcPr>
          <w:p>
            <w:pPr>
              <w:spacing w:after="0"/>
              <w:rPr>
                <w:sz w:val="20"/>
                <w:szCs w:val="20"/>
                <w:color w:val="auto"/>
              </w:rPr>
            </w:pPr>
            <w:r>
              <w:rPr>
                <w:rFonts w:ascii="Arial" w:cs="Arial" w:eastAsia="Arial" w:hAnsi="Arial"/>
                <w:sz w:val="13"/>
                <w:szCs w:val="13"/>
                <w:color w:val="auto"/>
              </w:rPr>
              <w:t>price as of the last business day of the Registrant’s most recently completed second fiscal quarter, August 2, 2019 was</w:t>
            </w:r>
          </w:p>
        </w:tc>
        <w:tc>
          <w:tcPr>
            <w:tcW w:w="1400" w:type="dxa"/>
            <w:vAlign w:val="bottom"/>
          </w:tcPr>
          <w:p>
            <w:pPr>
              <w:spacing w:after="0"/>
              <w:rPr>
                <w:sz w:val="12"/>
                <w:szCs w:val="12"/>
                <w:color w:val="auto"/>
              </w:rPr>
            </w:pPr>
          </w:p>
        </w:tc>
      </w:tr>
      <w:tr>
        <w:trPr>
          <w:trHeight w:val="162"/>
        </w:trPr>
        <w:tc>
          <w:tcPr>
            <w:tcW w:w="7480" w:type="dxa"/>
            <w:vAlign w:val="bottom"/>
          </w:tcPr>
          <w:p>
            <w:pPr>
              <w:spacing w:after="0"/>
              <w:rPr>
                <w:sz w:val="20"/>
                <w:szCs w:val="20"/>
                <w:color w:val="auto"/>
              </w:rPr>
            </w:pPr>
            <w:r>
              <w:rPr>
                <w:rFonts w:ascii="Arial" w:cs="Arial" w:eastAsia="Arial" w:hAnsi="Arial"/>
                <w:sz w:val="13"/>
                <w:szCs w:val="13"/>
                <w:color w:val="auto"/>
              </w:rPr>
              <w:t>approximately:</w:t>
            </w:r>
          </w:p>
        </w:tc>
        <w:tc>
          <w:tcPr>
            <w:tcW w:w="1400" w:type="dxa"/>
            <w:vAlign w:val="bottom"/>
          </w:tcPr>
          <w:p>
            <w:pPr>
              <w:jc w:val="right"/>
              <w:spacing w:after="0"/>
              <w:rPr>
                <w:sz w:val="20"/>
                <w:szCs w:val="20"/>
                <w:color w:val="auto"/>
              </w:rPr>
            </w:pPr>
            <w:r>
              <w:rPr>
                <w:rFonts w:ascii="Arial" w:cs="Arial" w:eastAsia="Arial" w:hAnsi="Arial"/>
                <w:sz w:val="13"/>
                <w:szCs w:val="13"/>
                <w:color w:val="auto"/>
              </w:rPr>
              <w:t>$3,051,665,857*</w:t>
            </w:r>
          </w:p>
        </w:tc>
      </w:tr>
    </w:tbl>
    <w:p>
      <w:pPr>
        <w:spacing w:after="0" w:line="135" w:lineRule="exact"/>
        <w:rPr>
          <w:sz w:val="24"/>
          <w:szCs w:val="24"/>
          <w:color w:val="auto"/>
        </w:rPr>
      </w:pPr>
    </w:p>
    <w:p>
      <w:pPr>
        <w:jc w:val="both"/>
        <w:ind w:left="240" w:right="59" w:hanging="190"/>
        <w:spacing w:after="0" w:line="248" w:lineRule="auto"/>
        <w:tabs>
          <w:tab w:leader="none" w:pos="254" w:val="left"/>
        </w:tabs>
        <w:numPr>
          <w:ilvl w:val="0"/>
          <w:numId w:val="3"/>
        </w:numPr>
        <w:rPr>
          <w:rFonts w:ascii="Arial" w:cs="Arial" w:eastAsia="Arial" w:hAnsi="Arial"/>
          <w:sz w:val="13"/>
          <w:szCs w:val="13"/>
          <w:color w:val="auto"/>
        </w:rPr>
      </w:pPr>
      <w:r>
        <w:rPr>
          <w:rFonts w:ascii="Arial" w:cs="Arial" w:eastAsia="Arial" w:hAnsi="Arial"/>
          <w:sz w:val="13"/>
          <w:szCs w:val="13"/>
          <w:color w:val="auto"/>
        </w:rPr>
        <w:t>For purposes of this calculation only (a) all directors plus six executive officers and owners of five percent or more of the registrant are deemed to be affiliates of the registrant and (b) shares deemed to be “held” by such persons include only outstanding shares of the registrant’s voting stock with respect to which such persons had, on such date, voting or investment power.</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123" w:lineRule="exact"/>
        <w:rPr>
          <w:sz w:val="24"/>
          <w:szCs w:val="24"/>
          <w:color w:val="auto"/>
        </w:rPr>
      </w:pPr>
    </w:p>
    <w:p>
      <w:pPr>
        <w:ind w:left="60" w:right="59"/>
        <w:spacing w:after="0" w:line="258" w:lineRule="auto"/>
        <w:rPr>
          <w:sz w:val="20"/>
          <w:szCs w:val="20"/>
          <w:color w:val="auto"/>
        </w:rPr>
      </w:pPr>
      <w:r>
        <w:rPr>
          <w:rFonts w:ascii="Arial" w:cs="Arial" w:eastAsia="Arial" w:hAnsi="Arial"/>
          <w:sz w:val="13"/>
          <w:szCs w:val="13"/>
          <w:color w:val="auto"/>
        </w:rPr>
        <w:t>Portions of the registrant’s definitive Proxy Statement (the “Proxy Statement”) to be filed in connection with the Annual Meeting of Shareholders to be held on May 20, 2020: Parts III and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876300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70485</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104775</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63" w:right="1440"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500" w:type="dxa"/>
            <w:vAlign w:val="bottom"/>
            <w:gridSpan w:val="12"/>
          </w:tcPr>
          <w:p>
            <w:pPr>
              <w:jc w:val="center"/>
              <w:ind w:right="2620"/>
              <w:spacing w:after="0"/>
              <w:rPr>
                <w:sz w:val="20"/>
                <w:szCs w:val="20"/>
                <w:color w:val="auto"/>
              </w:rPr>
            </w:pPr>
            <w:r>
              <w:rPr>
                <w:rFonts w:ascii="Arial" w:cs="Arial" w:eastAsia="Arial" w:hAnsi="Arial"/>
                <w:sz w:val="17"/>
                <w:szCs w:val="17"/>
                <w:b w:val="1"/>
                <w:bCs w:val="1"/>
                <w:color w:val="auto"/>
              </w:rPr>
              <w:t>FOOT LOCKER, INC.</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00" w:type="dxa"/>
            <w:vAlign w:val="bottom"/>
            <w:gridSpan w:val="12"/>
          </w:tcPr>
          <w:p>
            <w:pPr>
              <w:jc w:val="center"/>
              <w:ind w:right="2620"/>
              <w:spacing w:after="0"/>
              <w:rPr>
                <w:sz w:val="20"/>
                <w:szCs w:val="20"/>
                <w:color w:val="auto"/>
              </w:rPr>
            </w:pPr>
            <w:r>
              <w:rPr>
                <w:rFonts w:ascii="Arial" w:cs="Arial" w:eastAsia="Arial" w:hAnsi="Arial"/>
                <w:sz w:val="17"/>
                <w:szCs w:val="17"/>
                <w:b w:val="1"/>
                <w:bCs w:val="1"/>
                <w:color w:val="auto"/>
              </w:rPr>
              <w:t>TABLE OF CONTENTS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80" w:type="dxa"/>
            <w:vAlign w:val="bottom"/>
            <w:tcBorders>
              <w:bottom w:val="single" w:sz="8" w:color="auto"/>
            </w:tcBorders>
            <w:gridSpan w:val="9"/>
            <w:shd w:val="clear" w:color="auto" w:fill="CCEEFF"/>
          </w:tcPr>
          <w:p>
            <w:pPr>
              <w:ind w:left="20"/>
              <w:spacing w:after="0" w:line="176" w:lineRule="exact"/>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PART I</w:t>
              </w:r>
            </w:hyperlink>
          </w:p>
        </w:tc>
        <w:tc>
          <w:tcPr>
            <w:tcW w:w="2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80" w:type="dxa"/>
            <w:vAlign w:val="bottom"/>
            <w:gridSpan w:val="9"/>
          </w:tcPr>
          <w:p>
            <w:pPr>
              <w:ind w:left="20"/>
              <w:spacing w:after="0"/>
              <w:rPr>
                <w:rFonts w:ascii="Arial" w:cs="Arial" w:eastAsia="Arial" w:hAnsi="Arial"/>
                <w:sz w:val="17"/>
                <w:szCs w:val="17"/>
                <w:color w:val="0000EE"/>
              </w:rPr>
            </w:pPr>
            <w:hyperlink w:anchor="page4">
              <w:r>
                <w:rPr>
                  <w:rFonts w:ascii="Arial" w:cs="Arial" w:eastAsia="Arial" w:hAnsi="Arial"/>
                  <w:sz w:val="17"/>
                  <w:szCs w:val="17"/>
                  <w:color w:val="0000EE"/>
                </w:rPr>
                <w:t>Item 1.</w:t>
              </w:r>
            </w:hyperlink>
          </w:p>
        </w:tc>
        <w:tc>
          <w:tcPr>
            <w:tcW w:w="7640" w:type="dxa"/>
            <w:vAlign w:val="bottom"/>
            <w:gridSpan w:val="26"/>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Business</w:t>
              </w:r>
            </w:hyperlink>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gridSpan w:val="9"/>
            <w:shd w:val="clear" w:color="auto" w:fill="CCEEFF"/>
          </w:tcPr>
          <w:p>
            <w:pPr>
              <w:ind w:left="20"/>
              <w:spacing w:after="0" w:line="176" w:lineRule="exact"/>
              <w:rPr>
                <w:rFonts w:ascii="Arial" w:cs="Arial" w:eastAsia="Arial" w:hAnsi="Arial"/>
                <w:sz w:val="17"/>
                <w:szCs w:val="17"/>
                <w:color w:val="0000EE"/>
              </w:rPr>
            </w:pPr>
            <w:hyperlink w:anchor="page6">
              <w:r>
                <w:rPr>
                  <w:rFonts w:ascii="Arial" w:cs="Arial" w:eastAsia="Arial" w:hAnsi="Arial"/>
                  <w:sz w:val="17"/>
                  <w:szCs w:val="17"/>
                  <w:color w:val="0000EE"/>
                </w:rPr>
                <w:t>Item 1A.</w:t>
              </w:r>
            </w:hyperlink>
          </w:p>
        </w:tc>
        <w:tc>
          <w:tcPr>
            <w:tcW w:w="7640" w:type="dxa"/>
            <w:vAlign w:val="bottom"/>
            <w:gridSpan w:val="26"/>
            <w:shd w:val="clear" w:color="auto" w:fill="CCEEFF"/>
          </w:tcPr>
          <w:p>
            <w:pPr>
              <w:spacing w:after="0" w:line="176" w:lineRule="exact"/>
              <w:rPr>
                <w:rFonts w:ascii="Arial" w:cs="Arial" w:eastAsia="Arial" w:hAnsi="Arial"/>
                <w:sz w:val="17"/>
                <w:szCs w:val="17"/>
                <w:color w:val="0000EE"/>
              </w:rPr>
            </w:pPr>
            <w:hyperlink w:anchor="page6">
              <w:r>
                <w:rPr>
                  <w:rFonts w:ascii="Arial" w:cs="Arial" w:eastAsia="Arial" w:hAnsi="Arial"/>
                  <w:sz w:val="17"/>
                  <w:szCs w:val="17"/>
                  <w:color w:val="0000EE"/>
                </w:rPr>
                <w:t>Risk Factors</w:t>
              </w:r>
            </w:hyperlink>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80" w:type="dxa"/>
            <w:vAlign w:val="bottom"/>
            <w:gridSpan w:val="9"/>
          </w:tcPr>
          <w:p>
            <w:pPr>
              <w:ind w:left="20"/>
              <w:spacing w:after="0" w:line="176" w:lineRule="exact"/>
              <w:rPr>
                <w:rFonts w:ascii="Arial" w:cs="Arial" w:eastAsia="Arial" w:hAnsi="Arial"/>
                <w:sz w:val="17"/>
                <w:szCs w:val="17"/>
                <w:color w:val="0000EE"/>
              </w:rPr>
            </w:pPr>
            <w:hyperlink w:anchor="page15">
              <w:r>
                <w:rPr>
                  <w:rFonts w:ascii="Arial" w:cs="Arial" w:eastAsia="Arial" w:hAnsi="Arial"/>
                  <w:sz w:val="17"/>
                  <w:szCs w:val="17"/>
                  <w:color w:val="0000EE"/>
                </w:rPr>
                <w:t>Item 1B.</w:t>
              </w:r>
            </w:hyperlink>
          </w:p>
        </w:tc>
        <w:tc>
          <w:tcPr>
            <w:tcW w:w="7640" w:type="dxa"/>
            <w:vAlign w:val="bottom"/>
            <w:gridSpan w:val="26"/>
          </w:tcPr>
          <w:p>
            <w:pPr>
              <w:spacing w:after="0" w:line="176" w:lineRule="exact"/>
              <w:rPr>
                <w:rFonts w:ascii="Arial" w:cs="Arial" w:eastAsia="Arial" w:hAnsi="Arial"/>
                <w:sz w:val="17"/>
                <w:szCs w:val="17"/>
                <w:color w:val="0000EE"/>
              </w:rPr>
            </w:pPr>
            <w:hyperlink w:anchor="page15">
              <w:r>
                <w:rPr>
                  <w:rFonts w:ascii="Arial" w:cs="Arial" w:eastAsia="Arial" w:hAnsi="Arial"/>
                  <w:sz w:val="17"/>
                  <w:szCs w:val="17"/>
                  <w:color w:val="0000EE"/>
                </w:rPr>
                <w:t>Unresolved Staff Comments</w:t>
              </w:r>
            </w:hyperlink>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gridSpan w:val="9"/>
            <w:shd w:val="clear" w:color="auto" w:fill="CCEEFF"/>
          </w:tcPr>
          <w:p>
            <w:pPr>
              <w:ind w:left="20"/>
              <w:spacing w:after="0" w:line="176" w:lineRule="exact"/>
              <w:rPr>
                <w:rFonts w:ascii="Arial" w:cs="Arial" w:eastAsia="Arial" w:hAnsi="Arial"/>
                <w:sz w:val="17"/>
                <w:szCs w:val="17"/>
                <w:color w:val="0000EE"/>
              </w:rPr>
            </w:pPr>
            <w:hyperlink w:anchor="page15">
              <w:r>
                <w:rPr>
                  <w:rFonts w:ascii="Arial" w:cs="Arial" w:eastAsia="Arial" w:hAnsi="Arial"/>
                  <w:sz w:val="17"/>
                  <w:szCs w:val="17"/>
                  <w:color w:val="0000EE"/>
                </w:rPr>
                <w:t>Item 2.</w:t>
              </w:r>
            </w:hyperlink>
          </w:p>
        </w:tc>
        <w:tc>
          <w:tcPr>
            <w:tcW w:w="7640" w:type="dxa"/>
            <w:vAlign w:val="bottom"/>
            <w:gridSpan w:val="26"/>
            <w:shd w:val="clear" w:color="auto" w:fill="CCEEFF"/>
          </w:tcPr>
          <w:p>
            <w:pPr>
              <w:spacing w:after="0" w:line="176" w:lineRule="exact"/>
              <w:rPr>
                <w:rFonts w:ascii="Arial" w:cs="Arial" w:eastAsia="Arial" w:hAnsi="Arial"/>
                <w:sz w:val="17"/>
                <w:szCs w:val="17"/>
                <w:color w:val="0000EE"/>
              </w:rPr>
            </w:pPr>
            <w:hyperlink w:anchor="page15">
              <w:r>
                <w:rPr>
                  <w:rFonts w:ascii="Arial" w:cs="Arial" w:eastAsia="Arial" w:hAnsi="Arial"/>
                  <w:sz w:val="17"/>
                  <w:szCs w:val="17"/>
                  <w:color w:val="0000EE"/>
                </w:rPr>
                <w:t>Properties</w:t>
              </w:r>
            </w:hyperlink>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80" w:type="dxa"/>
            <w:vAlign w:val="bottom"/>
            <w:gridSpan w:val="9"/>
          </w:tcPr>
          <w:p>
            <w:pPr>
              <w:ind w:left="20"/>
              <w:spacing w:after="0" w:line="176" w:lineRule="exact"/>
              <w:rPr>
                <w:rFonts w:ascii="Arial" w:cs="Arial" w:eastAsia="Arial" w:hAnsi="Arial"/>
                <w:sz w:val="17"/>
                <w:szCs w:val="17"/>
                <w:color w:val="0000EE"/>
              </w:rPr>
            </w:pPr>
            <w:hyperlink w:anchor="page16">
              <w:r>
                <w:rPr>
                  <w:rFonts w:ascii="Arial" w:cs="Arial" w:eastAsia="Arial" w:hAnsi="Arial"/>
                  <w:sz w:val="17"/>
                  <w:szCs w:val="17"/>
                  <w:color w:val="0000EE"/>
                </w:rPr>
                <w:t>Item 3.</w:t>
              </w:r>
            </w:hyperlink>
          </w:p>
        </w:tc>
        <w:tc>
          <w:tcPr>
            <w:tcW w:w="7640" w:type="dxa"/>
            <w:vAlign w:val="bottom"/>
            <w:gridSpan w:val="26"/>
          </w:tcPr>
          <w:p>
            <w:pPr>
              <w:spacing w:after="0" w:line="176" w:lineRule="exact"/>
              <w:rPr>
                <w:rFonts w:ascii="Arial" w:cs="Arial" w:eastAsia="Arial" w:hAnsi="Arial"/>
                <w:sz w:val="17"/>
                <w:szCs w:val="17"/>
                <w:color w:val="0000EE"/>
              </w:rPr>
            </w:pPr>
            <w:hyperlink w:anchor="page16">
              <w:r>
                <w:rPr>
                  <w:rFonts w:ascii="Arial" w:cs="Arial" w:eastAsia="Arial" w:hAnsi="Arial"/>
                  <w:sz w:val="17"/>
                  <w:szCs w:val="17"/>
                  <w:color w:val="0000EE"/>
                </w:rPr>
                <w:t>Legal Proceedings</w:t>
              </w:r>
            </w:hyperlink>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gridSpan w:val="9"/>
            <w:shd w:val="clear" w:color="auto" w:fill="CCEEFF"/>
          </w:tcPr>
          <w:p>
            <w:pPr>
              <w:ind w:left="20"/>
              <w:spacing w:after="0" w:line="176" w:lineRule="exact"/>
              <w:rPr>
                <w:rFonts w:ascii="Arial" w:cs="Arial" w:eastAsia="Arial" w:hAnsi="Arial"/>
                <w:sz w:val="17"/>
                <w:szCs w:val="17"/>
                <w:color w:val="0000EE"/>
              </w:rPr>
            </w:pPr>
            <w:hyperlink w:anchor="page16">
              <w:r>
                <w:rPr>
                  <w:rFonts w:ascii="Arial" w:cs="Arial" w:eastAsia="Arial" w:hAnsi="Arial"/>
                  <w:sz w:val="17"/>
                  <w:szCs w:val="17"/>
                  <w:color w:val="0000EE"/>
                </w:rPr>
                <w:t>Item 4.</w:t>
              </w:r>
            </w:hyperlink>
          </w:p>
        </w:tc>
        <w:tc>
          <w:tcPr>
            <w:tcW w:w="7640" w:type="dxa"/>
            <w:vAlign w:val="bottom"/>
            <w:gridSpan w:val="26"/>
            <w:shd w:val="clear" w:color="auto" w:fill="CCEEFF"/>
          </w:tcPr>
          <w:p>
            <w:pPr>
              <w:spacing w:after="0" w:line="176" w:lineRule="exact"/>
              <w:rPr>
                <w:rFonts w:ascii="Arial" w:cs="Arial" w:eastAsia="Arial" w:hAnsi="Arial"/>
                <w:sz w:val="17"/>
                <w:szCs w:val="17"/>
                <w:color w:val="0000EE"/>
              </w:rPr>
            </w:pPr>
            <w:hyperlink w:anchor="page16">
              <w:r>
                <w:rPr>
                  <w:rFonts w:ascii="Arial" w:cs="Arial" w:eastAsia="Arial" w:hAnsi="Arial"/>
                  <w:sz w:val="17"/>
                  <w:szCs w:val="17"/>
                  <w:color w:val="0000EE"/>
                </w:rPr>
                <w:t>Mine Safety Disclosures</w:t>
              </w:r>
            </w:hyperlink>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gridSpan w:val="9"/>
          </w:tcPr>
          <w:p>
            <w:pPr>
              <w:ind w:left="20"/>
              <w:spacing w:after="0" w:line="176" w:lineRule="exact"/>
              <w:rPr>
                <w:rFonts w:ascii="Arial" w:cs="Arial" w:eastAsia="Arial" w:hAnsi="Arial"/>
                <w:sz w:val="17"/>
                <w:szCs w:val="17"/>
                <w:color w:val="0000EE"/>
              </w:rPr>
            </w:pPr>
            <w:hyperlink w:anchor="page16">
              <w:r>
                <w:rPr>
                  <w:rFonts w:ascii="Arial" w:cs="Arial" w:eastAsia="Arial" w:hAnsi="Arial"/>
                  <w:sz w:val="17"/>
                  <w:szCs w:val="17"/>
                  <w:color w:val="0000EE"/>
                </w:rPr>
                <w:t>Item 4A.</w:t>
              </w:r>
            </w:hyperlink>
          </w:p>
        </w:tc>
        <w:tc>
          <w:tcPr>
            <w:tcW w:w="7640" w:type="dxa"/>
            <w:vAlign w:val="bottom"/>
            <w:gridSpan w:val="26"/>
          </w:tcPr>
          <w:p>
            <w:pPr>
              <w:spacing w:after="0" w:line="176" w:lineRule="exact"/>
              <w:rPr>
                <w:rFonts w:ascii="Arial" w:cs="Arial" w:eastAsia="Arial" w:hAnsi="Arial"/>
                <w:sz w:val="17"/>
                <w:szCs w:val="17"/>
                <w:color w:val="0000EE"/>
              </w:rPr>
            </w:pPr>
            <w:hyperlink w:anchor="page16">
              <w:r>
                <w:rPr>
                  <w:rFonts w:ascii="Arial" w:cs="Arial" w:eastAsia="Arial" w:hAnsi="Arial"/>
                  <w:sz w:val="17"/>
                  <w:szCs w:val="17"/>
                  <w:color w:val="0000EE"/>
                </w:rPr>
                <w:t>Information about our Executive Officers</w:t>
              </w:r>
            </w:hyperlink>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80" w:type="dxa"/>
            <w:vAlign w:val="bottom"/>
            <w:gridSpan w:val="9"/>
          </w:tcPr>
          <w:p>
            <w:pPr>
              <w:ind w:left="20"/>
              <w:spacing w:after="0" w:line="176" w:lineRule="exact"/>
              <w:rPr>
                <w:rFonts w:ascii="Arial" w:cs="Arial" w:eastAsia="Arial" w:hAnsi="Arial"/>
                <w:sz w:val="17"/>
                <w:szCs w:val="17"/>
                <w:b w:val="1"/>
                <w:bCs w:val="1"/>
                <w:color w:val="0000EE"/>
              </w:rPr>
            </w:pPr>
            <w:hyperlink w:anchor="page17">
              <w:r>
                <w:rPr>
                  <w:rFonts w:ascii="Arial" w:cs="Arial" w:eastAsia="Arial" w:hAnsi="Arial"/>
                  <w:sz w:val="17"/>
                  <w:szCs w:val="17"/>
                  <w:b w:val="1"/>
                  <w:bCs w:val="1"/>
                  <w:color w:val="0000EE"/>
                </w:rPr>
                <w:t>PART II</w:t>
              </w:r>
            </w:hyperlink>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5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80" w:type="dxa"/>
            <w:vAlign w:val="bottom"/>
            <w:gridSpan w:val="9"/>
          </w:tcPr>
          <w:p>
            <w:pPr>
              <w:ind w:left="20"/>
              <w:spacing w:after="0" w:line="176" w:lineRule="exact"/>
              <w:rPr>
                <w:rFonts w:ascii="Arial" w:cs="Arial" w:eastAsia="Arial" w:hAnsi="Arial"/>
                <w:sz w:val="17"/>
                <w:szCs w:val="17"/>
                <w:color w:val="0000EE"/>
              </w:rPr>
            </w:pPr>
            <w:hyperlink w:anchor="page17">
              <w:r>
                <w:rPr>
                  <w:rFonts w:ascii="Arial" w:cs="Arial" w:eastAsia="Arial" w:hAnsi="Arial"/>
                  <w:sz w:val="17"/>
                  <w:szCs w:val="17"/>
                  <w:color w:val="0000EE"/>
                </w:rPr>
                <w:t>Item 5.</w:t>
              </w:r>
            </w:hyperlink>
          </w:p>
        </w:tc>
        <w:tc>
          <w:tcPr>
            <w:tcW w:w="7640" w:type="dxa"/>
            <w:vAlign w:val="bottom"/>
            <w:gridSpan w:val="26"/>
          </w:tcPr>
          <w:p>
            <w:pPr>
              <w:spacing w:after="0" w:line="176" w:lineRule="exact"/>
              <w:rPr>
                <w:rFonts w:ascii="Arial" w:cs="Arial" w:eastAsia="Arial" w:hAnsi="Arial"/>
                <w:sz w:val="17"/>
                <w:szCs w:val="17"/>
                <w:color w:val="0000EE"/>
              </w:rPr>
            </w:pPr>
            <w:hyperlink w:anchor="page17">
              <w:r>
                <w:rPr>
                  <w:rFonts w:ascii="Arial" w:cs="Arial" w:eastAsia="Arial" w:hAnsi="Arial"/>
                  <w:sz w:val="17"/>
                  <w:szCs w:val="17"/>
                  <w:color w:val="0000EE"/>
                </w:rPr>
                <w:t>Market for the Company’s Common Equity, Related Stockholder Matters and Issuer Purchases of</w:t>
              </w:r>
            </w:hyperlink>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60" w:type="dxa"/>
            <w:vAlign w:val="bottom"/>
            <w:tcBorders>
              <w:top w:val="single" w:sz="8" w:color="0000EE"/>
            </w:tcBorders>
            <w:gridSpan w:val="25"/>
          </w:tcPr>
          <w:p>
            <w:pPr>
              <w:spacing w:after="0" w:line="169" w:lineRule="exact"/>
              <w:rPr>
                <w:rFonts w:ascii="Arial" w:cs="Arial" w:eastAsia="Arial" w:hAnsi="Arial"/>
                <w:sz w:val="17"/>
                <w:szCs w:val="17"/>
                <w:color w:val="0000EE"/>
              </w:rPr>
            </w:pPr>
            <w:hyperlink w:anchor="page17">
              <w:r>
                <w:rPr>
                  <w:rFonts w:ascii="Arial" w:cs="Arial" w:eastAsia="Arial" w:hAnsi="Arial"/>
                  <w:sz w:val="17"/>
                  <w:szCs w:val="17"/>
                  <w:color w:val="0000EE"/>
                </w:rPr>
                <w:t>Equity Securities</w:t>
              </w:r>
            </w:hyperlink>
          </w:p>
        </w:tc>
        <w:tc>
          <w:tcPr>
            <w:tcW w:w="18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gridSpan w:val="9"/>
            <w:shd w:val="clear" w:color="auto" w:fill="CCEEFF"/>
          </w:tcPr>
          <w:p>
            <w:pPr>
              <w:ind w:left="20"/>
              <w:spacing w:after="0" w:line="176" w:lineRule="exact"/>
              <w:rPr>
                <w:rFonts w:ascii="Arial" w:cs="Arial" w:eastAsia="Arial" w:hAnsi="Arial"/>
                <w:sz w:val="17"/>
                <w:szCs w:val="17"/>
                <w:color w:val="0000EE"/>
              </w:rPr>
            </w:pPr>
            <w:hyperlink w:anchor="page19">
              <w:r>
                <w:rPr>
                  <w:rFonts w:ascii="Arial" w:cs="Arial" w:eastAsia="Arial" w:hAnsi="Arial"/>
                  <w:sz w:val="17"/>
                  <w:szCs w:val="17"/>
                  <w:color w:val="0000EE"/>
                </w:rPr>
                <w:t>Item 6.</w:t>
              </w:r>
            </w:hyperlink>
          </w:p>
        </w:tc>
        <w:tc>
          <w:tcPr>
            <w:tcW w:w="7640" w:type="dxa"/>
            <w:vAlign w:val="bottom"/>
            <w:gridSpan w:val="26"/>
            <w:shd w:val="clear" w:color="auto" w:fill="CCEEFF"/>
          </w:tcPr>
          <w:p>
            <w:pPr>
              <w:spacing w:after="0" w:line="176" w:lineRule="exact"/>
              <w:rPr>
                <w:rFonts w:ascii="Arial" w:cs="Arial" w:eastAsia="Arial" w:hAnsi="Arial"/>
                <w:sz w:val="17"/>
                <w:szCs w:val="17"/>
                <w:color w:val="0000EE"/>
              </w:rPr>
            </w:pPr>
            <w:hyperlink w:anchor="page19">
              <w:r>
                <w:rPr>
                  <w:rFonts w:ascii="Arial" w:cs="Arial" w:eastAsia="Arial" w:hAnsi="Arial"/>
                  <w:sz w:val="17"/>
                  <w:szCs w:val="17"/>
                  <w:color w:val="0000EE"/>
                </w:rPr>
                <w:t>Selected Financial Data</w:t>
              </w:r>
            </w:hyperlink>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80" w:type="dxa"/>
            <w:vAlign w:val="bottom"/>
            <w:gridSpan w:val="9"/>
          </w:tcPr>
          <w:p>
            <w:pPr>
              <w:ind w:left="20"/>
              <w:spacing w:after="0" w:line="176" w:lineRule="exact"/>
              <w:rPr>
                <w:rFonts w:ascii="Arial" w:cs="Arial" w:eastAsia="Arial" w:hAnsi="Arial"/>
                <w:sz w:val="17"/>
                <w:szCs w:val="17"/>
                <w:color w:val="0000EE"/>
              </w:rPr>
            </w:pPr>
            <w:hyperlink w:anchor="page20">
              <w:r>
                <w:rPr>
                  <w:rFonts w:ascii="Arial" w:cs="Arial" w:eastAsia="Arial" w:hAnsi="Arial"/>
                  <w:sz w:val="17"/>
                  <w:szCs w:val="17"/>
                  <w:color w:val="0000EE"/>
                </w:rPr>
                <w:t>Item 7.</w:t>
              </w:r>
            </w:hyperlink>
          </w:p>
        </w:tc>
        <w:tc>
          <w:tcPr>
            <w:tcW w:w="7640" w:type="dxa"/>
            <w:vAlign w:val="bottom"/>
            <w:gridSpan w:val="26"/>
          </w:tcPr>
          <w:p>
            <w:pPr>
              <w:spacing w:after="0" w:line="176" w:lineRule="exact"/>
              <w:rPr>
                <w:rFonts w:ascii="Arial" w:cs="Arial" w:eastAsia="Arial" w:hAnsi="Arial"/>
                <w:sz w:val="17"/>
                <w:szCs w:val="17"/>
                <w:color w:val="0000EE"/>
              </w:rPr>
            </w:pPr>
            <w:hyperlink w:anchor="page20">
              <w:r>
                <w:rPr>
                  <w:rFonts w:ascii="Arial" w:cs="Arial" w:eastAsia="Arial" w:hAnsi="Arial"/>
                  <w:sz w:val="17"/>
                  <w:szCs w:val="17"/>
                  <w:color w:val="0000EE"/>
                </w:rPr>
                <w:t>Management’s Discussion and Analysis of Financial Condition and Results of Operations</w:t>
              </w:r>
            </w:hyperlink>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gridSpan w:val="9"/>
            <w:shd w:val="clear" w:color="auto" w:fill="CCEEFF"/>
          </w:tcPr>
          <w:p>
            <w:pPr>
              <w:ind w:left="20"/>
              <w:spacing w:after="0" w:line="176" w:lineRule="exact"/>
              <w:rPr>
                <w:rFonts w:ascii="Arial" w:cs="Arial" w:eastAsia="Arial" w:hAnsi="Arial"/>
                <w:sz w:val="17"/>
                <w:szCs w:val="17"/>
                <w:color w:val="0000EE"/>
              </w:rPr>
            </w:pPr>
            <w:hyperlink w:anchor="page37">
              <w:r>
                <w:rPr>
                  <w:rFonts w:ascii="Arial" w:cs="Arial" w:eastAsia="Arial" w:hAnsi="Arial"/>
                  <w:sz w:val="17"/>
                  <w:szCs w:val="17"/>
                  <w:color w:val="0000EE"/>
                </w:rPr>
                <w:t>Item 7A.</w:t>
              </w:r>
            </w:hyperlink>
          </w:p>
        </w:tc>
        <w:tc>
          <w:tcPr>
            <w:tcW w:w="7640" w:type="dxa"/>
            <w:vAlign w:val="bottom"/>
            <w:gridSpan w:val="26"/>
            <w:shd w:val="clear" w:color="auto" w:fill="CCEEFF"/>
          </w:tcPr>
          <w:p>
            <w:pPr>
              <w:spacing w:after="0" w:line="176" w:lineRule="exact"/>
              <w:rPr>
                <w:rFonts w:ascii="Arial" w:cs="Arial" w:eastAsia="Arial" w:hAnsi="Arial"/>
                <w:sz w:val="17"/>
                <w:szCs w:val="17"/>
                <w:color w:val="0000EE"/>
              </w:rPr>
            </w:pPr>
            <w:hyperlink w:anchor="page37">
              <w:r>
                <w:rPr>
                  <w:rFonts w:ascii="Arial" w:cs="Arial" w:eastAsia="Arial" w:hAnsi="Arial"/>
                  <w:sz w:val="17"/>
                  <w:szCs w:val="17"/>
                  <w:color w:val="0000EE"/>
                </w:rPr>
                <w:t>Quantitative and Qualitative Disclosures About Market Risk</w:t>
              </w:r>
            </w:hyperlink>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gridSpan w:val="9"/>
          </w:tcPr>
          <w:p>
            <w:pPr>
              <w:ind w:left="20"/>
              <w:spacing w:after="0" w:line="176" w:lineRule="exact"/>
              <w:rPr>
                <w:rFonts w:ascii="Arial" w:cs="Arial" w:eastAsia="Arial" w:hAnsi="Arial"/>
                <w:sz w:val="17"/>
                <w:szCs w:val="17"/>
                <w:color w:val="0000EE"/>
              </w:rPr>
            </w:pPr>
            <w:hyperlink w:anchor="page37">
              <w:r>
                <w:rPr>
                  <w:rFonts w:ascii="Arial" w:cs="Arial" w:eastAsia="Arial" w:hAnsi="Arial"/>
                  <w:sz w:val="17"/>
                  <w:szCs w:val="17"/>
                  <w:color w:val="0000EE"/>
                </w:rPr>
                <w:t>Item 8.</w:t>
              </w:r>
            </w:hyperlink>
          </w:p>
        </w:tc>
        <w:tc>
          <w:tcPr>
            <w:tcW w:w="7640" w:type="dxa"/>
            <w:vAlign w:val="bottom"/>
            <w:gridSpan w:val="26"/>
          </w:tcPr>
          <w:p>
            <w:pPr>
              <w:spacing w:after="0" w:line="176" w:lineRule="exact"/>
              <w:rPr>
                <w:rFonts w:ascii="Arial" w:cs="Arial" w:eastAsia="Arial" w:hAnsi="Arial"/>
                <w:sz w:val="17"/>
                <w:szCs w:val="17"/>
                <w:color w:val="0000EE"/>
              </w:rPr>
            </w:pPr>
            <w:hyperlink w:anchor="page37">
              <w:r>
                <w:rPr>
                  <w:rFonts w:ascii="Arial" w:cs="Arial" w:eastAsia="Arial" w:hAnsi="Arial"/>
                  <w:sz w:val="17"/>
                  <w:szCs w:val="17"/>
                  <w:color w:val="0000EE"/>
                </w:rPr>
                <w:t>Consolidated Financial Statements and Supplementary Data</w:t>
              </w:r>
            </w:hyperlink>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80" w:type="dxa"/>
            <w:vAlign w:val="bottom"/>
            <w:gridSpan w:val="9"/>
            <w:shd w:val="clear" w:color="auto" w:fill="CCEEFF"/>
          </w:tcPr>
          <w:p>
            <w:pPr>
              <w:ind w:left="20"/>
              <w:spacing w:after="0" w:line="176" w:lineRule="exact"/>
              <w:rPr>
                <w:rFonts w:ascii="Arial" w:cs="Arial" w:eastAsia="Arial" w:hAnsi="Arial"/>
                <w:sz w:val="17"/>
                <w:szCs w:val="17"/>
                <w:color w:val="0000EE"/>
              </w:rPr>
            </w:pPr>
            <w:hyperlink w:anchor="page79">
              <w:r>
                <w:rPr>
                  <w:rFonts w:ascii="Arial" w:cs="Arial" w:eastAsia="Arial" w:hAnsi="Arial"/>
                  <w:sz w:val="17"/>
                  <w:szCs w:val="17"/>
                  <w:color w:val="0000EE"/>
                </w:rPr>
                <w:t>Item 9.</w:t>
              </w:r>
            </w:hyperlink>
          </w:p>
        </w:tc>
        <w:tc>
          <w:tcPr>
            <w:tcW w:w="7640" w:type="dxa"/>
            <w:vAlign w:val="bottom"/>
            <w:gridSpan w:val="26"/>
            <w:shd w:val="clear" w:color="auto" w:fill="CCEEFF"/>
          </w:tcPr>
          <w:p>
            <w:pPr>
              <w:spacing w:after="0" w:line="176" w:lineRule="exact"/>
              <w:rPr>
                <w:rFonts w:ascii="Arial" w:cs="Arial" w:eastAsia="Arial" w:hAnsi="Arial"/>
                <w:sz w:val="17"/>
                <w:szCs w:val="17"/>
                <w:color w:val="0000EE"/>
              </w:rPr>
            </w:pPr>
            <w:hyperlink w:anchor="page79">
              <w:r>
                <w:rPr>
                  <w:rFonts w:ascii="Arial" w:cs="Arial" w:eastAsia="Arial" w:hAnsi="Arial"/>
                  <w:sz w:val="17"/>
                  <w:szCs w:val="17"/>
                  <w:color w:val="0000EE"/>
                </w:rPr>
                <w:t>Changes in and Disagreements with Accountants on Accounting and Financial Disclosure</w:t>
              </w:r>
            </w:hyperlink>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gridSpan w:val="9"/>
          </w:tcPr>
          <w:p>
            <w:pPr>
              <w:ind w:left="20"/>
              <w:spacing w:after="0" w:line="176" w:lineRule="exact"/>
              <w:rPr>
                <w:rFonts w:ascii="Arial" w:cs="Arial" w:eastAsia="Arial" w:hAnsi="Arial"/>
                <w:sz w:val="17"/>
                <w:szCs w:val="17"/>
                <w:color w:val="0000EE"/>
              </w:rPr>
            </w:pPr>
            <w:hyperlink w:anchor="page79">
              <w:r>
                <w:rPr>
                  <w:rFonts w:ascii="Arial" w:cs="Arial" w:eastAsia="Arial" w:hAnsi="Arial"/>
                  <w:sz w:val="17"/>
                  <w:szCs w:val="17"/>
                  <w:color w:val="0000EE"/>
                </w:rPr>
                <w:t>Item 9A.</w:t>
              </w:r>
            </w:hyperlink>
          </w:p>
        </w:tc>
        <w:tc>
          <w:tcPr>
            <w:tcW w:w="7640" w:type="dxa"/>
            <w:vAlign w:val="bottom"/>
            <w:gridSpan w:val="26"/>
          </w:tcPr>
          <w:p>
            <w:pPr>
              <w:spacing w:after="0" w:line="176" w:lineRule="exact"/>
              <w:rPr>
                <w:rFonts w:ascii="Arial" w:cs="Arial" w:eastAsia="Arial" w:hAnsi="Arial"/>
                <w:sz w:val="17"/>
                <w:szCs w:val="17"/>
                <w:color w:val="0000EE"/>
              </w:rPr>
            </w:pPr>
            <w:hyperlink w:anchor="page79">
              <w:r>
                <w:rPr>
                  <w:rFonts w:ascii="Arial" w:cs="Arial" w:eastAsia="Arial" w:hAnsi="Arial"/>
                  <w:sz w:val="17"/>
                  <w:szCs w:val="17"/>
                  <w:color w:val="0000EE"/>
                </w:rPr>
                <w:t>Controls and Procedures</w:t>
              </w:r>
            </w:hyperlink>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9"/>
            <w:shd w:val="clear" w:color="auto" w:fill="CCEEFF"/>
          </w:tcPr>
          <w:p>
            <w:pPr>
              <w:ind w:left="20"/>
              <w:spacing w:after="0" w:line="176" w:lineRule="exact"/>
              <w:rPr>
                <w:rFonts w:ascii="Arial" w:cs="Arial" w:eastAsia="Arial" w:hAnsi="Arial"/>
                <w:sz w:val="17"/>
                <w:szCs w:val="17"/>
                <w:color w:val="0000EE"/>
              </w:rPr>
            </w:pPr>
            <w:hyperlink w:anchor="page81">
              <w:r>
                <w:rPr>
                  <w:rFonts w:ascii="Arial" w:cs="Arial" w:eastAsia="Arial" w:hAnsi="Arial"/>
                  <w:sz w:val="17"/>
                  <w:szCs w:val="17"/>
                  <w:color w:val="0000EE"/>
                </w:rPr>
                <w:t>Item 9B.</w:t>
              </w:r>
            </w:hyperlink>
          </w:p>
        </w:tc>
        <w:tc>
          <w:tcPr>
            <w:tcW w:w="7640" w:type="dxa"/>
            <w:vAlign w:val="bottom"/>
            <w:gridSpan w:val="26"/>
            <w:shd w:val="clear" w:color="auto" w:fill="CCEEFF"/>
          </w:tcPr>
          <w:p>
            <w:pPr>
              <w:spacing w:after="0" w:line="176" w:lineRule="exact"/>
              <w:rPr>
                <w:rFonts w:ascii="Arial" w:cs="Arial" w:eastAsia="Arial" w:hAnsi="Arial"/>
                <w:sz w:val="17"/>
                <w:szCs w:val="17"/>
                <w:color w:val="0000EE"/>
              </w:rPr>
            </w:pPr>
            <w:hyperlink w:anchor="page81">
              <w:r>
                <w:rPr>
                  <w:rFonts w:ascii="Arial" w:cs="Arial" w:eastAsia="Arial" w:hAnsi="Arial"/>
                  <w:sz w:val="17"/>
                  <w:szCs w:val="17"/>
                  <w:color w:val="0000EE"/>
                </w:rPr>
                <w:t>Other Information</w:t>
              </w:r>
            </w:hyperlink>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Borders>
              <w:bottom w:val="single" w:sz="8" w:color="auto"/>
            </w:tcBorders>
            <w:gridSpan w:val="9"/>
            <w:shd w:val="clear" w:color="auto" w:fill="CCEEFF"/>
          </w:tcPr>
          <w:p>
            <w:pPr>
              <w:ind w:left="20"/>
              <w:spacing w:after="0" w:line="176" w:lineRule="exact"/>
              <w:rPr>
                <w:rFonts w:ascii="Arial" w:cs="Arial" w:eastAsia="Arial" w:hAnsi="Arial"/>
                <w:sz w:val="17"/>
                <w:szCs w:val="17"/>
                <w:b w:val="1"/>
                <w:bCs w:val="1"/>
                <w:color w:val="0000EE"/>
              </w:rPr>
            </w:pPr>
            <w:hyperlink w:anchor="page81">
              <w:r>
                <w:rPr>
                  <w:rFonts w:ascii="Arial" w:cs="Arial" w:eastAsia="Arial" w:hAnsi="Arial"/>
                  <w:sz w:val="17"/>
                  <w:szCs w:val="17"/>
                  <w:b w:val="1"/>
                  <w:bCs w:val="1"/>
                  <w:color w:val="0000EE"/>
                </w:rPr>
                <w:t>PART III</w:t>
              </w:r>
            </w:hyperlink>
          </w:p>
        </w:tc>
        <w:tc>
          <w:tcPr>
            <w:tcW w:w="2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80" w:type="dxa"/>
            <w:vAlign w:val="bottom"/>
            <w:gridSpan w:val="9"/>
            <w:shd w:val="clear" w:color="auto" w:fill="CCEEFF"/>
          </w:tcPr>
          <w:p>
            <w:pPr>
              <w:ind w:left="20"/>
              <w:spacing w:after="0" w:line="176" w:lineRule="exact"/>
              <w:rPr>
                <w:rFonts w:ascii="Arial" w:cs="Arial" w:eastAsia="Arial" w:hAnsi="Arial"/>
                <w:sz w:val="17"/>
                <w:szCs w:val="17"/>
                <w:color w:val="0000EE"/>
              </w:rPr>
            </w:pPr>
            <w:hyperlink w:anchor="page81">
              <w:r>
                <w:rPr>
                  <w:rFonts w:ascii="Arial" w:cs="Arial" w:eastAsia="Arial" w:hAnsi="Arial"/>
                  <w:sz w:val="17"/>
                  <w:szCs w:val="17"/>
                  <w:color w:val="0000EE"/>
                </w:rPr>
                <w:t>Item 10.</w:t>
              </w:r>
            </w:hyperlink>
          </w:p>
        </w:tc>
        <w:tc>
          <w:tcPr>
            <w:tcW w:w="7640" w:type="dxa"/>
            <w:vAlign w:val="bottom"/>
            <w:gridSpan w:val="26"/>
            <w:shd w:val="clear" w:color="auto" w:fill="CCEEFF"/>
          </w:tcPr>
          <w:p>
            <w:pPr>
              <w:spacing w:after="0" w:line="176" w:lineRule="exact"/>
              <w:rPr>
                <w:rFonts w:ascii="Arial" w:cs="Arial" w:eastAsia="Arial" w:hAnsi="Arial"/>
                <w:sz w:val="17"/>
                <w:szCs w:val="17"/>
                <w:color w:val="0000EE"/>
              </w:rPr>
            </w:pPr>
            <w:hyperlink w:anchor="page81">
              <w:r>
                <w:rPr>
                  <w:rFonts w:ascii="Arial" w:cs="Arial" w:eastAsia="Arial" w:hAnsi="Arial"/>
                  <w:sz w:val="17"/>
                  <w:szCs w:val="17"/>
                  <w:color w:val="0000EE"/>
                </w:rPr>
                <w:t>Directors, Executive Officers and Corporate Governance</w:t>
              </w:r>
            </w:hyperlink>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80" w:type="dxa"/>
            <w:vAlign w:val="bottom"/>
            <w:gridSpan w:val="9"/>
          </w:tcPr>
          <w:p>
            <w:pPr>
              <w:ind w:left="20"/>
              <w:spacing w:after="0" w:line="176" w:lineRule="exact"/>
              <w:rPr>
                <w:rFonts w:ascii="Arial" w:cs="Arial" w:eastAsia="Arial" w:hAnsi="Arial"/>
                <w:sz w:val="17"/>
                <w:szCs w:val="17"/>
                <w:color w:val="0000EE"/>
              </w:rPr>
            </w:pPr>
            <w:hyperlink w:anchor="page81">
              <w:r>
                <w:rPr>
                  <w:rFonts w:ascii="Arial" w:cs="Arial" w:eastAsia="Arial" w:hAnsi="Arial"/>
                  <w:sz w:val="17"/>
                  <w:szCs w:val="17"/>
                  <w:color w:val="0000EE"/>
                </w:rPr>
                <w:t>Item 11.</w:t>
              </w:r>
            </w:hyperlink>
          </w:p>
        </w:tc>
        <w:tc>
          <w:tcPr>
            <w:tcW w:w="7640" w:type="dxa"/>
            <w:vAlign w:val="bottom"/>
            <w:gridSpan w:val="26"/>
          </w:tcPr>
          <w:p>
            <w:pPr>
              <w:spacing w:after="0" w:line="176" w:lineRule="exact"/>
              <w:rPr>
                <w:rFonts w:ascii="Arial" w:cs="Arial" w:eastAsia="Arial" w:hAnsi="Arial"/>
                <w:sz w:val="17"/>
                <w:szCs w:val="17"/>
                <w:color w:val="0000EE"/>
              </w:rPr>
            </w:pPr>
            <w:hyperlink w:anchor="page81">
              <w:r>
                <w:rPr>
                  <w:rFonts w:ascii="Arial" w:cs="Arial" w:eastAsia="Arial" w:hAnsi="Arial"/>
                  <w:sz w:val="17"/>
                  <w:szCs w:val="17"/>
                  <w:color w:val="0000EE"/>
                </w:rPr>
                <w:t>Executive Compensation</w:t>
              </w:r>
            </w:hyperlink>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80" w:type="dxa"/>
            <w:vAlign w:val="bottom"/>
            <w:gridSpan w:val="9"/>
            <w:shd w:val="clear" w:color="auto" w:fill="CCEEFF"/>
          </w:tcPr>
          <w:p>
            <w:pPr>
              <w:ind w:left="20"/>
              <w:spacing w:after="0" w:line="176" w:lineRule="exact"/>
              <w:rPr>
                <w:rFonts w:ascii="Arial" w:cs="Arial" w:eastAsia="Arial" w:hAnsi="Arial"/>
                <w:sz w:val="17"/>
                <w:szCs w:val="17"/>
                <w:color w:val="0000EE"/>
              </w:rPr>
            </w:pPr>
            <w:hyperlink w:anchor="page81">
              <w:r>
                <w:rPr>
                  <w:rFonts w:ascii="Arial" w:cs="Arial" w:eastAsia="Arial" w:hAnsi="Arial"/>
                  <w:sz w:val="17"/>
                  <w:szCs w:val="17"/>
                  <w:color w:val="0000EE"/>
                </w:rPr>
                <w:t>Item 12.</w:t>
              </w:r>
            </w:hyperlink>
          </w:p>
        </w:tc>
        <w:tc>
          <w:tcPr>
            <w:tcW w:w="7640" w:type="dxa"/>
            <w:vAlign w:val="bottom"/>
            <w:gridSpan w:val="26"/>
            <w:shd w:val="clear" w:color="auto" w:fill="CCEEFF"/>
          </w:tcPr>
          <w:p>
            <w:pPr>
              <w:spacing w:after="0" w:line="176" w:lineRule="exact"/>
              <w:rPr>
                <w:rFonts w:ascii="Arial" w:cs="Arial" w:eastAsia="Arial" w:hAnsi="Arial"/>
                <w:sz w:val="17"/>
                <w:szCs w:val="17"/>
                <w:color w:val="0000EE"/>
              </w:rPr>
            </w:pPr>
            <w:hyperlink w:anchor="page81">
              <w:r>
                <w:rPr>
                  <w:rFonts w:ascii="Arial" w:cs="Arial" w:eastAsia="Arial" w:hAnsi="Arial"/>
                  <w:sz w:val="17"/>
                  <w:szCs w:val="17"/>
                  <w:color w:val="0000EE"/>
                </w:rPr>
                <w:t>Security Ownership of Certain Beneficial Owners and Management and Related Stockholder</w:t>
              </w:r>
            </w:hyperlink>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4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0000EE"/>
              <w:bottom w:val="single" w:sz="8" w:color="0000EE"/>
            </w:tcBorders>
            <w:gridSpan w:val="2"/>
            <w:shd w:val="clear" w:color="auto" w:fill="CCEEFF"/>
          </w:tcPr>
          <w:p>
            <w:pPr>
              <w:spacing w:after="0" w:line="169" w:lineRule="exact"/>
              <w:rPr>
                <w:rFonts w:ascii="Arial" w:cs="Arial" w:eastAsia="Arial" w:hAnsi="Arial"/>
                <w:sz w:val="17"/>
                <w:szCs w:val="17"/>
                <w:color w:val="0000EE"/>
                <w:w w:val="98"/>
              </w:rPr>
            </w:pPr>
            <w:hyperlink w:anchor="page81">
              <w:r>
                <w:rPr>
                  <w:rFonts w:ascii="Arial" w:cs="Arial" w:eastAsia="Arial" w:hAnsi="Arial"/>
                  <w:sz w:val="17"/>
                  <w:szCs w:val="17"/>
                  <w:color w:val="0000EE"/>
                  <w:w w:val="98"/>
                </w:rPr>
                <w:t>Matters</w:t>
              </w:r>
            </w:hyperlink>
          </w:p>
        </w:tc>
        <w:tc>
          <w:tcPr>
            <w:tcW w:w="6860" w:type="dxa"/>
            <w:vAlign w:val="bottom"/>
            <w:tcBorders>
              <w:top w:val="single" w:sz="8" w:color="0000EE"/>
              <w:bottom w:val="single" w:sz="8" w:color="CCEEFF"/>
            </w:tcBorders>
            <w:gridSpan w:val="22"/>
            <w:shd w:val="clear" w:color="auto" w:fill="CCEEFF"/>
          </w:tcPr>
          <w:p>
            <w:pPr>
              <w:spacing w:after="0"/>
              <w:rPr>
                <w:sz w:val="17"/>
                <w:szCs w:val="17"/>
                <w:color w:val="auto"/>
              </w:rPr>
            </w:pPr>
          </w:p>
        </w:tc>
        <w:tc>
          <w:tcPr>
            <w:tcW w:w="2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38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0" w:type="dxa"/>
            <w:vAlign w:val="bottom"/>
            <w:gridSpan w:val="9"/>
          </w:tcPr>
          <w:p>
            <w:pPr>
              <w:ind w:left="20"/>
              <w:spacing w:after="0" w:line="176" w:lineRule="exact"/>
              <w:rPr>
                <w:rFonts w:ascii="Arial" w:cs="Arial" w:eastAsia="Arial" w:hAnsi="Arial"/>
                <w:sz w:val="17"/>
                <w:szCs w:val="17"/>
                <w:color w:val="0000EE"/>
              </w:rPr>
            </w:pPr>
            <w:hyperlink w:anchor="page81">
              <w:r>
                <w:rPr>
                  <w:rFonts w:ascii="Arial" w:cs="Arial" w:eastAsia="Arial" w:hAnsi="Arial"/>
                  <w:sz w:val="17"/>
                  <w:szCs w:val="17"/>
                  <w:color w:val="0000EE"/>
                </w:rPr>
                <w:t>Item 13.</w:t>
              </w:r>
            </w:hyperlink>
          </w:p>
        </w:tc>
        <w:tc>
          <w:tcPr>
            <w:tcW w:w="7640" w:type="dxa"/>
            <w:vAlign w:val="bottom"/>
            <w:gridSpan w:val="26"/>
          </w:tcPr>
          <w:p>
            <w:pPr>
              <w:spacing w:after="0" w:line="176" w:lineRule="exact"/>
              <w:rPr>
                <w:rFonts w:ascii="Arial" w:cs="Arial" w:eastAsia="Arial" w:hAnsi="Arial"/>
                <w:sz w:val="17"/>
                <w:szCs w:val="17"/>
                <w:color w:val="0000EE"/>
              </w:rPr>
            </w:pPr>
            <w:hyperlink w:anchor="page81">
              <w:r>
                <w:rPr>
                  <w:rFonts w:ascii="Arial" w:cs="Arial" w:eastAsia="Arial" w:hAnsi="Arial"/>
                  <w:sz w:val="17"/>
                  <w:szCs w:val="17"/>
                  <w:color w:val="0000EE"/>
                </w:rPr>
                <w:t>Certain Relationships and Related Transactions, and Director Independence</w:t>
              </w:r>
            </w:hyperlink>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9"/>
            <w:shd w:val="clear" w:color="auto" w:fill="CCEEFF"/>
          </w:tcPr>
          <w:p>
            <w:pPr>
              <w:ind w:left="20"/>
              <w:spacing w:after="0" w:line="176" w:lineRule="exact"/>
              <w:rPr>
                <w:rFonts w:ascii="Arial" w:cs="Arial" w:eastAsia="Arial" w:hAnsi="Arial"/>
                <w:sz w:val="17"/>
                <w:szCs w:val="17"/>
                <w:color w:val="0000EE"/>
              </w:rPr>
            </w:pPr>
            <w:hyperlink w:anchor="page81">
              <w:r>
                <w:rPr>
                  <w:rFonts w:ascii="Arial" w:cs="Arial" w:eastAsia="Arial" w:hAnsi="Arial"/>
                  <w:sz w:val="17"/>
                  <w:szCs w:val="17"/>
                  <w:color w:val="0000EE"/>
                </w:rPr>
                <w:t>Item 14.</w:t>
              </w:r>
            </w:hyperlink>
          </w:p>
        </w:tc>
        <w:tc>
          <w:tcPr>
            <w:tcW w:w="7640" w:type="dxa"/>
            <w:vAlign w:val="bottom"/>
            <w:gridSpan w:val="26"/>
            <w:shd w:val="clear" w:color="auto" w:fill="CCEEFF"/>
          </w:tcPr>
          <w:p>
            <w:pPr>
              <w:spacing w:after="0" w:line="176" w:lineRule="exact"/>
              <w:rPr>
                <w:rFonts w:ascii="Arial" w:cs="Arial" w:eastAsia="Arial" w:hAnsi="Arial"/>
                <w:sz w:val="17"/>
                <w:szCs w:val="17"/>
                <w:color w:val="0000EE"/>
              </w:rPr>
            </w:pPr>
            <w:hyperlink w:anchor="page81">
              <w:r>
                <w:rPr>
                  <w:rFonts w:ascii="Arial" w:cs="Arial" w:eastAsia="Arial" w:hAnsi="Arial"/>
                  <w:sz w:val="17"/>
                  <w:szCs w:val="17"/>
                  <w:color w:val="0000EE"/>
                </w:rPr>
                <w:t>Principal Accounting Fees and Services</w:t>
              </w:r>
            </w:hyperlink>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Borders>
              <w:bottom w:val="single" w:sz="8" w:color="auto"/>
            </w:tcBorders>
            <w:gridSpan w:val="9"/>
            <w:shd w:val="clear" w:color="auto" w:fill="CCEEFF"/>
          </w:tcPr>
          <w:p>
            <w:pPr>
              <w:ind w:left="20"/>
              <w:spacing w:after="0" w:line="176" w:lineRule="exact"/>
              <w:rPr>
                <w:rFonts w:ascii="Arial" w:cs="Arial" w:eastAsia="Arial" w:hAnsi="Arial"/>
                <w:sz w:val="17"/>
                <w:szCs w:val="17"/>
                <w:b w:val="1"/>
                <w:bCs w:val="1"/>
                <w:color w:val="0000EE"/>
              </w:rPr>
            </w:pPr>
            <w:hyperlink w:anchor="page82">
              <w:r>
                <w:rPr>
                  <w:rFonts w:ascii="Arial" w:cs="Arial" w:eastAsia="Arial" w:hAnsi="Arial"/>
                  <w:sz w:val="17"/>
                  <w:szCs w:val="17"/>
                  <w:b w:val="1"/>
                  <w:bCs w:val="1"/>
                  <w:color w:val="0000EE"/>
                </w:rPr>
                <w:t>PART IV</w:t>
              </w:r>
            </w:hyperlink>
          </w:p>
        </w:tc>
        <w:tc>
          <w:tcPr>
            <w:tcW w:w="2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80" w:type="dxa"/>
            <w:vAlign w:val="bottom"/>
            <w:gridSpan w:val="9"/>
            <w:shd w:val="clear" w:color="auto" w:fill="CCEEFF"/>
          </w:tcPr>
          <w:p>
            <w:pPr>
              <w:ind w:left="20"/>
              <w:spacing w:after="0" w:line="176" w:lineRule="exact"/>
              <w:rPr>
                <w:rFonts w:ascii="Arial" w:cs="Arial" w:eastAsia="Arial" w:hAnsi="Arial"/>
                <w:sz w:val="17"/>
                <w:szCs w:val="17"/>
                <w:color w:val="0000EE"/>
              </w:rPr>
            </w:pPr>
            <w:hyperlink w:anchor="page82">
              <w:r>
                <w:rPr>
                  <w:rFonts w:ascii="Arial" w:cs="Arial" w:eastAsia="Arial" w:hAnsi="Arial"/>
                  <w:sz w:val="17"/>
                  <w:szCs w:val="17"/>
                  <w:color w:val="0000EE"/>
                </w:rPr>
                <w:t>Item 15.</w:t>
              </w:r>
            </w:hyperlink>
          </w:p>
        </w:tc>
        <w:tc>
          <w:tcPr>
            <w:tcW w:w="7640" w:type="dxa"/>
            <w:vAlign w:val="bottom"/>
            <w:gridSpan w:val="26"/>
            <w:shd w:val="clear" w:color="auto" w:fill="CCEEFF"/>
          </w:tcPr>
          <w:p>
            <w:pPr>
              <w:spacing w:after="0" w:line="176" w:lineRule="exact"/>
              <w:rPr>
                <w:rFonts w:ascii="Arial" w:cs="Arial" w:eastAsia="Arial" w:hAnsi="Arial"/>
                <w:sz w:val="17"/>
                <w:szCs w:val="17"/>
                <w:color w:val="0000EE"/>
              </w:rPr>
            </w:pPr>
            <w:hyperlink w:anchor="page82">
              <w:r>
                <w:rPr>
                  <w:rFonts w:ascii="Arial" w:cs="Arial" w:eastAsia="Arial" w:hAnsi="Arial"/>
                  <w:sz w:val="17"/>
                  <w:szCs w:val="17"/>
                  <w:color w:val="0000EE"/>
                </w:rPr>
                <w:t>Exhibits and Financial Statement Schedules</w:t>
              </w:r>
            </w:hyperlink>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80" w:type="dxa"/>
            <w:vAlign w:val="bottom"/>
            <w:gridSpan w:val="9"/>
          </w:tcPr>
          <w:p>
            <w:pPr>
              <w:ind w:left="20"/>
              <w:spacing w:after="0" w:line="176" w:lineRule="exact"/>
              <w:rPr>
                <w:rFonts w:ascii="Arial" w:cs="Arial" w:eastAsia="Arial" w:hAnsi="Arial"/>
                <w:sz w:val="17"/>
                <w:szCs w:val="17"/>
                <w:color w:val="0000EE"/>
              </w:rPr>
            </w:pPr>
            <w:hyperlink w:anchor="page82">
              <w:r>
                <w:rPr>
                  <w:rFonts w:ascii="Arial" w:cs="Arial" w:eastAsia="Arial" w:hAnsi="Arial"/>
                  <w:sz w:val="17"/>
                  <w:szCs w:val="17"/>
                  <w:color w:val="0000EE"/>
                </w:rPr>
                <w:t>Item 16.</w:t>
              </w:r>
            </w:hyperlink>
          </w:p>
        </w:tc>
        <w:tc>
          <w:tcPr>
            <w:tcW w:w="7640" w:type="dxa"/>
            <w:vAlign w:val="bottom"/>
            <w:gridSpan w:val="26"/>
          </w:tcPr>
          <w:p>
            <w:pPr>
              <w:spacing w:after="0" w:line="176" w:lineRule="exact"/>
              <w:rPr>
                <w:rFonts w:ascii="Arial" w:cs="Arial" w:eastAsia="Arial" w:hAnsi="Arial"/>
                <w:sz w:val="17"/>
                <w:szCs w:val="17"/>
                <w:color w:val="0000EE"/>
              </w:rPr>
            </w:pPr>
            <w:hyperlink w:anchor="page82">
              <w:r>
                <w:rPr>
                  <w:rFonts w:ascii="Arial" w:cs="Arial" w:eastAsia="Arial" w:hAnsi="Arial"/>
                  <w:sz w:val="17"/>
                  <w:szCs w:val="17"/>
                  <w:color w:val="0000EE"/>
                </w:rPr>
                <w:t>Form 10-K Summary</w:t>
              </w:r>
            </w:hyperlink>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20" w:type="dxa"/>
            <w:vAlign w:val="bottom"/>
            <w:gridSpan w:val="35"/>
          </w:tcPr>
          <w:p>
            <w:pPr>
              <w:ind w:left="20"/>
              <w:spacing w:after="0" w:line="176" w:lineRule="exact"/>
              <w:rPr>
                <w:rFonts w:ascii="Arial" w:cs="Arial" w:eastAsia="Arial" w:hAnsi="Arial"/>
                <w:sz w:val="17"/>
                <w:szCs w:val="17"/>
                <w:color w:val="0000EE"/>
              </w:rPr>
            </w:pPr>
            <w:hyperlink w:anchor="page83">
              <w:r>
                <w:rPr>
                  <w:rFonts w:ascii="Arial" w:cs="Arial" w:eastAsia="Arial" w:hAnsi="Arial"/>
                  <w:sz w:val="17"/>
                  <w:szCs w:val="17"/>
                  <w:color w:val="0000EE"/>
                </w:rPr>
                <w:t>INDEX OF EXHIBITS</w:t>
              </w:r>
            </w:hyperlink>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20" w:type="dxa"/>
            <w:vAlign w:val="bottom"/>
            <w:gridSpan w:val="35"/>
          </w:tcPr>
          <w:p>
            <w:pPr>
              <w:ind w:left="20"/>
              <w:spacing w:after="0" w:line="176" w:lineRule="exact"/>
              <w:rPr>
                <w:rFonts w:ascii="Arial" w:cs="Arial" w:eastAsia="Arial" w:hAnsi="Arial"/>
                <w:sz w:val="17"/>
                <w:szCs w:val="17"/>
                <w:color w:val="0000EE"/>
              </w:rPr>
            </w:pPr>
            <w:hyperlink w:anchor="page87">
              <w:r>
                <w:rPr>
                  <w:rFonts w:ascii="Arial" w:cs="Arial" w:eastAsia="Arial" w:hAnsi="Arial"/>
                  <w:sz w:val="17"/>
                  <w:szCs w:val="17"/>
                  <w:color w:val="0000EE"/>
                </w:rPr>
                <w:t>SIGNATURES</w:t>
              </w:r>
            </w:hyperlink>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606"/>
        </w:trPr>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22"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0"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This Annual Report on Form 10-K (“Annual Report”)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 These statements include statements relating to trends in or expectations relating to the expected effects of our initiatives, strategies and plans, as well as trends in or expectations regarding our financial results and long-term growth model and drivers, tax rates, business opportunities and expansion, strategic acquisitions or investments, expenses, dividends, share repurchases, and our mitigation strategies, liquidity, cash flow from operations, use of cash and cash requirements, investments, borrowing capacity and use of proceeds, repatriation of cash to the U.S., and the effect of the outbreak of a novel strain of the coronavirus (COVID-19) on our financial results. A forward-looking statement is neither a prediction nor a guarantee of future events or circumstances, and those future events or circumstances may not occur. You should not place undue reliance on forward-looking statements, which speak to our views only as of the date of this Annual Report. These forward-looking statements are all based on currently available operating, financial, and competitive information and are subject to various risks and uncertainties, many of which are unforeseeable and beyond our control, such as the developing situation, and uncertainty caused, related to the COVID-19 pandemic. Additional risks and uncertainties that we do not presently know about or that we currently consider to be insignificant may also affect our business operations and financial performance.</w:t>
      </w:r>
    </w:p>
    <w:p>
      <w:pPr>
        <w:spacing w:after="0" w:line="148" w:lineRule="exact"/>
        <w:rPr>
          <w:sz w:val="20"/>
          <w:szCs w:val="20"/>
          <w:color w:val="auto"/>
        </w:rPr>
      </w:pPr>
    </w:p>
    <w:p>
      <w:pPr>
        <w:jc w:val="both"/>
        <w:ind w:left="60" w:right="59"/>
        <w:spacing w:after="0"/>
        <w:rPr>
          <w:sz w:val="20"/>
          <w:szCs w:val="20"/>
          <w:color w:val="auto"/>
        </w:rPr>
      </w:pPr>
      <w:r>
        <w:rPr>
          <w:rFonts w:ascii="Arial" w:cs="Arial" w:eastAsia="Arial" w:hAnsi="Arial"/>
          <w:sz w:val="17"/>
          <w:szCs w:val="17"/>
          <w:color w:val="auto"/>
        </w:rPr>
        <w:t>Our actual future results and trends may differ materially depending on a variety of factors, including, but not limited to, the risks and uncertainties discussed under “Risk Factors” and “Management’s Discussion and Analysis of Financial Condition and Results of Operations.” Given these risks and uncertainties, you should not rely on forward-looking statements as a prediction of actual results. Any or all of the forward-looking statements contained in this Annual Report or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1205230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7"/>
          <w:szCs w:val="17"/>
          <w:color w:val="auto"/>
        </w:rPr>
        <w:t>PART I</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 Business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General</w:t>
      </w:r>
    </w:p>
    <w:p>
      <w:pPr>
        <w:spacing w:after="0" w:line="18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Foot Locker, Inc., incorporated under the laws of the State of New York in 1989, is a leading global retailer. Foot Locker, Inc. leads the celebration of sneaker and youth culture around the globe through a portfolio of brands including Foot Locker, Lady Foot Locker, Kids Foot Locker, Champs Sports, Eastbay, Footaction, Runners Point, and Sidestep. As of February 1, 2020, we operated 3,129 primarily mall-based stores, as well as stores in high-traffic urban retail areas and high streets, in 27 countries across the United States, Canada, Europe, Australia, New Zealand, and Asia. Our purpose is to inspire and empower youth culture around the world, by fueling a shared passion for self-expression and creating unrivaled experiences at the heart of the global sneaker community.</w:t>
      </w:r>
    </w:p>
    <w:p>
      <w:pPr>
        <w:spacing w:after="0" w:line="151"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Foot Locker, Inc. uses its omni-channel capabilities to bridge the digital world and physical stores, including order-in-store, buy online and pickup-in-store, and buy online and ship-from-store, as well as e-commerce. We operate websites and mobile apps aligned with the brand names of our store banners (including footlocker.com, ladyfootlocker.com, kidsfootlocker.com, champssports.com, footaction.com, footlocker.ca, footlocker.eu (and related e-commerce sites in the various European countries that we operate) footlocker.com.au, runnerspoint.com, sidestep-shoes.com, footlocker.hk, footlocker.sg, and footlocker.my). These sites offer some of the largest online product selections and provide a seamless link between e-commerce and physical stores. We also operate the websites for eastbay.com, final-score.com, and eastbayteamsales.com.</w:t>
      </w:r>
    </w:p>
    <w:p>
      <w:pPr>
        <w:spacing w:after="0" w:line="16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Foot Locker, Inc. and its subsidiaries hereafter are referred to as the “Registrant,” “Company,” “we,” “our,” or “us.” Foot Locker, Inc. has its corporate headquarters in New York. The service marks, trade names, and trademarks appearing in this report (except for Nike, Jordan, adidas, and Puma) are owned by Foot Locker, Inc. or its subsidiaries.</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3000" w:type="dxa"/>
            <w:vAlign w:val="bottom"/>
            <w:gridSpan w:val="2"/>
          </w:tcPr>
          <w:p>
            <w:pPr>
              <w:spacing w:after="0"/>
              <w:rPr>
                <w:sz w:val="20"/>
                <w:szCs w:val="20"/>
                <w:color w:val="auto"/>
              </w:rPr>
            </w:pPr>
            <w:r>
              <w:rPr>
                <w:rFonts w:ascii="Arial" w:cs="Arial" w:eastAsia="Arial" w:hAnsi="Arial"/>
                <w:sz w:val="17"/>
                <w:szCs w:val="17"/>
                <w:b w:val="1"/>
                <w:bCs w:val="1"/>
                <w:color w:val="auto"/>
              </w:rPr>
              <w:t>Store and Operations Profile</w:t>
            </w: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gridSpan w:val="2"/>
            <w:vMerge w:val="restart"/>
          </w:tcPr>
          <w:p>
            <w:pPr>
              <w:jc w:val="right"/>
              <w:ind w:right="75"/>
              <w:spacing w:after="0"/>
              <w:rPr>
                <w:sz w:val="20"/>
                <w:szCs w:val="20"/>
                <w:color w:val="auto"/>
              </w:rPr>
            </w:pPr>
            <w:r>
              <w:rPr>
                <w:rFonts w:ascii="Arial" w:cs="Arial" w:eastAsia="Arial" w:hAnsi="Arial"/>
                <w:sz w:val="17"/>
                <w:szCs w:val="17"/>
                <w:b w:val="1"/>
                <w:bCs w:val="1"/>
                <w:color w:val="auto"/>
              </w:rPr>
              <w:t>Square Footage</w:t>
            </w:r>
          </w:p>
        </w:tc>
        <w:tc>
          <w:tcPr>
            <w:tcW w:w="0" w:type="dxa"/>
            <w:vAlign w:val="bottom"/>
          </w:tcPr>
          <w:p>
            <w:pPr>
              <w:spacing w:after="0"/>
              <w:rPr>
                <w:sz w:val="1"/>
                <w:szCs w:val="1"/>
                <w:color w:val="auto"/>
              </w:rPr>
            </w:pPr>
          </w:p>
        </w:tc>
      </w:tr>
      <w:tr>
        <w:trPr>
          <w:trHeight w:val="198"/>
        </w:trPr>
        <w:tc>
          <w:tcPr>
            <w:tcW w:w="1780" w:type="dxa"/>
            <w:vAlign w:val="bottom"/>
          </w:tcPr>
          <w:p>
            <w:pPr>
              <w:spacing w:after="0"/>
              <w:rPr>
                <w:sz w:val="16"/>
                <w:szCs w:val="16"/>
                <w:color w:val="auto"/>
              </w:rPr>
            </w:pPr>
          </w:p>
        </w:tc>
        <w:tc>
          <w:tcPr>
            <w:tcW w:w="1220" w:type="dxa"/>
            <w:vAlign w:val="bottom"/>
            <w:vMerge w:val="restart"/>
          </w:tcPr>
          <w:p>
            <w:pPr>
              <w:jc w:val="right"/>
              <w:ind w:right="35"/>
              <w:spacing w:after="0"/>
              <w:rPr>
                <w:sz w:val="20"/>
                <w:szCs w:val="20"/>
                <w:color w:val="auto"/>
              </w:rPr>
            </w:pPr>
            <w:r>
              <w:rPr>
                <w:rFonts w:ascii="Arial" w:cs="Arial" w:eastAsia="Arial" w:hAnsi="Arial"/>
                <w:sz w:val="17"/>
                <w:szCs w:val="17"/>
                <w:color w:val="auto"/>
              </w:rPr>
              <w:t>February 3,</w:t>
            </w: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February 1,</w:t>
            </w:r>
          </w:p>
        </w:tc>
        <w:tc>
          <w:tcPr>
            <w:tcW w:w="138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Relocations/</w:t>
            </w:r>
          </w:p>
        </w:tc>
        <w:tc>
          <w:tcPr>
            <w:tcW w:w="16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600" w:type="dxa"/>
            <w:vAlign w:val="bottom"/>
            <w:gridSpan w:val="2"/>
          </w:tcPr>
          <w:p>
            <w:pPr>
              <w:jc w:val="right"/>
              <w:ind w:right="135"/>
              <w:spacing w:after="0" w:line="156" w:lineRule="exact"/>
              <w:rPr>
                <w:sz w:val="20"/>
                <w:szCs w:val="20"/>
                <w:color w:val="auto"/>
              </w:rPr>
            </w:pPr>
            <w:r>
              <w:rPr>
                <w:rFonts w:ascii="Arial" w:cs="Arial" w:eastAsia="Arial" w:hAnsi="Arial"/>
                <w:sz w:val="17"/>
                <w:szCs w:val="17"/>
                <w:b w:val="1"/>
                <w:bCs w:val="1"/>
                <w:color w:val="auto"/>
              </w:rPr>
              <w:t>(in thousands)</w:t>
            </w:r>
          </w:p>
        </w:tc>
        <w:tc>
          <w:tcPr>
            <w:tcW w:w="0" w:type="dxa"/>
            <w:vAlign w:val="bottom"/>
          </w:tcPr>
          <w:p>
            <w:pPr>
              <w:spacing w:after="0"/>
              <w:rPr>
                <w:sz w:val="1"/>
                <w:szCs w:val="1"/>
                <w:color w:val="auto"/>
              </w:rPr>
            </w:pPr>
          </w:p>
        </w:tc>
      </w:tr>
      <w:tr>
        <w:trPr>
          <w:trHeight w:val="215"/>
        </w:trPr>
        <w:tc>
          <w:tcPr>
            <w:tcW w:w="17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2019</w:t>
            </w:r>
          </w:p>
        </w:tc>
        <w:tc>
          <w:tcPr>
            <w:tcW w:w="9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Opened</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Closed</w:t>
            </w:r>
          </w:p>
        </w:tc>
        <w:tc>
          <w:tcPr>
            <w:tcW w:w="11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2020</w:t>
            </w:r>
          </w:p>
        </w:tc>
        <w:tc>
          <w:tcPr>
            <w:tcW w:w="13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Remodels</w:t>
            </w: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Selling</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Gross</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Foot Locker U.S.</w:t>
            </w:r>
          </w:p>
        </w:tc>
        <w:tc>
          <w:tcPr>
            <w:tcW w:w="12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886</w:t>
            </w:r>
          </w:p>
        </w:tc>
        <w:tc>
          <w:tcPr>
            <w:tcW w:w="90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10</w:t>
            </w:r>
          </w:p>
        </w:tc>
        <w:tc>
          <w:tcPr>
            <w:tcW w:w="8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29</w:t>
            </w:r>
          </w:p>
        </w:tc>
        <w:tc>
          <w:tcPr>
            <w:tcW w:w="11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867</w:t>
            </w:r>
          </w:p>
        </w:tc>
        <w:tc>
          <w:tcPr>
            <w:tcW w:w="138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b w:val="1"/>
                <w:bCs w:val="1"/>
                <w:color w:val="auto"/>
              </w:rPr>
              <w:t>37</w:t>
            </w:r>
          </w:p>
        </w:tc>
        <w:tc>
          <w:tcPr>
            <w:tcW w:w="80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2,403</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4,191</w:t>
            </w:r>
          </w:p>
        </w:tc>
        <w:tc>
          <w:tcPr>
            <w:tcW w:w="0" w:type="dxa"/>
            <w:vAlign w:val="bottom"/>
          </w:tcPr>
          <w:p>
            <w:pPr>
              <w:spacing w:after="0"/>
              <w:rPr>
                <w:sz w:val="1"/>
                <w:szCs w:val="1"/>
                <w:color w:val="auto"/>
              </w:rPr>
            </w:pPr>
          </w:p>
        </w:tc>
      </w:tr>
      <w:tr>
        <w:trPr>
          <w:trHeight w:val="189"/>
        </w:trPr>
        <w:tc>
          <w:tcPr>
            <w:tcW w:w="1780" w:type="dxa"/>
            <w:vAlign w:val="bottom"/>
          </w:tcPr>
          <w:p>
            <w:pPr>
              <w:spacing w:after="0" w:line="189" w:lineRule="exact"/>
              <w:rPr>
                <w:sz w:val="20"/>
                <w:szCs w:val="20"/>
                <w:color w:val="auto"/>
              </w:rPr>
            </w:pPr>
            <w:r>
              <w:rPr>
                <w:rFonts w:ascii="Arial" w:cs="Arial" w:eastAsia="Arial" w:hAnsi="Arial"/>
                <w:sz w:val="17"/>
                <w:szCs w:val="17"/>
                <w:color w:val="auto"/>
              </w:rPr>
              <w:t>Foot Locker Europe</w:t>
            </w: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642</w:t>
            </w:r>
          </w:p>
        </w:tc>
        <w:tc>
          <w:tcPr>
            <w:tcW w:w="9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14</w:t>
            </w:r>
          </w:p>
        </w:tc>
        <w:tc>
          <w:tcPr>
            <w:tcW w:w="8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20</w:t>
            </w: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636</w:t>
            </w:r>
          </w:p>
        </w:tc>
        <w:tc>
          <w:tcPr>
            <w:tcW w:w="138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46</w:t>
            </w:r>
          </w:p>
        </w:tc>
        <w:tc>
          <w:tcPr>
            <w:tcW w:w="8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1,016</w:t>
            </w:r>
          </w:p>
        </w:tc>
        <w:tc>
          <w:tcPr>
            <w:tcW w:w="8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2,181</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Foot Locker Canada</w:t>
            </w: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107</w:t>
            </w:r>
          </w:p>
        </w:tc>
        <w:tc>
          <w:tcPr>
            <w:tcW w:w="9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w:t>
            </w:r>
          </w:p>
        </w:tc>
        <w:tc>
          <w:tcPr>
            <w:tcW w:w="11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105</w:t>
            </w:r>
          </w:p>
        </w:tc>
        <w:tc>
          <w:tcPr>
            <w:tcW w:w="13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b w:val="1"/>
                <w:bCs w:val="1"/>
                <w:color w:val="auto"/>
              </w:rPr>
              <w:t>12</w:t>
            </w:r>
          </w:p>
        </w:tc>
        <w:tc>
          <w:tcPr>
            <w:tcW w:w="8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263</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432</w:t>
            </w:r>
          </w:p>
        </w:tc>
        <w:tc>
          <w:tcPr>
            <w:tcW w:w="0" w:type="dxa"/>
            <w:vAlign w:val="bottom"/>
          </w:tcPr>
          <w:p>
            <w:pPr>
              <w:spacing w:after="0"/>
              <w:rPr>
                <w:sz w:val="1"/>
                <w:szCs w:val="1"/>
                <w:color w:val="auto"/>
              </w:rPr>
            </w:pPr>
          </w:p>
        </w:tc>
      </w:tr>
      <w:tr>
        <w:trPr>
          <w:trHeight w:val="189"/>
        </w:trPr>
        <w:tc>
          <w:tcPr>
            <w:tcW w:w="1780" w:type="dxa"/>
            <w:vAlign w:val="bottom"/>
          </w:tcPr>
          <w:p>
            <w:pPr>
              <w:spacing w:after="0" w:line="189" w:lineRule="exact"/>
              <w:rPr>
                <w:sz w:val="20"/>
                <w:szCs w:val="20"/>
                <w:color w:val="auto"/>
              </w:rPr>
            </w:pPr>
            <w:r>
              <w:rPr>
                <w:rFonts w:ascii="Arial" w:cs="Arial" w:eastAsia="Arial" w:hAnsi="Arial"/>
                <w:sz w:val="17"/>
                <w:szCs w:val="17"/>
                <w:color w:val="auto"/>
              </w:rPr>
              <w:t>Foot Locker Pacific</w:t>
            </w: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94</w:t>
            </w:r>
          </w:p>
        </w:tc>
        <w:tc>
          <w:tcPr>
            <w:tcW w:w="9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w:t>
            </w:r>
          </w:p>
        </w:tc>
        <w:tc>
          <w:tcPr>
            <w:tcW w:w="8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w:t>
            </w: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91</w:t>
            </w:r>
          </w:p>
        </w:tc>
        <w:tc>
          <w:tcPr>
            <w:tcW w:w="138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7</w:t>
            </w:r>
          </w:p>
        </w:tc>
        <w:tc>
          <w:tcPr>
            <w:tcW w:w="8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148</w:t>
            </w:r>
          </w:p>
        </w:tc>
        <w:tc>
          <w:tcPr>
            <w:tcW w:w="8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240</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Foot Locker Asia</w:t>
            </w: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w:t>
            </w:r>
          </w:p>
        </w:tc>
        <w:tc>
          <w:tcPr>
            <w:tcW w:w="9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9</w:t>
            </w:r>
          </w:p>
        </w:tc>
        <w:tc>
          <w:tcPr>
            <w:tcW w:w="8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14</w:t>
            </w:r>
          </w:p>
        </w:tc>
        <w:tc>
          <w:tcPr>
            <w:tcW w:w="13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42</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76</w:t>
            </w:r>
          </w:p>
        </w:tc>
        <w:tc>
          <w:tcPr>
            <w:tcW w:w="0" w:type="dxa"/>
            <w:vAlign w:val="bottom"/>
          </w:tcPr>
          <w:p>
            <w:pPr>
              <w:spacing w:after="0"/>
              <w:rPr>
                <w:sz w:val="1"/>
                <w:szCs w:val="1"/>
                <w:color w:val="auto"/>
              </w:rPr>
            </w:pPr>
          </w:p>
        </w:tc>
      </w:tr>
      <w:tr>
        <w:trPr>
          <w:trHeight w:val="189"/>
        </w:trPr>
        <w:tc>
          <w:tcPr>
            <w:tcW w:w="1780" w:type="dxa"/>
            <w:vAlign w:val="bottom"/>
          </w:tcPr>
          <w:p>
            <w:pPr>
              <w:spacing w:after="0" w:line="189" w:lineRule="exact"/>
              <w:rPr>
                <w:sz w:val="20"/>
                <w:szCs w:val="20"/>
                <w:color w:val="auto"/>
              </w:rPr>
            </w:pPr>
            <w:r>
              <w:rPr>
                <w:rFonts w:ascii="Arial" w:cs="Arial" w:eastAsia="Arial" w:hAnsi="Arial"/>
                <w:sz w:val="17"/>
                <w:szCs w:val="17"/>
                <w:color w:val="auto"/>
              </w:rPr>
              <w:t>Kids Foot Locker</w:t>
            </w: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428</w:t>
            </w:r>
          </w:p>
        </w:tc>
        <w:tc>
          <w:tcPr>
            <w:tcW w:w="9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12</w:t>
            </w:r>
          </w:p>
        </w:tc>
        <w:tc>
          <w:tcPr>
            <w:tcW w:w="8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9</w:t>
            </w: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431</w:t>
            </w:r>
          </w:p>
        </w:tc>
        <w:tc>
          <w:tcPr>
            <w:tcW w:w="138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11</w:t>
            </w:r>
          </w:p>
        </w:tc>
        <w:tc>
          <w:tcPr>
            <w:tcW w:w="8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740</w:t>
            </w:r>
          </w:p>
        </w:tc>
        <w:tc>
          <w:tcPr>
            <w:tcW w:w="8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1,278</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Lady Foot Locker</w:t>
            </w: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57</w:t>
            </w:r>
          </w:p>
        </w:tc>
        <w:tc>
          <w:tcPr>
            <w:tcW w:w="9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11</w:t>
            </w:r>
          </w:p>
        </w:tc>
        <w:tc>
          <w:tcPr>
            <w:tcW w:w="11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46</w:t>
            </w:r>
          </w:p>
        </w:tc>
        <w:tc>
          <w:tcPr>
            <w:tcW w:w="13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66</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110</w:t>
            </w:r>
          </w:p>
        </w:tc>
        <w:tc>
          <w:tcPr>
            <w:tcW w:w="0" w:type="dxa"/>
            <w:vAlign w:val="bottom"/>
          </w:tcPr>
          <w:p>
            <w:pPr>
              <w:spacing w:after="0"/>
              <w:rPr>
                <w:sz w:val="1"/>
                <w:szCs w:val="1"/>
                <w:color w:val="auto"/>
              </w:rPr>
            </w:pPr>
          </w:p>
        </w:tc>
      </w:tr>
      <w:tr>
        <w:trPr>
          <w:trHeight w:val="189"/>
        </w:trPr>
        <w:tc>
          <w:tcPr>
            <w:tcW w:w="1780" w:type="dxa"/>
            <w:vAlign w:val="bottom"/>
          </w:tcPr>
          <w:p>
            <w:pPr>
              <w:spacing w:after="0" w:line="189" w:lineRule="exact"/>
              <w:rPr>
                <w:sz w:val="20"/>
                <w:szCs w:val="20"/>
                <w:color w:val="auto"/>
              </w:rPr>
            </w:pPr>
            <w:r>
              <w:rPr>
                <w:rFonts w:ascii="Arial" w:cs="Arial" w:eastAsia="Arial" w:hAnsi="Arial"/>
                <w:sz w:val="17"/>
                <w:szCs w:val="17"/>
                <w:color w:val="auto"/>
              </w:rPr>
              <w:t>Champs Sports</w:t>
            </w: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535</w:t>
            </w:r>
          </w:p>
        </w:tc>
        <w:tc>
          <w:tcPr>
            <w:tcW w:w="9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8</w:t>
            </w:r>
          </w:p>
        </w:tc>
        <w:tc>
          <w:tcPr>
            <w:tcW w:w="8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7</w:t>
            </w: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536</w:t>
            </w:r>
          </w:p>
        </w:tc>
        <w:tc>
          <w:tcPr>
            <w:tcW w:w="138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26</w:t>
            </w:r>
          </w:p>
        </w:tc>
        <w:tc>
          <w:tcPr>
            <w:tcW w:w="8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1,930</w:t>
            </w:r>
          </w:p>
        </w:tc>
        <w:tc>
          <w:tcPr>
            <w:tcW w:w="8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2,999</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Footaction</w:t>
            </w: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250</w:t>
            </w:r>
          </w:p>
        </w:tc>
        <w:tc>
          <w:tcPr>
            <w:tcW w:w="9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3</w:t>
            </w:r>
          </w:p>
        </w:tc>
        <w:tc>
          <w:tcPr>
            <w:tcW w:w="8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8</w:t>
            </w:r>
          </w:p>
        </w:tc>
        <w:tc>
          <w:tcPr>
            <w:tcW w:w="11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245</w:t>
            </w:r>
          </w:p>
        </w:tc>
        <w:tc>
          <w:tcPr>
            <w:tcW w:w="13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b w:val="1"/>
                <w:bCs w:val="1"/>
                <w:color w:val="auto"/>
              </w:rPr>
              <w:t>7</w:t>
            </w:r>
          </w:p>
        </w:tc>
        <w:tc>
          <w:tcPr>
            <w:tcW w:w="8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777</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1,317</w:t>
            </w:r>
          </w:p>
        </w:tc>
        <w:tc>
          <w:tcPr>
            <w:tcW w:w="0" w:type="dxa"/>
            <w:vAlign w:val="bottom"/>
          </w:tcPr>
          <w:p>
            <w:pPr>
              <w:spacing w:after="0"/>
              <w:rPr>
                <w:sz w:val="1"/>
                <w:szCs w:val="1"/>
                <w:color w:val="auto"/>
              </w:rPr>
            </w:pPr>
          </w:p>
        </w:tc>
      </w:tr>
      <w:tr>
        <w:trPr>
          <w:trHeight w:val="189"/>
        </w:trPr>
        <w:tc>
          <w:tcPr>
            <w:tcW w:w="1780" w:type="dxa"/>
            <w:vAlign w:val="bottom"/>
          </w:tcPr>
          <w:p>
            <w:pPr>
              <w:spacing w:after="0" w:line="189" w:lineRule="exact"/>
              <w:rPr>
                <w:sz w:val="20"/>
                <w:szCs w:val="20"/>
                <w:color w:val="auto"/>
              </w:rPr>
            </w:pPr>
            <w:r>
              <w:rPr>
                <w:rFonts w:ascii="Arial" w:cs="Arial" w:eastAsia="Arial" w:hAnsi="Arial"/>
                <w:sz w:val="17"/>
                <w:szCs w:val="17"/>
                <w:color w:val="auto"/>
              </w:rPr>
              <w:t>Runners Point</w:t>
            </w: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107</w:t>
            </w:r>
          </w:p>
        </w:tc>
        <w:tc>
          <w:tcPr>
            <w:tcW w:w="9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w:t>
            </w:r>
          </w:p>
        </w:tc>
        <w:tc>
          <w:tcPr>
            <w:tcW w:w="8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27</w:t>
            </w: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81</w:t>
            </w:r>
          </w:p>
        </w:tc>
        <w:tc>
          <w:tcPr>
            <w:tcW w:w="138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2</w:t>
            </w:r>
          </w:p>
        </w:tc>
        <w:tc>
          <w:tcPr>
            <w:tcW w:w="8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105</w:t>
            </w:r>
          </w:p>
        </w:tc>
        <w:tc>
          <w:tcPr>
            <w:tcW w:w="8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185</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Sidestep</w:t>
            </w: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80</w:t>
            </w:r>
          </w:p>
        </w:tc>
        <w:tc>
          <w:tcPr>
            <w:tcW w:w="9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9</w:t>
            </w:r>
          </w:p>
        </w:tc>
        <w:tc>
          <w:tcPr>
            <w:tcW w:w="8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12</w:t>
            </w:r>
          </w:p>
        </w:tc>
        <w:tc>
          <w:tcPr>
            <w:tcW w:w="11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77</w:t>
            </w:r>
          </w:p>
        </w:tc>
        <w:tc>
          <w:tcPr>
            <w:tcW w:w="13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75</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137</w:t>
            </w:r>
          </w:p>
        </w:tc>
        <w:tc>
          <w:tcPr>
            <w:tcW w:w="0" w:type="dxa"/>
            <w:vAlign w:val="bottom"/>
          </w:tcPr>
          <w:p>
            <w:pPr>
              <w:spacing w:after="0"/>
              <w:rPr>
                <w:sz w:val="1"/>
                <w:szCs w:val="1"/>
                <w:color w:val="auto"/>
              </w:rPr>
            </w:pPr>
          </w:p>
        </w:tc>
      </w:tr>
      <w:tr>
        <w:trPr>
          <w:trHeight w:val="189"/>
        </w:trPr>
        <w:tc>
          <w:tcPr>
            <w:tcW w:w="17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SIX:02</w:t>
            </w:r>
          </w:p>
        </w:tc>
        <w:tc>
          <w:tcPr>
            <w:tcW w:w="12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30</w:t>
            </w:r>
          </w:p>
        </w:tc>
        <w:tc>
          <w:tcPr>
            <w:tcW w:w="90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30</w:t>
            </w:r>
          </w:p>
        </w:tc>
        <w:tc>
          <w:tcPr>
            <w:tcW w:w="11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tcPr>
          <w:p>
            <w:pPr>
              <w:jc w:val="right"/>
              <w:ind w:right="195"/>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17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w:t>
            </w:r>
          </w:p>
        </w:tc>
        <w:tc>
          <w:tcPr>
            <w:tcW w:w="12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3,221</w:t>
            </w:r>
          </w:p>
        </w:tc>
        <w:tc>
          <w:tcPr>
            <w:tcW w:w="90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67</w:t>
            </w:r>
          </w:p>
        </w:tc>
        <w:tc>
          <w:tcPr>
            <w:tcW w:w="8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159</w:t>
            </w:r>
          </w:p>
        </w:tc>
        <w:tc>
          <w:tcPr>
            <w:tcW w:w="11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3,129</w:t>
            </w:r>
          </w:p>
        </w:tc>
        <w:tc>
          <w:tcPr>
            <w:tcW w:w="1380" w:type="dxa"/>
            <w:vAlign w:val="bottom"/>
            <w:tcBorders>
              <w:bottom w:val="single" w:sz="8" w:color="auto"/>
            </w:tcBorders>
            <w:shd w:val="clear" w:color="auto" w:fill="CCEEFF"/>
          </w:tcPr>
          <w:p>
            <w:pPr>
              <w:jc w:val="right"/>
              <w:ind w:right="195"/>
              <w:spacing w:after="0" w:line="183" w:lineRule="exact"/>
              <w:rPr>
                <w:sz w:val="20"/>
                <w:szCs w:val="20"/>
                <w:color w:val="auto"/>
              </w:rPr>
            </w:pPr>
            <w:r>
              <w:rPr>
                <w:rFonts w:ascii="Arial" w:cs="Arial" w:eastAsia="Arial" w:hAnsi="Arial"/>
                <w:sz w:val="17"/>
                <w:szCs w:val="17"/>
                <w:b w:val="1"/>
                <w:bCs w:val="1"/>
                <w:color w:val="auto"/>
              </w:rPr>
              <w:t>148</w:t>
            </w:r>
          </w:p>
        </w:tc>
        <w:tc>
          <w:tcPr>
            <w:tcW w:w="80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7,565</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13,146</w:t>
            </w: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is a brief description of each of our banners:</w:t>
      </w:r>
    </w:p>
    <w:p>
      <w:pPr>
        <w:spacing w:after="0" w:line="15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i w:val="1"/>
          <w:iCs w:val="1"/>
          <w:color w:val="auto"/>
        </w:rPr>
        <w:t xml:space="preserve">Foot Locker — </w:t>
      </w:r>
      <w:r>
        <w:rPr>
          <w:rFonts w:ascii="Arial" w:cs="Arial" w:eastAsia="Arial" w:hAnsi="Arial"/>
          <w:sz w:val="17"/>
          <w:szCs w:val="17"/>
          <w:color w:val="auto"/>
        </w:rPr>
        <w:t>Foot Locker is a leading global youth culture brand that connects the sneaker obsessed 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most innovative and culturally relevant sneakers and apparel. Across all our consumer touchpoints, Foot Locker enables consumers to fulfill their desire to be part of sneaker and youth culture. We curate special product assortments and marketing content that supports our premium position – from leading global brands such as Nike, Jordan, adidas, and Puma, as well as new and emerging brands in the athletic and lifestyle space. We connect emotionally with our consumers through a combination of global brand events and highly targeted and personalized experiences in local markets including our community-based “power” stores, which provides pinnacle retail experiences that delivers connected customer interactions through service, experience, product, and a sense of community. Foot Locker’s 1,713 stores are located in 27 countries including 867 in the United States, Puerto Rico, U.S. Virgin Islands, and Guam, 105 in Canada, 636 in Europe, a combined 91 in Australia and New Zealand, and 14 in Asia. Our domestic stores have an average of 2,800 selling square feet and our international stores have an average of 1,700 selling square feet.</w:t>
      </w:r>
    </w:p>
    <w:p>
      <w:pPr>
        <w:spacing w:after="0" w:line="168"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2019 Form 10-K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051" w:right="1440" w:bottom="1440" w:gutter="0" w:footer="0" w:header="0"/>
        </w:sectPr>
      </w:pPr>
    </w:p>
    <w:bookmarkStart w:id="4" w:name="page5"/>
    <w:bookmarkEnd w:id="4"/>
    <w:p>
      <w:pPr>
        <w:jc w:val="both"/>
        <w:ind w:left="60" w:right="59"/>
        <w:spacing w:after="0"/>
        <w:rPr>
          <w:sz w:val="20"/>
          <w:szCs w:val="20"/>
          <w:color w:val="auto"/>
        </w:rPr>
      </w:pPr>
      <w:r>
        <w:rPr>
          <w:rFonts w:ascii="Arial" w:cs="Arial" w:eastAsia="Arial" w:hAnsi="Arial"/>
          <w:sz w:val="17"/>
          <w:szCs w:val="17"/>
          <w:i w:val="1"/>
          <w:iCs w:val="1"/>
          <w:color w:val="auto"/>
        </w:rPr>
        <w:t xml:space="preserve">Kids Foot Locker — </w:t>
      </w:r>
      <w:r>
        <w:rPr>
          <w:rFonts w:ascii="Arial" w:cs="Arial" w:eastAsia="Arial" w:hAnsi="Arial"/>
          <w:sz w:val="17"/>
          <w:szCs w:val="17"/>
          <w:color w:val="auto"/>
        </w:rPr>
        <w:t>Kids Foot Locker offers the largest selection of premium brand-name athletic footwear, apparel,</w:t>
      </w:r>
      <w:r>
        <w:rPr>
          <w:rFonts w:ascii="Arial" w:cs="Arial" w:eastAsia="Arial" w:hAnsi="Arial"/>
          <w:sz w:val="17"/>
          <w:szCs w:val="17"/>
          <w:i w:val="1"/>
          <w:iCs w:val="1"/>
          <w:color w:val="auto"/>
        </w:rPr>
        <w:t xml:space="preserve"> </w:t>
      </w:r>
      <w:r>
        <w:rPr>
          <w:rFonts w:ascii="Arial" w:cs="Arial" w:eastAsia="Arial" w:hAnsi="Arial"/>
          <w:sz w:val="17"/>
          <w:szCs w:val="17"/>
          <w:color w:val="auto"/>
        </w:rPr>
        <w:t>and accessories for children. Kids Foot Locker enables youth of all ages to participate in sneaker culture and helps their parents shop in a curated environment with only the best assortment in stores and online. Of our 431 stores, 376 are located in the United States, Puerto Rico, and the U.S. Virgin Islands, 37 in Europe, 16 in Canada, 1 in Australia, and 1 in New Zealand. These stores have an average of 1,700 selling square feet.</w:t>
      </w:r>
    </w:p>
    <w:p>
      <w:pPr>
        <w:spacing w:after="0" w:line="130"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i w:val="1"/>
          <w:iCs w:val="1"/>
          <w:color w:val="auto"/>
        </w:rPr>
        <w:t xml:space="preserve">Lady Foot Locker — </w:t>
      </w:r>
      <w:r>
        <w:rPr>
          <w:rFonts w:ascii="Arial" w:cs="Arial" w:eastAsia="Arial" w:hAnsi="Arial"/>
          <w:sz w:val="17"/>
          <w:szCs w:val="17"/>
          <w:color w:val="auto"/>
        </w:rPr>
        <w:t>Lady Foot Locker is a U.S. retailer of athletic footwear, apparel, and accessories dedicated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sneaker-obsessed young women. Our stores provide premium sneakers and apparel, carefully selected to reflect the latest styles. Lady Foot Locker operates 46 stores that are located in the United States and Puerto Rico. These stores have an average of 1,400 selling square feet.</w:t>
      </w:r>
    </w:p>
    <w:p>
      <w:pPr>
        <w:spacing w:after="0" w:line="14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i w:val="1"/>
          <w:iCs w:val="1"/>
          <w:color w:val="auto"/>
        </w:rPr>
        <w:t xml:space="preserve">Champs Sports — </w:t>
      </w:r>
      <w:r>
        <w:rPr>
          <w:rFonts w:ascii="Arial" w:cs="Arial" w:eastAsia="Arial" w:hAnsi="Arial"/>
          <w:sz w:val="17"/>
          <w:szCs w:val="17"/>
          <w:color w:val="auto"/>
        </w:rPr>
        <w:t>Champs Sports is one of the largest mall-based specialty athletic footwear and apparel retailers in</w:t>
      </w:r>
      <w:r>
        <w:rPr>
          <w:rFonts w:ascii="Arial" w:cs="Arial" w:eastAsia="Arial" w:hAnsi="Arial"/>
          <w:sz w:val="17"/>
          <w:szCs w:val="17"/>
          <w:i w:val="1"/>
          <w:iCs w:val="1"/>
          <w:color w:val="auto"/>
        </w:rPr>
        <w:t xml:space="preserve"> </w:t>
      </w:r>
      <w:r>
        <w:rPr>
          <w:rFonts w:ascii="Arial" w:cs="Arial" w:eastAsia="Arial" w:hAnsi="Arial"/>
          <w:sz w:val="17"/>
          <w:szCs w:val="17"/>
          <w:color w:val="auto"/>
        </w:rPr>
        <w:t>North America. With a focus on the lifestyle expression of sport, Champs Sports’ product categories include athletic footwear and apparel, and sport-lifestyle inspired accessories. This assortment allows Champs Sports to offer the best head-to-toe fashion stories representing the most powerful athletic brands, sports teams, and athletes in North America. Of our 536 stores, 503 are located in the United States, Puerto Rico, and the U.S. Virgin Islands and 33 in Canada. The Champs Sports stores have an average of 3,600 selling square feet.</w:t>
      </w:r>
    </w:p>
    <w:p>
      <w:pPr>
        <w:spacing w:after="0" w:line="146"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i w:val="1"/>
          <w:iCs w:val="1"/>
          <w:color w:val="auto"/>
        </w:rPr>
        <w:t xml:space="preserve">Footaction — </w:t>
      </w:r>
      <w:r>
        <w:rPr>
          <w:rFonts w:ascii="Arial" w:cs="Arial" w:eastAsia="Arial" w:hAnsi="Arial"/>
          <w:sz w:val="17"/>
          <w:szCs w:val="17"/>
          <w:color w:val="auto"/>
        </w:rPr>
        <w:t>Footaction is a North American athletic footwear and apparel retailer that offers the freshest, best edited</w:t>
      </w:r>
      <w:r>
        <w:rPr>
          <w:rFonts w:ascii="Arial" w:cs="Arial" w:eastAsia="Arial" w:hAnsi="Arial"/>
          <w:sz w:val="17"/>
          <w:szCs w:val="17"/>
          <w:i w:val="1"/>
          <w:iCs w:val="1"/>
          <w:color w:val="auto"/>
        </w:rPr>
        <w:t xml:space="preserve"> </w:t>
      </w:r>
      <w:r>
        <w:rPr>
          <w:rFonts w:ascii="Arial" w:cs="Arial" w:eastAsia="Arial" w:hAnsi="Arial"/>
          <w:sz w:val="17"/>
          <w:szCs w:val="17"/>
          <w:color w:val="auto"/>
        </w:rPr>
        <w:t>selection of athletic lifestyle brands and looks. This banner is uniquely positioned at the intersection of sport and style, with a focus on authentic, premium product. Of our 245 stores, 240 are located in the United States and Puerto Rico and 5 are in Canada. The Footaction stores have an average of 3,200 selling square feet.</w:t>
      </w:r>
    </w:p>
    <w:p>
      <w:pPr>
        <w:spacing w:after="0" w:line="126" w:lineRule="exact"/>
        <w:rPr>
          <w:sz w:val="20"/>
          <w:szCs w:val="20"/>
          <w:color w:val="auto"/>
        </w:rPr>
      </w:pPr>
    </w:p>
    <w:p>
      <w:pPr>
        <w:jc w:val="both"/>
        <w:ind w:left="60" w:right="59"/>
        <w:spacing w:after="0"/>
        <w:rPr>
          <w:sz w:val="20"/>
          <w:szCs w:val="20"/>
          <w:color w:val="auto"/>
        </w:rPr>
      </w:pPr>
      <w:r>
        <w:rPr>
          <w:rFonts w:ascii="Arial" w:cs="Arial" w:eastAsia="Arial" w:hAnsi="Arial"/>
          <w:sz w:val="17"/>
          <w:szCs w:val="17"/>
          <w:i w:val="1"/>
          <w:iCs w:val="1"/>
          <w:color w:val="auto"/>
        </w:rPr>
        <w:t xml:space="preserve">Runners Point — </w:t>
      </w:r>
      <w:r>
        <w:rPr>
          <w:rFonts w:ascii="Arial" w:cs="Arial" w:eastAsia="Arial" w:hAnsi="Arial"/>
          <w:sz w:val="17"/>
          <w:szCs w:val="17"/>
          <w:color w:val="auto"/>
        </w:rPr>
        <w:t>Runners Point specializes in running footwear, apparel, and equipment for both performance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lifestyle purposes. This banner offers athletically inspired premium products and personalized service. Runners Point also caters to local running communities providing technical products, training tips and access to local running and group events, while also serving their lifestyle running needs. Our 81 stores are located in Germany, Austria, and Switzerland. Runners Point stores have an average of 1,300 selling square feet.</w:t>
      </w:r>
    </w:p>
    <w:p>
      <w:pPr>
        <w:spacing w:after="0" w:line="143"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7"/>
          <w:szCs w:val="17"/>
          <w:i w:val="1"/>
          <w:iCs w:val="1"/>
          <w:color w:val="auto"/>
        </w:rPr>
        <w:t xml:space="preserve">Sidestep — </w:t>
      </w:r>
      <w:r>
        <w:rPr>
          <w:rFonts w:ascii="Arial" w:cs="Arial" w:eastAsia="Arial" w:hAnsi="Arial"/>
          <w:sz w:val="17"/>
          <w:szCs w:val="17"/>
          <w:color w:val="auto"/>
        </w:rPr>
        <w:t>Sidestep is a predominantly athletic fashion footwear banner. Our 77 stores are located in Germany,</w:t>
      </w:r>
      <w:r>
        <w:rPr>
          <w:rFonts w:ascii="Arial" w:cs="Arial" w:eastAsia="Arial" w:hAnsi="Arial"/>
          <w:sz w:val="17"/>
          <w:szCs w:val="17"/>
          <w:i w:val="1"/>
          <w:iCs w:val="1"/>
          <w:color w:val="auto"/>
        </w:rPr>
        <w:t xml:space="preserve"> </w:t>
      </w:r>
      <w:r>
        <w:rPr>
          <w:rFonts w:ascii="Arial" w:cs="Arial" w:eastAsia="Arial" w:hAnsi="Arial"/>
          <w:sz w:val="17"/>
          <w:szCs w:val="17"/>
          <w:color w:val="auto"/>
        </w:rPr>
        <w:t>Austria, Netherlands, and Switzerland. Sidestep caters to a more discerning, fashion forward consumer. Sidestep stores have an average of 1,000 selling square feet.</w:t>
      </w:r>
    </w:p>
    <w:p>
      <w:pPr>
        <w:spacing w:after="0" w:line="168"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We closed the SIX:02 banner during 2019 and we will focus on providing our female customer an engaging retail experience through our other banners.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i w:val="1"/>
          <w:iCs w:val="1"/>
          <w:u w:val="single" w:color="auto"/>
          <w:color w:val="auto"/>
        </w:rPr>
        <w:t>Eastbay</w:t>
      </w:r>
    </w:p>
    <w:p>
      <w:pPr>
        <w:spacing w:after="0" w:line="18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Eastbay is a sporting goods direct marketer operating in the United States, providing high school and other athletes with a complete sports solution including athletic footwear, apparel, equipment, and team licensed merchandise for a broad range of sports. With over 100 sales professionals, Eastbay Team Sales connects directly with thousands of high school coaches and athletic directors in the Unites States in offering the best performance product and premium level of service.</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7"/>
          <w:szCs w:val="17"/>
          <w:i w:val="1"/>
          <w:iCs w:val="1"/>
          <w:u w:val="single" w:color="auto"/>
          <w:color w:val="auto"/>
        </w:rPr>
        <w:t>Franchise Operations</w:t>
      </w:r>
    </w:p>
    <w:p>
      <w:pPr>
        <w:spacing w:after="0" w:line="18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We have franchised Foot Locker stores located within the Middle East, as well as franchised stores in Germany under the Runners Point banner. A total of 139 franchised stores were operating as of February 1, 2020, 9 in Germany and 130 in the Middle East, of which 52 are in Israel.</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Employees</w:t>
      </w:r>
    </w:p>
    <w:p>
      <w:pPr>
        <w:spacing w:after="0" w:line="176"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The Company and its consolidated subsidiaries had 15,589 full-time and 35,410 part-time employees as of February 1, 2020. The Company considers employee relations to be satisfactory.</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Competition</w:t>
      </w:r>
    </w:p>
    <w:p>
      <w:pPr>
        <w:spacing w:after="0" w:line="189"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The athletic footwear and apparel industry is highly competitive. We compete primarily with athletic footwear specialty stores, sporting goods stores, department stores, traditional shoe stores, mass merchandisers, and online retailers.</w:t>
      </w:r>
    </w:p>
    <w:p>
      <w:pPr>
        <w:spacing w:after="0" w:line="14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2019 Form 10-K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31"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7"/>
          <w:szCs w:val="17"/>
          <w:b w:val="1"/>
          <w:bCs w:val="1"/>
          <w:color w:val="auto"/>
        </w:rPr>
        <w:t>Merchandise Purchases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 xml:space="preserve">Financial information concerning merchandise purchases is contained under the “Liquidity” section in “Item 7. Management’s Discussion and Analysis of Financial Condition and Results of Operations” and under the “Business Risk” section in the </w:t>
      </w:r>
      <w:r>
        <w:rPr>
          <w:rFonts w:ascii="Arial" w:cs="Arial" w:eastAsia="Arial" w:hAnsi="Arial"/>
          <w:sz w:val="17"/>
          <w:szCs w:val="17"/>
          <w:i w:val="1"/>
          <w:iCs w:val="1"/>
          <w:color w:val="auto"/>
        </w:rPr>
        <w:t>Financial Instruments and Risk Management</w:t>
      </w:r>
      <w:r>
        <w:rPr>
          <w:rFonts w:ascii="Arial" w:cs="Arial" w:eastAsia="Arial" w:hAnsi="Arial"/>
          <w:sz w:val="17"/>
          <w:szCs w:val="17"/>
          <w:color w:val="auto"/>
        </w:rPr>
        <w:t xml:space="preserve"> note in “Item 8. Consolidated Financial Statements and Supplementary Data.”</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Available Information</w:t>
      </w:r>
    </w:p>
    <w:p>
      <w:pPr>
        <w:spacing w:after="0" w:line="171"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7"/>
          <w:szCs w:val="17"/>
          <w:color w:val="auto"/>
        </w:rPr>
        <w:t xml:space="preserve">The Company maintains a corporate website at </w:t>
      </w:r>
      <w:r>
        <w:rPr>
          <w:rFonts w:ascii="Arial" w:cs="Arial" w:eastAsia="Arial" w:hAnsi="Arial"/>
          <w:sz w:val="17"/>
          <w:szCs w:val="17"/>
          <w:i w:val="1"/>
          <w:iCs w:val="1"/>
          <w:color w:val="auto"/>
        </w:rPr>
        <w:t>www.footlocker-inc.com</w:t>
      </w:r>
      <w:r>
        <w:rPr>
          <w:rFonts w:ascii="Arial" w:cs="Arial" w:eastAsia="Arial" w:hAnsi="Arial"/>
          <w:sz w:val="17"/>
          <w:szCs w:val="17"/>
          <w:color w:val="auto"/>
        </w:rPr>
        <w:t>. The Company’s filings with the U.S. Securities and Exchange Commission (the “SEC”), including its annual report on Form 10-K, quarterly reports on Form 10-Q, current reports on Form 8-K, and all amendments to those reports are available free of charge through this website as soon as reasonably practicable after they are filed with or furnished to the SEC. Our Corporate Social Responsibility disclosure is available to investors on our investor relations tab of our corporate website under the heading “Responsibility.” The Corporate Governance section of the Company’s corporate website contains the Company’s Corporate Governance Guidelines, Committee Charters, and the Company’s Code of Business Conduct for directors, officers and employees, including the Chief Executive Officer, Chief Financial Officer, and Chief Accounting Officer. Copies of these documents may also be obtained free of charge upon written request to the Company’s Corporate Secretary at 330 West 34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Street, New York, N.Y. 10001.</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1A. Risk Factors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Risks Related to Our Business and Industry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Our inability to implement our long-range strategic plan may adversely affect our future results.</w:t>
      </w:r>
    </w:p>
    <w:p>
      <w:pPr>
        <w:spacing w:after="0" w:line="176"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Our ability to successfully implement and execute our long-range strategic plan is dependent on many factors. Our strategies may require significant capital investment and management attention. Additionally, any new initiative is subject to certain risks including customer acceptance of our products and renovated store designs, competition, product differentiation, the ability to attract and retain qualified personnel, and our ability to successfully implement technological initiatives. If we cannot successfully execute our strategic growth initiatives or if the long-range plan does not adequately address the challenges or opportunities we face, our financial condition and results of operations may be adversely affected. Additionally, failure to meet shareholder expectations, particularly with respect to sales, operating margins, and earnings per share, would likely result in volatility in the market value of our stock.</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retail athletic footwear and apparel business is highly competitive.</w:t>
      </w:r>
    </w:p>
    <w:p>
      <w:pPr>
        <w:spacing w:after="0" w:line="18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Our athletic footwear and apparel operations compete primarily with athletic footwear specialty stores, sporting goods stores, department stores, traditional shoe stores, mass merchandisers, and online retailers, many of which are units of national or regional chains that have significant financial and marketing resources. The principal competitive factors in our markets are selection of merchandise, customer experience, reputation, store location, advertising, and price. We cannot assure that we will continue to be able to compete successfully against existing or future competitors. Our expansion into markets served by our competitors, and entry of new competitors or expansion of existing competitors into our markets, could have a material adverse effect on our business, financial condition, and results of operations.</w:t>
      </w:r>
    </w:p>
    <w:p>
      <w:pPr>
        <w:spacing w:after="0" w:line="15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Although we sell an increasing proportion of our merchandise online, a significantly faster shift in customer buying patterns to purchasing athletic footwear, athletic apparel, and sporting goods online could have a material adverse effect on our business results. In addition, all of our significant suppliers operate retail stores and distribute products directly through the internet and others may follow. Should this continue to occur or accelerate, and if our customers decide to purchase directly from our suppliers, it could have a material adverse effect on our business, financial condition, and results of operations.</w:t>
      </w:r>
    </w:p>
    <w:p>
      <w:pPr>
        <w:spacing w:after="0" w:line="141"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7"/>
          <w:szCs w:val="17"/>
          <w:b w:val="1"/>
          <w:bCs w:val="1"/>
          <w:color w:val="auto"/>
        </w:rPr>
        <w:t>A change in the relationship with any of our key suppliers or the unavailability of key products at competitive prices could affect our financial health.</w:t>
      </w:r>
    </w:p>
    <w:p>
      <w:pPr>
        <w:spacing w:after="0" w:line="13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Our business is dependent to a significant degree upon our ability to obtain premium product and the ability to purchase brand-name merchandise at competitive prices from a limited number of suppliers. In addition, we have negotiated volume discounts, cooperative advertising, and markdown allowances with our suppliers, as well as the ability to cancel orders and return excess or unneeded merchandise. We cannot be certain that such terms with our suppliers will continue in the future.</w:t>
      </w:r>
    </w:p>
    <w:p>
      <w:pPr>
        <w:spacing w:after="0" w:line="150"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2019 Form 10-K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6" w:name="page7"/>
    <w:bookmarkEnd w:id="6"/>
    <w:p>
      <w:pPr>
        <w:jc w:val="both"/>
        <w:ind w:left="60" w:right="59"/>
        <w:spacing w:after="0" w:line="233" w:lineRule="auto"/>
        <w:rPr>
          <w:sz w:val="20"/>
          <w:szCs w:val="20"/>
          <w:color w:val="auto"/>
        </w:rPr>
      </w:pPr>
      <w:r>
        <w:rPr>
          <w:rFonts w:ascii="Arial" w:cs="Arial" w:eastAsia="Arial" w:hAnsi="Arial"/>
          <w:sz w:val="17"/>
          <w:szCs w:val="17"/>
          <w:color w:val="auto"/>
        </w:rPr>
        <w:t>We purchased approximately 91 percent of our merchandise in 2019 from our top five suppliers and we expect to continue to obtain a significant percentage of our athletic product from these suppliers in future periods. Approximately 71 percent of all merchandise purchased in 2019 was purchased from one supplier — Nike, Inc. (“Nike”). Each of our operating divisions is highly dependent on Nike. Individually they purchased between 43 to 77 percent of their merchandise from Nike during the year. Merchandise that is high profile and in high demand is allocated by our suppliers based upon their internal criteria. Although we have generally been able to purchase sufficient quantities of this merchandise in the past, we cannot be certain that our suppliers will continue to allocate sufficient amounts to us in the future. Our inability to obtain merchandise in a timely manner from major suppliers as a result of business decisions by our suppliers, or any disruption in the supply chain, could have a material adverse effect on our business, financial condition, and results of operations. Because of the high proportion of purchases from Nike, any adverse development in Nike’s reputation, financial condition or results of operations or the inability of Nike to develop and manufacture products that appeal to our target customers could also have an adverse effect on our business, financial condition, and results of operations. We cannot be certain that we will be able to acquire merchandise at competitive prices or on competitive terms in the future. These risks could have a material adverse effect on our business, financial condition, and results of operations.</w:t>
      </w:r>
    </w:p>
    <w:p>
      <w:pPr>
        <w:spacing w:after="0" w:line="130"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7"/>
          <w:szCs w:val="17"/>
          <w:b w:val="1"/>
          <w:bCs w:val="1"/>
          <w:color w:val="auto"/>
        </w:rPr>
        <w:t>The industry in which we operate is dependent upon fashion trends, customer preferences, product innovations, and other fashion-related factors.</w:t>
      </w:r>
    </w:p>
    <w:p>
      <w:pPr>
        <w:spacing w:after="0" w:line="139"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The athletic footwear and apparel industry, especially at the premium end of the price spectrum, in which we operate, is subject to changing fashion trends and customer preferences. In addition, retailers in the athletic industry rely on their suppliers to maintain innovation in the products they develop. We cannot guarantee that our merchandise selection will accurately reflect customer preferences when it is offered for sale or that we will be able to identify and respond quickly to fashion changes, particularly given the long lead times for ordering much of our merchandise from suppliers. A substantial portion of our highest margin sales are to young males (ages 12–25), many of whom we believe purchase athletic footwear and athletic apparel as a fashion statement and are frequent purchasers. Our failure to anticipate, identify or react appropriately in a timely manner to changes in fashion trends that would make athletic footwear or athletic apparel less attractive to our customers could have a material adverse effect on our business, financial condition, and results of operations.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If we do not successfully manage our inventory levels, our operating results will be adversely affected.</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must maintain sufficient inventory levels to operate our business successfully. However, we also must guard against accumulating excess inventory. For example, we order most of our athletic footwear four to six months prior to delivery to our stores. If we fail to anticipate accurately either the market for the merchandise in our stores or our customers’ purchasing habits, we may be forced to rely on markdowns or promotional sales to dispose of excess or slow moving inventory, which could have a material adverse effect on our business, financial condition, and results of operations.</w:t>
      </w:r>
    </w:p>
    <w:p>
      <w:pPr>
        <w:spacing w:after="0" w:line="141"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b w:val="1"/>
          <w:bCs w:val="1"/>
          <w:color w:val="auto"/>
        </w:rPr>
        <w:t>Our financial condition and results of operations for 2020 will be adversely affected by the COVID-19 pandemic.</w:t>
      </w:r>
    </w:p>
    <w:p>
      <w:pPr>
        <w:spacing w:after="0" w:line="13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In December 2019, a novel strain of coronavirus (COVID-19) was reported to have surfaced in Wuhan, China. On March 18, 2020, in response to intensifying efforts to contain the spread of COVID-19, we temporarily closed our stores across all of our brands in North America, EMEA, and Malaysia – that includes Foot Locker, Lady Foot Locker, Kids Foot Locker, Footaction, Champs Sports, Runners Point, and Sidestep. On March 25, 2020, we closed our stores in New Zealand. The rest of the Company’s locations in the Asia Pacific region, which include Hong Kong, Singapore, and Australia, will remain open subject to direction from local and national governments. We continue to monitor the outbreak of COVID-19 and other closures may be required to help ensure the health and safety of our associates and our customers. We are also continuing to communicate with our suppliers regarding the flow of product and potential temporary effects on our supply chain. Given the dynamic nature of these circumstances, the duration of business disruption, and reduced customer traffic, the related financial affect cannot be reasonably estimated at this time but are expected to materially affect our business for the first quarter and full year of 2020. The extent to which COVID-19 affects our results, or those of our suppliers, will depend on future developments, which are highly uncertain and cannot be predicted, including new information which may emerge concerning the severity of COVID-19 and the actions and related costs to contain or treat it,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2019 Form 10-K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49"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7"/>
          <w:szCs w:val="17"/>
          <w:b w:val="1"/>
          <w:bCs w:val="1"/>
          <w:color w:val="auto"/>
        </w:rPr>
        <w:t>We are affected by mall traffic and our ability to secure suitable store locations.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Many of our stores, especially in North America, are located primarily in enclosed regional and neighborhood malls. Our sales are affected, in part, by the volume of mall traffic. Mall traffic may be adversely affected by, among other factors, economic downturns, the closing or continued decline of anchor department stores and/or specialty stores, and a decline in the popularity of mall shopping among our target customers.</w:t>
      </w:r>
    </w:p>
    <w:p>
      <w:pPr>
        <w:spacing w:after="0" w:line="16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Further, any terrorist act, natural disaster, public health issue, such as COVID-19, flu or other pandemics, or safety concern that decreases the level of mall traffic, or that affects our ability to open and operate stores in such locations, could have a material adverse effect on our business.</w:t>
      </w:r>
    </w:p>
    <w:p>
      <w:pPr>
        <w:spacing w:after="0" w:line="161"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To take advantage of customer traffic and the shopping preferences of our customers, we need to maintain or acquire stores in desirable locations such as in regional and neighborhood malls, as well as high-traffic urban retail areas and high streets. We cannot be certain that desirable locations will continue to be available at favorable rates. Some traditional enclosed malls are experiencing significantly lower levels of customer traffic, driven by economic conditions, the closure of certain mall anchor tenants, and changes in customer shopping preferences, such as online shopping. Further, some malls have closed, and others may close in the future. While we seek to obtain suitable locations off-mall there is no guarantee that we will be able to secure such locations.</w:t>
      </w:r>
    </w:p>
    <w:p>
      <w:pPr>
        <w:spacing w:after="0" w:line="15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Several large landlords dominate the ownership of prime malls and because of our dependence upon these landlords for a substantial number of our locations, any significant erosion of their financial condition or our relationships with them could negatively affect our ability to obtain and retain store locations. Additionally, further landlord consolidation may negatively affect our ability to negotiate favorable lease terms.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Our future growth may depend on our ability to expand operations in international markets.</w:t>
      </w:r>
    </w:p>
    <w:p>
      <w:pPr>
        <w:spacing w:after="0" w:line="1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Our future growth will depend, in part, on our ability to expand our business in additional international markets. As we expand into new international markets, we may have only limited experience in operating our business in such markets. In other instances, we may have to rely on the efforts and abilities of foreign business partners in such markets. In addition, business practices in these new international markets may be unlike those in the other markets we serve, and we may face increased exposure to certain risks. Our future growth may be materially adversely affected if we are unsuccessful in our international expansion efforts.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We may experience fluctuations in, and cyclicality of, our comparable-store sales results.</w:t>
      </w:r>
    </w:p>
    <w:p>
      <w:pPr>
        <w:spacing w:after="0" w:line="1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Our comparable-store sales have fluctuated significantly in the past, on both an annual and a quarterly basis, and we expect them to continue to fluctuate in the future. A variety of factors affect our comparable-store sales results, including, among others, fashion trends, product innovation, promotional events, the highly competitive retail sales environment, economic conditions, timing of income tax refunds, changes in our merchandise mix, calendar shifts of holiday periods, declines in foot traffic, supply chain disruptions, and weather conditions.</w:t>
      </w:r>
    </w:p>
    <w:p>
      <w:pPr>
        <w:spacing w:after="0" w:line="16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Many of our products represent discretionary purchases. Accordingly, customer demand for these products could decline in an economic downturn or if our customers develop other priorities for their discretionary spending. These risks could have a material adverse effect on our business, financial condition, and results of operations.</w:t>
      </w:r>
    </w:p>
    <w:p>
      <w:pPr>
        <w:spacing w:after="0" w:line="127"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7"/>
          <w:szCs w:val="17"/>
          <w:b w:val="1"/>
          <w:bCs w:val="1"/>
          <w:color w:val="auto"/>
        </w:rPr>
        <w:t>The effects of natural disasters, terrorism, acts of war, acts of violence, and public health issues may adversely affect our business.</w:t>
      </w:r>
    </w:p>
    <w:p>
      <w:pPr>
        <w:spacing w:after="0" w:line="13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Natural disasters, including earthquakes, hurricanes, floods, and tornadoes may affect store and distribution center operations. In addition, acts of terrorism, acts of war, and military action both in the United States and abroad can have a significant effect on economic conditions and may negatively affect our ability to purchase merchandise from suppliers for sale to our customers. Any act of violence, including active shooter situations and terrorist activities, that are targeted at or threatened against shopping malls, our stores, offices or distribution centers, could result in restricted access to our stores and/or store closures in the short-term and, in the long-term, may cause our customers and employees to avoid visiting our stores.</w:t>
      </w:r>
    </w:p>
    <w:p>
      <w:pPr>
        <w:spacing w:after="0" w:line="16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Public health issues, such as COVID-19, flu or other pandemics, whether occurring in the United States or abroad, could disrupt our operations and result in a significant part of our workforce being unable to operate or maintain our infrastructure or perform other tasks necessary to conduct our business. Additionally, public health issues may disrupt, or have an adverse effect on, our suppliers’ operations, our operations, our customers, or result in significantly lower traffic to or closure of our stores, or customer demand.</w:t>
      </w:r>
    </w:p>
    <w:p>
      <w:pPr>
        <w:spacing w:after="0" w:line="150"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2019 Form 10-K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8" w:name="page9"/>
    <w:bookmarkEnd w:id="8"/>
    <w:p>
      <w:pPr>
        <w:jc w:val="both"/>
        <w:ind w:left="60" w:right="59"/>
        <w:spacing w:after="0" w:line="238" w:lineRule="auto"/>
        <w:rPr>
          <w:sz w:val="20"/>
          <w:szCs w:val="20"/>
          <w:color w:val="auto"/>
        </w:rPr>
      </w:pPr>
      <w:r>
        <w:rPr>
          <w:rFonts w:ascii="Arial" w:cs="Arial" w:eastAsia="Arial" w:hAnsi="Arial"/>
          <w:sz w:val="17"/>
          <w:szCs w:val="17"/>
          <w:color w:val="auto"/>
        </w:rPr>
        <w:t>Our ability to mitigate the adverse effect of these events depends, in part, upon the effectiveness of our disaster preparedness and response planning as well as business continuity planning. However, we cannot be certain that our plans will be adequate or implemented properly in the event of an actual disaster.</w:t>
      </w:r>
    </w:p>
    <w:p>
      <w:pPr>
        <w:spacing w:after="0" w:line="14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Any significant declines in public safety or uncertainties regarding future economic prospects that affect customer spending habits could have a material adverse effect on customer purchases of our products. We may be required to suspend operations in some or all of our locations and incur significant costs to remediate concerns which could have a material adverse effect on our business, financial condition, and results of operations.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Technology, Data Security, and Privacy Risks</w:t>
      </w:r>
    </w:p>
    <w:p>
      <w:pPr>
        <w:spacing w:after="0" w:line="169"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7"/>
          <w:szCs w:val="17"/>
          <w:b w:val="1"/>
          <w:bCs w:val="1"/>
          <w:color w:val="auto"/>
        </w:rPr>
        <w:t>We are subject to technology risks including failures, security breaches, and cybersecurity risks that could harm our business, damage our reputation, and increase our costs in an effort to protect against these risks.</w:t>
      </w:r>
    </w:p>
    <w:p>
      <w:pPr>
        <w:spacing w:after="0" w:line="125"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Information technology is a critical part of our business operations. We depend on information systems to process transactions, make operational decisions, manage inventory, operate our websites,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or other causes.</w:t>
      </w:r>
    </w:p>
    <w:p>
      <w:pPr>
        <w:spacing w:after="0" w:line="16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invest in security technology to protect the data stored by us, including our data and business processes, against the risk of data security breaches and cyber-attacks. Our data security management program includes enforcement of standard data protection policies such as Payment Card Industry compliance. Additionally, we evaluate our major technology suppliers and any outsourced services through accepted security assessment measures. We maintain and routinely test backup systems and disaster recovery, along with external network security penetration testing by an independent third party as part of our business continuity preparedness.</w:t>
      </w:r>
    </w:p>
    <w:p>
      <w:pPr>
        <w:spacing w:after="0" w:line="161"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While we believe that our security technology and processes follow appropriate practices in the prevention of security breaches and the mitigation of cybersecurity risks, given the ever-increasing abilities of those intent on breaching cybersecurity measures and given the necessity of our reliance on the security procedures of third-party vendors, the total security effort at any point in time may not be completely effective. Any security breaches and cyber incidents could adversely affect our business. Failure of our systems, either internally or at our third-party providers, including failures due to cyber-attacks that would prevent the ability of systems to function as intended, could cause transaction errors, loss of customers and sales, and negative consequences to us, our employees, and those with whom we do business. Any security breach involving the misappropriation, loss, or other unauthorized disclosure of confidential information by us could also severely damage our reputation, expose us to the risks of litigation and liability, increase operating costs associated with remediation, and harm our business. While we carry insurance that would mitigate the losses, insurance may be insufficient to compensate us fully for potentially significant losses.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associated with digital operations.</w:t>
      </w:r>
    </w:p>
    <w:p>
      <w:pPr>
        <w:spacing w:after="0" w:line="18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Our digital operations are subject to numerous risks, including risks related to the failure of the computer systems that operate our websites, mobile sites, and apps and their related support systems, computer viruses, cybersecurity risks, telecommunications failures, denial of service attacks, bot attacks, and similar disruptions. Also, we will require additional capital in the future to sustain or grow our digital commerce business. Risks related to digital commerce include those associated with credit card fraud, the need to keep pace with rapid technological change, governmental regulation, and legal uncertainties with respect to internet regulatory compliance. If any of these risks materialize, it could have a material adverse effect on our business.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Privacy and data security concerns and regulation could result in additional costs and liabilities.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protection of customer, employee, and Company data is critical. The regulatory environment surrounding information security and privacy is demanding, with the frequent imposition of new and changing requirements. In addition, customers appear increasingly to have a high expectation that we will adequately protect their personal information. Any actual or perceived misappropriation or breach involving this data could attract negative media attention, cause harm to our reputation or result in liability (including but not limited to fines, penalties or lawsuits), any of which could have a material adverse effect on our business, operational results, financial position, and cash flows.</w:t>
      </w:r>
    </w:p>
    <w:p>
      <w:pPr>
        <w:spacing w:after="0" w:line="200" w:lineRule="exact"/>
        <w:rPr>
          <w:sz w:val="20"/>
          <w:szCs w:val="20"/>
          <w:color w:val="auto"/>
        </w:rPr>
      </w:pPr>
    </w:p>
    <w:p>
      <w:pPr>
        <w:spacing w:after="0" w:line="326"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2019 Form 10-K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49" w:right="1440" w:bottom="1440" w:gutter="0" w:footer="0" w:header="0"/>
        </w:sectPr>
      </w:pPr>
    </w:p>
    <w:bookmarkStart w:id="9" w:name="page10"/>
    <w:bookmarkEnd w:id="9"/>
    <w:p>
      <w:pPr>
        <w:jc w:val="both"/>
        <w:ind w:left="60" w:right="59"/>
        <w:spacing w:after="0" w:line="235" w:lineRule="auto"/>
        <w:rPr>
          <w:sz w:val="20"/>
          <w:szCs w:val="20"/>
          <w:color w:val="auto"/>
        </w:rPr>
      </w:pPr>
      <w:r>
        <w:rPr>
          <w:rFonts w:ascii="Arial" w:cs="Arial" w:eastAsia="Arial" w:hAnsi="Arial"/>
          <w:sz w:val="17"/>
          <w:szCs w:val="17"/>
          <w:color w:val="auto"/>
        </w:rPr>
        <w:t>The European Union (“E.U.”) adopted a comprehensive General Data Privacy Regulation (the “GDPR”), which became effective in May 2018. GDPR requires companies to satisfy new requirements regarding the handling of personal and sensitive data, including its use, protection, and the ability of persons whose data is stored to correct or delete data about themselves. Failure to comply with GDPR requirements could result in penalties of up to 4 percent of worldwide revenue.</w:t>
      </w:r>
    </w:p>
    <w:p>
      <w:pPr>
        <w:spacing w:after="0" w:line="150"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In addition, the State of California adopted the California Consumer Protection Act of 2018 ("CCPA"), which became effective January 1, 2020. The CCPA requires companies that process information on California residents to make new disclosures to consumers about their data collection, use and sharing practices, allows consumers to opt out of certain data sharing with third parties, and provides a new cause of action for data breaches. It remains unclear how the CCPA will be interpreted and the extent of its effect on our business. Some observers have noted that the CCPA could mark the beginning of a trend toward more stringent privacy legislation in the United States, which could increase our potential liability and adversely affect our business.</w:t>
      </w:r>
    </w:p>
    <w:p>
      <w:pPr>
        <w:spacing w:after="0" w:line="16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GDPR, CCPA and other similar laws and regulations, as well as any associated inquiries or investigations or any other government actions, may be costly to comply with, result in negative publicity, increase our operating costs, require significant management time and attention, and subject us to remedies that may harm our business, including fines or demands or orders that we modify or cease existing business practices. The laws and regulations relating to privacy and data security are evolving, can be subject to significant change and may result in ever-increasing regulatory and public scrutiny and escalating levels of enforcement and sanctions.</w:t>
      </w:r>
    </w:p>
    <w:p>
      <w:pPr>
        <w:spacing w:after="0" w:line="141"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7"/>
          <w:szCs w:val="17"/>
          <w:b w:val="1"/>
          <w:bCs w:val="1"/>
          <w:color w:val="auto"/>
        </w:rPr>
        <w:t>The technology enablement of omni-channel in our business is complex and involves the development of a new digital platform and a new order management system designed to enhance the complete customer experience.</w:t>
      </w:r>
    </w:p>
    <w:p>
      <w:pPr>
        <w:spacing w:after="0" w:line="141"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continue to invest in initiatives designed to deliver a high-quality, coordinated shopping experience online, in stores, and on mobile devices, which requires substantial investment in technology, information systems, and employee training, as well as significant management time and resources. Our omni-channel retailing efforts include the integration and implementation of new technology, software, and processes to be able to fulfill orders from any point within our system of stores and distribution centers, which is extremely complex and may not meet customer expectations for timely and accurate deliveries. These efforts involve substantial risk, including risk of implementation delays, cost overruns, technology interruptions, supply and distribution delays, and other issues that can affect the successful implementation and operation of our omni-channel initiatives.</w:t>
      </w:r>
    </w:p>
    <w:p>
      <w:pPr>
        <w:spacing w:after="0" w:line="163"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If our omni-channel initiatives are not successful, or we do not realize the return on our omni-channel investments that we anticipate, our financial performance and future growth could be materially adversely affected.</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Operational and Supply Chain Risks</w:t>
      </w:r>
    </w:p>
    <w:p>
      <w:pPr>
        <w:spacing w:after="0" w:line="156"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7"/>
          <w:szCs w:val="17"/>
          <w:b w:val="1"/>
          <w:bCs w:val="1"/>
          <w:color w:val="auto"/>
        </w:rPr>
        <w:t>Complications in our distribution centers and other factors affecting the distribution of merchandise may affect our business.</w:t>
      </w:r>
    </w:p>
    <w:p>
      <w:pPr>
        <w:spacing w:after="0" w:line="13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operate multiple distribution centers worldwide to support our businesses. In addition to the distribution centers that we operate, we have third-party arrangements to support our operations in the United States, Canada, England, Australia, and New Zealand. If complications arise with any facility or if any facility is severely damaged or destroyed, our other distribution centers may be unable to support the resulting additional distribution demands. We also may be affected by disruptions in the global transportation network caused by events including delays caused by the COVID-19 pandemic, port strikes, weather conditions, work stoppages, or other labor unrest. These factors may adversely affect our ability to deliver inventory on a timely basis. We depend upon third-party carriers for shipment of merchandise. Any interruption in service by these carriers for any reason could cause disruptions in our business, a loss of sales and profits, and other material adverse effects.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Manufacturer compliance with our social compliance program requirements.</w:t>
      </w:r>
    </w:p>
    <w:p>
      <w:pPr>
        <w:spacing w:after="0" w:line="176"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require our independent manufacturers to comply with our policies and procedures, which cover many areas including labor, health and safety, and environmental standards. We monitor compliance with our policies and procedures using internal resources, as well as third-party monitoring firms. Although we monitor their compliance with these policies and procedures, we do not control the manufacturers or their practices. Any failure of our independent manufacturers to comply with our policies and procedures or local laws in the country of manufacture could disrupt the shipment of merchandise to us, force us to locate alternate manufacturing sources, reduce demand for our merchandise, or damage our reputation.</w:t>
      </w:r>
    </w:p>
    <w:p>
      <w:pPr>
        <w:spacing w:after="0" w:line="16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2019 Form 10-K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49"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7"/>
          <w:szCs w:val="17"/>
          <w:b w:val="1"/>
          <w:bCs w:val="1"/>
          <w:color w:val="auto"/>
        </w:rPr>
        <w:t>Our reliance on key management.</w:t>
      </w:r>
    </w:p>
    <w:p>
      <w:pPr>
        <w:spacing w:after="0" w:line="176"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Future performance will depend upon our ability to attract, retain, and motivate our executive and senior management teams. Our executive and senior management teams have substantial experience and expertise in our business and have made significant contributions to our success. Our future performance depends to a significant extent both upon the continued services of our current executive and senior management teams, as well as our ability to attract, hire, motivate, and retain additional qualified management in the future. While we believe that we have adequate succession planning and executive development programs, competition for key executives in the retail industry is intense, and our operations could be adversely affected if we cannot retain and attract qualified executives.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associated with attracting and retaining store and field associates.</w:t>
      </w:r>
    </w:p>
    <w:p>
      <w:pPr>
        <w:spacing w:after="0" w:line="1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Our success depends, in part, upon our ability to attract, develop, and retain a sufficient number of qualified store and field associates. The turnover rate in the retail industry is generally high. If we are unable to attract and retain quality associates, our ability to meet our growth goals or to sustain expected levels of profitability may be compromised. Our ability to meet our labor needs while controlling costs is subject to external factors such as unemployment levels, prevailing wage rates, minimum wage legislation, and overtime regulations.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Investment Risks</w:t>
      </w:r>
    </w:p>
    <w:p>
      <w:pPr>
        <w:spacing w:after="0" w:line="156"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7"/>
          <w:szCs w:val="17"/>
          <w:b w:val="1"/>
          <w:bCs w:val="1"/>
          <w:color w:val="auto"/>
        </w:rPr>
        <w:t>If our long-lived tangible assets and operating lease right-of-use assets, or goodwill become impaired, we may need to record significant non-cash impairment charges.</w:t>
      </w:r>
    </w:p>
    <w:p>
      <w:pPr>
        <w:spacing w:after="0" w:line="139"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We review our long-lived tangible assets and operating lease right-of-use assets, and goodwill when events indicate that the carrying value of such assets may be impaired. Goodwill is reviewed for impairment if impairment indicators arise and, at a minimum, annually. Goodwill is not amortized but is subject to an impairment test, which consists of either a qualitative assessment on a reporting unit level, or a two-step impairment test, if necessary. The determination of impairment charges is significantly affected by estimates of future operating cash flows and estimates of fair value. Our estimates of future operating cash flows are identified from our long-range strategic plans, which are based upon our experience, knowledge, and expectations; however, these estimates can be affected by factors such as our future operating results, future store profitability, and future economic conditions, all of which are difficult to predict accurately. Any significant deterioration in macroeconomic conditions could affect the fair value of our long-lived assets, including our operating lease right-of-use assets, and goodwill and could result in future impairment charges, which would adversely affect our results of operations.</w:t>
      </w:r>
    </w:p>
    <w:p>
      <w:pPr>
        <w:spacing w:after="0" w:line="147"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b w:val="1"/>
          <w:bCs w:val="1"/>
          <w:color w:val="auto"/>
        </w:rPr>
        <w:t>We do not have the ability to exert control over our minority investments, and therefore, we are dependent on others in order to realize their potential benefits.</w:t>
      </w:r>
    </w:p>
    <w:p>
      <w:pPr>
        <w:spacing w:after="0" w:line="125"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currently hold $142 million of non-controlling minority investments in various entities and we may make additional strategic minority investments in the future. Such minority investments inherently involve a lesser degree of control over business operations, thereby potentially increasing the financial, legal, operational, and compliance risks associated with the investments. Other investors in these entities may have business goals and interests that are not aligned with ours or may exercise their rights in a manner in which we do not approve. These circumstances could lead to delayed decisions or disputes and litigation with those other investors, all of which could have a material adverse impact on our reputation, business, financial condition, and results of operations.</w:t>
      </w:r>
    </w:p>
    <w:p>
      <w:pPr>
        <w:spacing w:after="0" w:line="16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If our investees seek additional financing to fund their growth strategies, these financing transactions may result in further dilution of our ownership stakes and these transactions may occur at lower valuations than the investment transactions through which we acquired such interests, which could significantly decrease the fair values of our investments in those entities. Additionally, if our investees are unable to obtain any financing, those entities could need to significantly reduce their spending in order to fund their operations or result in their insolvency. These actions likely would result in reduced growth forecasts, which also could significantly decrease the fair values of our investments in those entities.</w:t>
      </w:r>
    </w:p>
    <w:p>
      <w:pPr>
        <w:spacing w:after="0" w:line="200" w:lineRule="exact"/>
        <w:rPr>
          <w:sz w:val="20"/>
          <w:szCs w:val="20"/>
          <w:color w:val="auto"/>
        </w:rPr>
      </w:pPr>
    </w:p>
    <w:p>
      <w:pPr>
        <w:spacing w:after="0" w:line="315"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2019 Form 10-K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7"/>
          <w:szCs w:val="17"/>
          <w:b w:val="1"/>
          <w:bCs w:val="1"/>
          <w:u w:val="single" w:color="auto"/>
          <w:color w:val="auto"/>
        </w:rPr>
        <w:t>Regulatory, Global, Legal, and Other External Risks</w:t>
      </w:r>
    </w:p>
    <w:p>
      <w:pPr>
        <w:spacing w:after="0" w:line="156"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b w:val="1"/>
          <w:bCs w:val="1"/>
          <w:color w:val="auto"/>
        </w:rPr>
        <w:t>Economic or political conditions in other countries, including fluctuations in foreign currency exchange rates and tax rates may adversely affect our operations.</w:t>
      </w:r>
    </w:p>
    <w:p>
      <w:pPr>
        <w:spacing w:after="0" w:line="13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A significant portion of our sales and operating income for 2019 was attributable to our operations outside of the United States. As a result, our business is subject to the risks associated with doing business outside of the United States such as local customer product preferences, political unrest, disruptions or delays in shipments, changes in economic conditions in countries in which we operate, foreign currency fluctuations, real estate costs, and labor and employment practices in non-U.S. jurisdictions that may differ significantly from those that prevail in the United States. In addition, because our suppliers manufacture a substantial amount of our products in foreign countries, our ability to obtain sufficient quantities of merchandise on favorable terms may be affected by governmental regulations, trade restrictions, labor, and other conditions in the countries from which our suppliers obtain their product.</w:t>
      </w:r>
    </w:p>
    <w:p>
      <w:pPr>
        <w:spacing w:after="0" w:line="16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Fluctuations in the value of the euro and the British Pound may affect the value of our European earnings when translated into U.S. dollars. Similarly, our earnings in other jurisdictions may be affected by the value of currencies when translated into U.S. dollars.</w:t>
      </w:r>
    </w:p>
    <w:p>
      <w:pPr>
        <w:spacing w:after="0" w:line="14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Except for our business in the United Kingdom (the “U.K.”), our international subsidiaries conduct most of their business in their local currency. Inventory purchases for our U.K. business are denominated in euros, which could result in foreign currency transaction gains or losses.</w:t>
      </w:r>
    </w:p>
    <w:p>
      <w:pPr>
        <w:spacing w:after="0" w:line="16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Our products are subject to import and excise duties and/or sales or value-added taxes in many jurisdictions. Fluctuations in tax rates and duties and changes in tax legislation or regulation could have a material adverse effect on our results of operations and financial condition.</w:t>
      </w:r>
    </w:p>
    <w:p>
      <w:pPr>
        <w:spacing w:after="0" w:line="141"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b w:val="1"/>
          <w:bCs w:val="1"/>
          <w:color w:val="auto"/>
        </w:rPr>
        <w:t>Significant developments stemming from the U.K.’s withdrawal from the E.U. could have a material adverse effect on the Company.</w:t>
      </w:r>
    </w:p>
    <w:p>
      <w:pPr>
        <w:spacing w:after="0" w:line="12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In January 2020, the U.K. and E.U. entered into a withdrawal agreement pursuant to which the U.K. formally withdrew from the E.U. on January 31, 2020, which is commonly referred to as “Brexit.” Following such withdrawal, the U.K. entered into a transition period scheduled to end on December 31, 2020. During the transition period, the U.K. will remain subject to E.U. law and maintain access to the E.U. single market and to the global trade deals negotiated by the E.U. on behalf of its members. There remains substantial uncertainty surrounding the ultimate effect of Brexit and any associated transition period.</w:t>
      </w:r>
    </w:p>
    <w:p>
      <w:pPr>
        <w:spacing w:after="0" w:line="175"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have significant operations in both the U.K. and the E.U., and we are highly dependent on the free flow of labor and goods in those regions. In response to Brexit, in February 2020 we engaged with a third-party logistics provider within England to mitigate supply chain risks. Uncertainty surrounding Brexit could cause a slowdown in economic activity in the U.K., Europe or globally, which could adversely affect our operating results and growth prospects. In addition, Brexit could lead to legal uncertainty and potentially divergent national laws and regulations as the U.K. determines which E.U. laws to replace or replicate, including data protection regulation. Compliance with any new laws and regulations may be cumbersome, difficult or costly.</w:t>
      </w:r>
    </w:p>
    <w:p>
      <w:pPr>
        <w:spacing w:after="0" w:line="17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ultimate effects of Brexit will depend on any agreements the U.K. makes to retain access to E.U. markets, either during the transition period or more permanently. These outcomes could disrupt the markets we serve and the tax jurisdictions in which we operate and create uncertainty and challenges (particularly in the near term) with respect to trading relationships between our U.K. subsidiary and other E.U. nations. These possible effects of Brexit, among others, could adversely affect our business, results of operations, and financial condition.</w:t>
      </w:r>
    </w:p>
    <w:p>
      <w:pPr>
        <w:spacing w:after="0" w:line="184"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b w:val="1"/>
          <w:bCs w:val="1"/>
          <w:color w:val="auto"/>
        </w:rPr>
        <w:t>Imposition of tariffs and export controls on the products we buy may have a material adverse effect on our business.</w:t>
      </w:r>
    </w:p>
    <w:p>
      <w:pPr>
        <w:spacing w:after="0" w:line="13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A significant portion of the products that we purchase, including the portion purchased from domestic suppliers, as well as most of our private brand merchandise, is manufactured abroad. We may be affected by potential changes in international trade agreements or tariffs, such as new tariffs imposed on certain Chinese-made goods imported into the U.S. Furthermore, China or other countries may institute retaliatory trade measures in response to existing or future tariffs imposed by the U.S. that could have a negative effect on our business. If any of these events occur as described, we may be obligated to seek alternative suppliers for our private brand merchandise, raise prices, or make changes to our operations, any of which could have a material adverse effect on our sales and profitability, results of operations and financial condition.</w:t>
      </w:r>
    </w:p>
    <w:p>
      <w:pPr>
        <w:spacing w:after="0" w:line="163"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2019 Form 10-K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7"/>
          <w:szCs w:val="17"/>
          <w:b w:val="1"/>
          <w:bCs w:val="1"/>
          <w:color w:val="auto"/>
        </w:rPr>
        <w:t>Macroeconomic developments may adversely affect our business.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Our performance is subject to global economic conditions and the related effects on consumer spending levels. Continued uncertainty about global economic conditions, including the COVID-19 pandemic, poses a risk as consumers and businesses may postpone spending in response to tighter credit, unemployment, negative financial news, and/or declines in income or asset values, which could have a material negative effect on demand for our products.</w:t>
      </w:r>
    </w:p>
    <w:p>
      <w:pPr>
        <w:spacing w:after="0" w:line="16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As a retailer that is dependent upon consumer discretionary spending, our results of operations are sensitive to changes in macroeconomic conditions. Our customers may have less money for discretionary purchases as a result of job losses, foreclosures, bankruptcies, increased fuel and energy costs, higher interest rates, higher taxes, reduced access to credit, and lower home values. These and other economic factors could adversely affect demand for our products, which could adversely affect our financial condition and operating results.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Instability in the financial markets may adversely affect our business.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Instability in the global financial markets could reduce availability of credit to our business. Although we currently have a revolving credit agreement in place until May 19, 2021, tightening of credit markets could make it more difficult for us to access funds, refinance our existing indebtedness, enter into agreements for new indebtedness, or obtain funding through the issuance of the Company’s securities.</w:t>
      </w:r>
    </w:p>
    <w:p>
      <w:pPr>
        <w:spacing w:after="0" w:line="163"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In 2017, the U.K.’s Financial Conduct Authority, which regulates LIBOR, announced its intention to phase out LIBOR by the end of 2021. It is unclear if LIBOR will cease to exist at that time or if new methods of calculating LIBOR will be established such that it continues to exist after 2021. If LIBOR ceases to exist, we will need to renegotiate our credit facility. This could have an adverse effect on our financing costs. We rely on a few key suppliers for a majority of our merchandise purchases (including a significant portion from one key supplier). The inability of these key suppliers to access liquidity, or the insolvency of key suppliers, could lead to their failure to deliver merchandise to us. Our inability to obtain merchandise in a timely manner from major suppliers could have a material adverse effect on our business, financial condition, and results of operations.</w:t>
      </w:r>
    </w:p>
    <w:p>
      <w:pPr>
        <w:spacing w:after="0" w:line="143"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b w:val="1"/>
          <w:bCs w:val="1"/>
          <w:color w:val="auto"/>
        </w:rPr>
        <w:t>Material changes in the market value of the securities we hold may adversely affect our results of operations and financial condition.</w:t>
      </w:r>
    </w:p>
    <w:p>
      <w:pPr>
        <w:spacing w:after="0" w:line="125"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At February 1, 2020, our cash and cash equivalents totaled $907 million. The majority of our investments were short-term deposits in highly-rated banking institutions. We regularly monitor our counterparty credit risk and mitigate our exposure by making short-term investments only in highly-rated institutions and by limiting the amount we invest in any one institution. We continually monitor the creditworthiness of our counterparties. At February 1, 2020, all investments were in investment grade institutions. Despite an investment grade rating, it is possible that the value or liquidity of our investments may decline due to any number of factors, including general market conditions and bank-specific credit issues.</w:t>
      </w:r>
    </w:p>
    <w:p>
      <w:pPr>
        <w:spacing w:after="0" w:line="16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Our U.S. pension plan trust holds assets totaling $664 million at February 1, 2020. The fair values of these assets held in the trust are compared to the plan’s projected benefit obligation to determine the pension funding liability. We attempt to mitigate funding risk through asset diversification, and we regularly monitor investment risk of our portfolio through quarterly investment portfolio reviews and periodic asset and liability studies. Despite these measures, it is possible that the value of our portfolio may decline in the future due to any number of factors, including general market conditions and credit issues. Such declines could affect the funded status of our pension plan and future funding requirements.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Our financial results may be adversely affected by tax rates or exposure to additional tax liabilities.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are a U.S. based multinational company subject to tax in multiple U.S. and foreign tax jurisdictions. Our provision for income taxes is based on a jurisdictional mix of earnings, statutory rates, and enacted tax rules, including transfer pricing. Significant judgment is required in determining our provision for income taxes and in evaluating our tax positions on a worldwide basis. Our effective tax rate could be adversely affected by a number of factors, including shifts in the mix of pretax results by tax jurisdiction, changes in tax laws or related interpretations in the jurisdictions in which we operate, and tax assessments and related interest and penalties resulting from income tax audits.</w:t>
      </w:r>
    </w:p>
    <w:p>
      <w:pPr>
        <w:spacing w:after="0" w:line="200" w:lineRule="exact"/>
        <w:rPr>
          <w:sz w:val="20"/>
          <w:szCs w:val="20"/>
          <w:color w:val="auto"/>
        </w:rPr>
      </w:pPr>
    </w:p>
    <w:p>
      <w:pPr>
        <w:spacing w:after="0" w:line="326"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7"/>
          <w:szCs w:val="17"/>
          <w:b w:val="1"/>
          <w:bCs w:val="1"/>
          <w:color w:val="auto"/>
        </w:rPr>
        <w:t>Changes in employment laws or regulation could harm our performance.</w:t>
      </w:r>
    </w:p>
    <w:p>
      <w:pPr>
        <w:spacing w:after="0" w:line="176"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Various foreign and domestic labor laws govern our relationship with our employees and affect our operating costs. These laws include minimum wage requirements, overtime and sick pay, paid time off, work scheduling, healthcare reform and the Patient Protection and Affordable Care Act, unemployment tax rates, workers’ compensation rates, European works council requirements, and union organization. A number of factors could adversely affect our operating results, including additional government-imposed increases in minimum wages, overtime and sick pay, paid leaves of absence, mandated health benefits, and changing regulations from the National Labor Relations Board or other agencies. Complying with any new legislation or reversing changes implemented under existing law could be time-intensive and expensive and may affect our business.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Legislative or regulatory initiatives related to climate change concerns may negatively affect our business.</w:t>
      </w:r>
    </w:p>
    <w:p>
      <w:pPr>
        <w:spacing w:after="0" w:line="189"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Greenhouse gases may have an adverse effect on global temperatures, weather patterns, and the frequency and severity of extreme weather and natural disasters. Global climate change could result in certain types of natural disasters occurring more frequently or with more intense effects. Such events could make it difficult or impossible for us to deliver products to our customers, create delays and inefficiencies in our supply chain. Following an interruption to our business, we could require substantial recovery time, experience significant expenditures to resume operations, and lose significant sales. Concern over climate change may result in new or additional legal, legislative, and regulatory requirements to reduce or mitigate the effects of climate change on the environment, which could result in future tax, transportation, and utility increases, which could adversely affect our business. There is also increased focus, including by investors, customers, and other stakeholders on these and other sustainability matters, including the use of plastic, energy, waste, and worker safety.</w:t>
      </w:r>
    </w:p>
    <w:p>
      <w:pPr>
        <w:spacing w:after="0" w:line="134"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7"/>
          <w:szCs w:val="17"/>
          <w:b w:val="1"/>
          <w:bCs w:val="1"/>
          <w:color w:val="auto"/>
        </w:rPr>
        <w:t>Increasing scrutiny and changing expectations from investors and our customers with respect to our Corporate Social Responsibility (“CSR”) may impose additional costs on us or expose us to new or additional risks.</w:t>
      </w:r>
    </w:p>
    <w:p>
      <w:pPr>
        <w:spacing w:after="0" w:line="15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Our reputation could be damaged if we do not (or are perceived not to) act responsibly with respect to sustainability matters, which could adversely affect our business, results of operations, cash flows, and financial condition. Increasing attention to CSR matters may affect our business and some institutional investors may be discouraged from investing in us.</w:t>
      </w:r>
    </w:p>
    <w:p>
      <w:pPr>
        <w:spacing w:after="0" w:line="163"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Companies across all industries are facing increasing scrutiny from stakeholders related to their CSR practices. Investor advocacy groups, certain institutional investors, investment funds, and other influential investors are also increasingly focused on CSR practices and in recent years have placed increasing importance on the implications and social cost of their investments. Regardless of the industry, investors’ increased focus and activism related to CSR and similar matters may hinder access to capital, as investors may decide to reallocate capital or to not commit capital as a result of their assessment of a company’s CSR practices. Companies which do not adapt to or comply with investor or stakeholder expectations and standards, which are evolving, or which are perceived to have not responded appropriately to the growing concern for CSR issues, regardless of whether there is a legal requirement to do so, may suffer from reputational damage and the business, financial condition, and/or stock price of such a company could be materially and adversely affected.</w:t>
      </w:r>
    </w:p>
    <w:p>
      <w:pPr>
        <w:spacing w:after="0" w:line="154"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In addition, the importance of CSR scoring evaluations is becoming more broadly accepted by shareholders. Certain organizations that provide corporate governance and other corporate risk information to shareholders have developed scores and ratings to evaluate companies based upon CSR metrics. Many shareholders focus on positive CSR business practices and scores when making investments and may consider a company’s score as a reputational or other factor in making an investment decision. In addition, investors, particularly institutional investors, use these scores to benchmark companies against their peers and if a company is perceived as lagging, these investors may engage with companies to require improved CSR disclosure or performance. We may face reputational damage in the event our CSR procedures or standards do not meet the standards set by various constituencies. A low score could result in a negative perception of us, or exclusion of our common stock from consideration by certain investors who may elect to invest with our competition instead. In addition, the cost of compliance to receive high CSR scores may be considerable.</w:t>
      </w:r>
    </w:p>
    <w:p>
      <w:pPr>
        <w:spacing w:after="0" w:line="200" w:lineRule="exact"/>
        <w:rPr>
          <w:sz w:val="20"/>
          <w:szCs w:val="20"/>
          <w:color w:val="auto"/>
        </w:rPr>
      </w:pPr>
    </w:p>
    <w:p>
      <w:pPr>
        <w:spacing w:after="0" w:line="332"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7"/>
          <w:szCs w:val="17"/>
          <w:b w:val="1"/>
          <w:bCs w:val="1"/>
          <w:color w:val="auto"/>
        </w:rPr>
        <w:t>We may be adversely affected by regulatory and litigation developments.</w:t>
      </w:r>
    </w:p>
    <w:p>
      <w:pPr>
        <w:spacing w:after="0" w:line="176"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are exposed to the risk that federal or state legislation may negatively affect our operations. Changes in federal or state wage requirements, employee rights, health care, social welfare or entitlement programs, including health insurance, paid leave programs, or other changes in workplace regulation could increase our cost of doing business or otherwise adversely affect our operations. Additionally, we are regularly involved in litigation, including commercial, tort, intellectual property, customer, employment, wage and hour, data privacy, anti-corruption, and other claims, including purported class action lawsuits. The cost of defending against these types of claims against us or the ultimate resolution of such claims, whether by settlement or adverse court decision, may harm our business.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We operate in many different jurisdictions and we could be adversely affected by violations of the U.S.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Foreign Corrupt Practices Act and similar worldwide anti-corruption laws.</w:t>
      </w:r>
    </w:p>
    <w:p>
      <w:pPr>
        <w:spacing w:after="0" w:line="16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The U.S. Foreign Corrupt Practices Act (“FCPA”) and similar worldwide anti-corruption laws, including the U.K. Bribery Act of 2010, which is broader in scope than the FCPA, generally prohibit companies and their intermediaries from making improper payments to government officials for the purpose of obtaining or retaining business. Our internal policies mandate compliance with these anti-corruption laws. Despite our training and compliance programs, we cannot be assured that our internal control policies and procedures will always protect us from reckless or criminal acts committed by our employees or agents. Our continued expansion outside the United States, including in developing countries, could increase the risk of FCPA violations in the future. Violations of these laws, or allegations of such violations, could have a material adverse effect on our results of operations or financial condition.</w:t>
      </w:r>
    </w:p>
    <w:p>
      <w:pPr>
        <w:spacing w:after="0" w:line="129"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7"/>
          <w:szCs w:val="17"/>
          <w:b w:val="1"/>
          <w:bCs w:val="1"/>
          <w:color w:val="auto"/>
        </w:rPr>
        <w:t>Failure to fully comply with Section 404 of the Sarbanes-Oxley Act of 2002 could negatively affect our business, market confidence in our reported financial information, and the price of our common stock.</w:t>
      </w:r>
    </w:p>
    <w:p>
      <w:pPr>
        <w:spacing w:after="0" w:line="13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continue to document, test, and monitor our internal control over financial reporting in order to satisfy the requirements of Section 404 of the Sarbanes-Oxley Act of 2002. However, we cannot be assured that our disclosure controls and procedures and our internal control over financial reporting will prove to be completely adequate in the future. Failure to fully comply with Section 404 of the Sarbanes-Oxley Act of 2002 could negatively affect our business, market confidence in our reported financial information, and the price of our common stock.</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We may face risks associated with shareholder activism.</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Publicly traded companies are subject to campaigns by shareholders advocating corporate actions related to matters such as corporate governance, operational practices, and strategic direction. We may become subject in the future to such shareholder activity and demands. Such activities could interfere with our ability to execute our business plans, be costly and time-consuming, disrupt our operations, and divert the attention of management, any of which could have an adverse effect on our business or stock price.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International intellectual property protection can be uncertain and costly.</w:t>
      </w:r>
    </w:p>
    <w:p>
      <w:pPr>
        <w:spacing w:after="0" w:line="1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Uncertainty in intellectual property protection can result from conducting business outside the United States, particularly in jurisdictions that do not have comparable levels of protection for our assets such as intellectual property, copyrights, and trademarks. Continuing to operate in such foreign jurisdictions where the ability to enforce intellectual property rights is limited increases our exposure to risk.</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1B. Unresolved Staff Comments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None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2. Properties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Our properties consist of land, leased stores, administrative facilities, and distribution centers. Gross square footage and total selling area for our store locations at the end of 2019 were approximately 13.15 and 7.57 million square feet, respectively. These properties, which are primarily leased, are located in the United States and its territories, Canada, various European countries, Asia, Australia, and New Zealand.</w:t>
      </w:r>
    </w:p>
    <w:p>
      <w:pPr>
        <w:spacing w:after="0" w:line="16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We currently operate six distribution centers, of which two are owned and four are leased, occupying an aggregate of 3.2 million square feet. Three of these distribution centers are located in the United States, one in Canada, one in Germany, and one in the Netherlands. We also own a cross-dock and manufacturing facility, and operate a leased warehouse in the United States, both of which support our Team Edition apparel business.</w:t>
      </w:r>
    </w:p>
    <w:p>
      <w:pPr>
        <w:spacing w:after="0" w:line="163"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15" w:name="page16"/>
    <w:bookmarkEnd w:id="15"/>
    <w:p>
      <w:pPr>
        <w:jc w:val="both"/>
        <w:ind w:left="60" w:right="59"/>
        <w:spacing w:after="0" w:line="243" w:lineRule="auto"/>
        <w:rPr>
          <w:sz w:val="20"/>
          <w:szCs w:val="20"/>
          <w:color w:val="auto"/>
        </w:rPr>
      </w:pPr>
      <w:r>
        <w:rPr>
          <w:rFonts w:ascii="Arial" w:cs="Arial" w:eastAsia="Arial" w:hAnsi="Arial"/>
          <w:sz w:val="17"/>
          <w:szCs w:val="17"/>
          <w:color w:val="auto"/>
        </w:rPr>
        <w:t>We believe that all leases of properties that are material to our operations may be renewed, or that alternative properties are available, on terms not materially less favorable to us than existing leases.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3. Legal Proceedings</w:t>
      </w:r>
    </w:p>
    <w:p>
      <w:pPr>
        <w:spacing w:after="0" w:line="171" w:lineRule="exact"/>
        <w:rPr>
          <w:sz w:val="20"/>
          <w:szCs w:val="20"/>
          <w:color w:val="auto"/>
        </w:rPr>
      </w:pPr>
    </w:p>
    <w:p>
      <w:pPr>
        <w:jc w:val="both"/>
        <w:ind w:left="60" w:right="79"/>
        <w:spacing w:after="0" w:line="265" w:lineRule="auto"/>
        <w:rPr>
          <w:sz w:val="20"/>
          <w:szCs w:val="20"/>
          <w:color w:val="auto"/>
        </w:rPr>
      </w:pPr>
      <w:r>
        <w:rPr>
          <w:rFonts w:ascii="Arial" w:cs="Arial" w:eastAsia="Arial" w:hAnsi="Arial"/>
          <w:sz w:val="17"/>
          <w:szCs w:val="17"/>
          <w:color w:val="auto"/>
        </w:rPr>
        <w:t xml:space="preserve">Information regarding the Company’s legal proceedings is contained in the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note under “Item 8. Consolidated Financial Statements and Supplementary Data.”</w:t>
      </w:r>
    </w:p>
    <w:p>
      <w:pPr>
        <w:spacing w:after="0" w:line="120"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6520" w:type="dxa"/>
            <w:vAlign w:val="bottom"/>
          </w:tcPr>
          <w:p>
            <w:pPr>
              <w:spacing w:after="0"/>
              <w:rPr>
                <w:sz w:val="20"/>
                <w:szCs w:val="20"/>
                <w:color w:val="auto"/>
              </w:rPr>
            </w:pPr>
            <w:r>
              <w:rPr>
                <w:rFonts w:ascii="Arial" w:cs="Arial" w:eastAsia="Arial" w:hAnsi="Arial"/>
                <w:sz w:val="17"/>
                <w:szCs w:val="17"/>
                <w:b w:val="1"/>
                <w:bCs w:val="1"/>
                <w:i w:val="1"/>
                <w:iCs w:val="1"/>
                <w:color w:val="auto"/>
              </w:rPr>
              <w:t>Item 4. Mine Safety Disclosures</w:t>
            </w:r>
          </w:p>
        </w:tc>
        <w:tc>
          <w:tcPr>
            <w:tcW w:w="2380" w:type="dxa"/>
            <w:vAlign w:val="bottom"/>
          </w:tcPr>
          <w:p>
            <w:pPr>
              <w:spacing w:after="0"/>
              <w:rPr>
                <w:sz w:val="19"/>
                <w:szCs w:val="19"/>
                <w:color w:val="auto"/>
              </w:rPr>
            </w:pPr>
          </w:p>
        </w:tc>
      </w:tr>
      <w:tr>
        <w:trPr>
          <w:trHeight w:val="351"/>
        </w:trPr>
        <w:tc>
          <w:tcPr>
            <w:tcW w:w="6520" w:type="dxa"/>
            <w:vAlign w:val="bottom"/>
          </w:tcPr>
          <w:p>
            <w:pPr>
              <w:spacing w:after="0"/>
              <w:rPr>
                <w:sz w:val="20"/>
                <w:szCs w:val="20"/>
                <w:color w:val="auto"/>
              </w:rPr>
            </w:pPr>
            <w:r>
              <w:rPr>
                <w:rFonts w:ascii="Arial" w:cs="Arial" w:eastAsia="Arial" w:hAnsi="Arial"/>
                <w:sz w:val="17"/>
                <w:szCs w:val="17"/>
                <w:color w:val="auto"/>
              </w:rPr>
              <w:t>Not applicable.</w:t>
            </w:r>
          </w:p>
        </w:tc>
        <w:tc>
          <w:tcPr>
            <w:tcW w:w="2380" w:type="dxa"/>
            <w:vAlign w:val="bottom"/>
          </w:tcPr>
          <w:p>
            <w:pPr>
              <w:spacing w:after="0"/>
              <w:rPr>
                <w:sz w:val="24"/>
                <w:szCs w:val="24"/>
                <w:color w:val="auto"/>
              </w:rPr>
            </w:pPr>
          </w:p>
        </w:tc>
      </w:tr>
      <w:tr>
        <w:trPr>
          <w:trHeight w:val="364"/>
        </w:trPr>
        <w:tc>
          <w:tcPr>
            <w:tcW w:w="6520" w:type="dxa"/>
            <w:vAlign w:val="bottom"/>
          </w:tcPr>
          <w:p>
            <w:pPr>
              <w:spacing w:after="0"/>
              <w:rPr>
                <w:sz w:val="20"/>
                <w:szCs w:val="20"/>
                <w:color w:val="auto"/>
              </w:rPr>
            </w:pPr>
            <w:r>
              <w:rPr>
                <w:rFonts w:ascii="Arial" w:cs="Arial" w:eastAsia="Arial" w:hAnsi="Arial"/>
                <w:sz w:val="17"/>
                <w:szCs w:val="17"/>
                <w:b w:val="1"/>
                <w:bCs w:val="1"/>
                <w:i w:val="1"/>
                <w:iCs w:val="1"/>
                <w:color w:val="auto"/>
              </w:rPr>
              <w:t>Item 4A. Information about our Executive Officers</w:t>
            </w:r>
          </w:p>
        </w:tc>
        <w:tc>
          <w:tcPr>
            <w:tcW w:w="2380" w:type="dxa"/>
            <w:vAlign w:val="bottom"/>
          </w:tcPr>
          <w:p>
            <w:pPr>
              <w:spacing w:after="0"/>
              <w:rPr>
                <w:sz w:val="24"/>
                <w:szCs w:val="24"/>
                <w:color w:val="auto"/>
              </w:rPr>
            </w:pPr>
          </w:p>
        </w:tc>
      </w:tr>
      <w:tr>
        <w:trPr>
          <w:trHeight w:val="308"/>
        </w:trPr>
        <w:tc>
          <w:tcPr>
            <w:tcW w:w="6520" w:type="dxa"/>
            <w:vAlign w:val="bottom"/>
          </w:tcPr>
          <w:p>
            <w:pPr>
              <w:spacing w:after="0"/>
              <w:rPr>
                <w:sz w:val="20"/>
                <w:szCs w:val="20"/>
                <w:color w:val="auto"/>
              </w:rPr>
            </w:pPr>
            <w:r>
              <w:rPr>
                <w:rFonts w:ascii="Arial" w:cs="Arial" w:eastAsia="Arial" w:hAnsi="Arial"/>
                <w:sz w:val="17"/>
                <w:szCs w:val="17"/>
                <w:color w:val="auto"/>
              </w:rPr>
              <w:t>The  following  table  provides  information  with  respect  to  all  persons  serving</w:t>
            </w:r>
          </w:p>
        </w:tc>
        <w:tc>
          <w:tcPr>
            <w:tcW w:w="2380" w:type="dxa"/>
            <w:vAlign w:val="bottom"/>
          </w:tcPr>
          <w:p>
            <w:pPr>
              <w:ind w:left="80"/>
              <w:spacing w:after="0"/>
              <w:rPr>
                <w:sz w:val="20"/>
                <w:szCs w:val="20"/>
                <w:color w:val="auto"/>
              </w:rPr>
            </w:pPr>
            <w:r>
              <w:rPr>
                <w:rFonts w:ascii="Arial" w:cs="Arial" w:eastAsia="Arial" w:hAnsi="Arial"/>
                <w:sz w:val="17"/>
                <w:szCs w:val="17"/>
                <w:color w:val="auto"/>
              </w:rPr>
              <w:t>as  executive  officers  as  of</w:t>
            </w:r>
          </w:p>
        </w:tc>
      </w:tr>
      <w:tr>
        <w:trPr>
          <w:trHeight w:val="205"/>
        </w:trPr>
        <w:tc>
          <w:tcPr>
            <w:tcW w:w="6520" w:type="dxa"/>
            <w:vAlign w:val="bottom"/>
          </w:tcPr>
          <w:p>
            <w:pPr>
              <w:spacing w:after="0"/>
              <w:rPr>
                <w:sz w:val="20"/>
                <w:szCs w:val="20"/>
                <w:color w:val="auto"/>
              </w:rPr>
            </w:pPr>
            <w:r>
              <w:rPr>
                <w:rFonts w:ascii="Arial" w:cs="Arial" w:eastAsia="Arial" w:hAnsi="Arial"/>
                <w:sz w:val="17"/>
                <w:szCs w:val="17"/>
                <w:color w:val="auto"/>
              </w:rPr>
              <w:t>March 27, 2020, including business experience for the last five years.</w:t>
            </w:r>
          </w:p>
        </w:tc>
        <w:tc>
          <w:tcPr>
            <w:tcW w:w="2380" w:type="dxa"/>
            <w:vAlign w:val="bottom"/>
          </w:tcPr>
          <w:p>
            <w:pPr>
              <w:spacing w:after="0"/>
              <w:rPr>
                <w:sz w:val="17"/>
                <w:szCs w:val="17"/>
                <w:color w:val="auto"/>
              </w:rPr>
            </w:pPr>
          </w:p>
        </w:tc>
      </w:tr>
      <w:tr>
        <w:trPr>
          <w:trHeight w:val="139"/>
        </w:trPr>
        <w:tc>
          <w:tcPr>
            <w:tcW w:w="65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r>
      <w:tr>
        <w:trPr>
          <w:trHeight w:val="183"/>
        </w:trPr>
        <w:tc>
          <w:tcPr>
            <w:tcW w:w="652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Chairman, President and Chief Executive Officer</w:t>
            </w:r>
          </w:p>
        </w:tc>
        <w:tc>
          <w:tcPr>
            <w:tcW w:w="2380" w:type="dxa"/>
            <w:vAlign w:val="bottom"/>
            <w:shd w:val="clear" w:color="auto" w:fill="CCEEFF"/>
          </w:tcPr>
          <w:p>
            <w:pPr>
              <w:ind w:left="700"/>
              <w:spacing w:after="0" w:line="183" w:lineRule="exact"/>
              <w:rPr>
                <w:sz w:val="20"/>
                <w:szCs w:val="20"/>
                <w:color w:val="auto"/>
              </w:rPr>
            </w:pPr>
            <w:r>
              <w:rPr>
                <w:rFonts w:ascii="Arial" w:cs="Arial" w:eastAsia="Arial" w:hAnsi="Arial"/>
                <w:sz w:val="17"/>
                <w:szCs w:val="17"/>
                <w:color w:val="auto"/>
              </w:rPr>
              <w:t>Richard A. Johnson</w:t>
            </w:r>
          </w:p>
        </w:tc>
      </w:tr>
      <w:tr>
        <w:trPr>
          <w:trHeight w:val="189"/>
        </w:trPr>
        <w:tc>
          <w:tcPr>
            <w:tcW w:w="6520" w:type="dxa"/>
            <w:vAlign w:val="bottom"/>
          </w:tcPr>
          <w:p>
            <w:pPr>
              <w:ind w:left="100"/>
              <w:spacing w:after="0" w:line="189" w:lineRule="exact"/>
              <w:rPr>
                <w:sz w:val="20"/>
                <w:szCs w:val="20"/>
                <w:color w:val="auto"/>
              </w:rPr>
            </w:pPr>
            <w:r>
              <w:rPr>
                <w:rFonts w:ascii="Arial" w:cs="Arial" w:eastAsia="Arial" w:hAnsi="Arial"/>
                <w:sz w:val="17"/>
                <w:szCs w:val="17"/>
                <w:color w:val="auto"/>
              </w:rPr>
              <w:t>Executive Vice President and Chief Executive Officer — North America</w:t>
            </w:r>
          </w:p>
        </w:tc>
        <w:tc>
          <w:tcPr>
            <w:tcW w:w="2380" w:type="dxa"/>
            <w:vAlign w:val="bottom"/>
          </w:tcPr>
          <w:p>
            <w:pPr>
              <w:ind w:left="700"/>
              <w:spacing w:after="0" w:line="189" w:lineRule="exact"/>
              <w:rPr>
                <w:sz w:val="20"/>
                <w:szCs w:val="20"/>
                <w:color w:val="auto"/>
              </w:rPr>
            </w:pPr>
            <w:r>
              <w:rPr>
                <w:rFonts w:ascii="Arial" w:cs="Arial" w:eastAsia="Arial" w:hAnsi="Arial"/>
                <w:sz w:val="17"/>
                <w:szCs w:val="17"/>
                <w:color w:val="auto"/>
              </w:rPr>
              <w:t>Stephen D. Jacobs</w:t>
            </w:r>
          </w:p>
        </w:tc>
      </w:tr>
      <w:tr>
        <w:trPr>
          <w:trHeight w:val="189"/>
        </w:trPr>
        <w:tc>
          <w:tcPr>
            <w:tcW w:w="65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Executive Vice President and Chief Executive Officer — Asia Pacific</w:t>
            </w:r>
          </w:p>
        </w:tc>
        <w:tc>
          <w:tcPr>
            <w:tcW w:w="2380" w:type="dxa"/>
            <w:vAlign w:val="bottom"/>
            <w:shd w:val="clear" w:color="auto" w:fill="CCEEFF"/>
          </w:tcPr>
          <w:p>
            <w:pPr>
              <w:ind w:left="700"/>
              <w:spacing w:after="0" w:line="189" w:lineRule="exact"/>
              <w:rPr>
                <w:sz w:val="20"/>
                <w:szCs w:val="20"/>
                <w:color w:val="auto"/>
              </w:rPr>
            </w:pPr>
            <w:r>
              <w:rPr>
                <w:rFonts w:ascii="Arial" w:cs="Arial" w:eastAsia="Arial" w:hAnsi="Arial"/>
                <w:sz w:val="17"/>
                <w:szCs w:val="17"/>
                <w:color w:val="auto"/>
              </w:rPr>
              <w:t>Lewis P. Kimble</w:t>
            </w:r>
          </w:p>
        </w:tc>
      </w:tr>
      <w:tr>
        <w:trPr>
          <w:trHeight w:val="189"/>
        </w:trPr>
        <w:tc>
          <w:tcPr>
            <w:tcW w:w="6520" w:type="dxa"/>
            <w:vAlign w:val="bottom"/>
          </w:tcPr>
          <w:p>
            <w:pPr>
              <w:ind w:left="100"/>
              <w:spacing w:after="0" w:line="189" w:lineRule="exact"/>
              <w:rPr>
                <w:sz w:val="20"/>
                <w:szCs w:val="20"/>
                <w:color w:val="auto"/>
              </w:rPr>
            </w:pPr>
            <w:r>
              <w:rPr>
                <w:rFonts w:ascii="Arial" w:cs="Arial" w:eastAsia="Arial" w:hAnsi="Arial"/>
                <w:sz w:val="17"/>
                <w:szCs w:val="17"/>
                <w:color w:val="auto"/>
              </w:rPr>
              <w:t>Executive Vice President and Chief Financial Officer</w:t>
            </w:r>
          </w:p>
        </w:tc>
        <w:tc>
          <w:tcPr>
            <w:tcW w:w="2380" w:type="dxa"/>
            <w:vAlign w:val="bottom"/>
          </w:tcPr>
          <w:p>
            <w:pPr>
              <w:ind w:left="700"/>
              <w:spacing w:after="0" w:line="189" w:lineRule="exact"/>
              <w:rPr>
                <w:sz w:val="20"/>
                <w:szCs w:val="20"/>
                <w:color w:val="auto"/>
              </w:rPr>
            </w:pPr>
            <w:r>
              <w:rPr>
                <w:rFonts w:ascii="Arial" w:cs="Arial" w:eastAsia="Arial" w:hAnsi="Arial"/>
                <w:sz w:val="17"/>
                <w:szCs w:val="17"/>
                <w:color w:val="auto"/>
              </w:rPr>
              <w:t>Lauren B. Peters</w:t>
            </w:r>
          </w:p>
        </w:tc>
      </w:tr>
      <w:tr>
        <w:trPr>
          <w:trHeight w:val="189"/>
        </w:trPr>
        <w:tc>
          <w:tcPr>
            <w:tcW w:w="65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Executive Vice President and Chief Executive Officer — EMEA</w:t>
            </w:r>
          </w:p>
        </w:tc>
        <w:tc>
          <w:tcPr>
            <w:tcW w:w="2380" w:type="dxa"/>
            <w:vAlign w:val="bottom"/>
            <w:shd w:val="clear" w:color="auto" w:fill="CCEEFF"/>
          </w:tcPr>
          <w:p>
            <w:pPr>
              <w:ind w:left="700"/>
              <w:spacing w:after="0" w:line="189" w:lineRule="exact"/>
              <w:rPr>
                <w:sz w:val="20"/>
                <w:szCs w:val="20"/>
                <w:color w:val="auto"/>
              </w:rPr>
            </w:pPr>
            <w:r>
              <w:rPr>
                <w:rFonts w:ascii="Arial" w:cs="Arial" w:eastAsia="Arial" w:hAnsi="Arial"/>
                <w:sz w:val="17"/>
                <w:szCs w:val="17"/>
                <w:color w:val="auto"/>
              </w:rPr>
              <w:t>Vijay Talwar</w:t>
            </w:r>
          </w:p>
        </w:tc>
      </w:tr>
      <w:tr>
        <w:trPr>
          <w:trHeight w:val="189"/>
        </w:trPr>
        <w:tc>
          <w:tcPr>
            <w:tcW w:w="6520" w:type="dxa"/>
            <w:vAlign w:val="bottom"/>
          </w:tcPr>
          <w:p>
            <w:pPr>
              <w:ind w:left="100"/>
              <w:spacing w:after="0" w:line="189" w:lineRule="exact"/>
              <w:rPr>
                <w:sz w:val="20"/>
                <w:szCs w:val="20"/>
                <w:color w:val="auto"/>
              </w:rPr>
            </w:pPr>
            <w:r>
              <w:rPr>
                <w:rFonts w:ascii="Arial" w:cs="Arial" w:eastAsia="Arial" w:hAnsi="Arial"/>
                <w:sz w:val="17"/>
                <w:szCs w:val="17"/>
                <w:color w:val="auto"/>
              </w:rPr>
              <w:t>Executive Vice President and Chief Information and Customer Connectivity Officer</w:t>
            </w:r>
          </w:p>
        </w:tc>
        <w:tc>
          <w:tcPr>
            <w:tcW w:w="2380" w:type="dxa"/>
            <w:vAlign w:val="bottom"/>
          </w:tcPr>
          <w:p>
            <w:pPr>
              <w:ind w:left="700"/>
              <w:spacing w:after="0" w:line="189" w:lineRule="exact"/>
              <w:rPr>
                <w:sz w:val="20"/>
                <w:szCs w:val="20"/>
                <w:color w:val="auto"/>
              </w:rPr>
            </w:pPr>
            <w:r>
              <w:rPr>
                <w:rFonts w:ascii="Arial" w:cs="Arial" w:eastAsia="Arial" w:hAnsi="Arial"/>
                <w:sz w:val="17"/>
                <w:szCs w:val="17"/>
                <w:color w:val="auto"/>
              </w:rPr>
              <w:t>Pawan Verma</w:t>
            </w:r>
          </w:p>
        </w:tc>
      </w:tr>
      <w:tr>
        <w:trPr>
          <w:trHeight w:val="189"/>
        </w:trPr>
        <w:tc>
          <w:tcPr>
            <w:tcW w:w="65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Senior Vice President and Chief Accounting Officer</w:t>
            </w:r>
          </w:p>
        </w:tc>
        <w:tc>
          <w:tcPr>
            <w:tcW w:w="2380" w:type="dxa"/>
            <w:vAlign w:val="bottom"/>
            <w:shd w:val="clear" w:color="auto" w:fill="CCEEFF"/>
          </w:tcPr>
          <w:p>
            <w:pPr>
              <w:ind w:left="700"/>
              <w:spacing w:after="0" w:line="189" w:lineRule="exact"/>
              <w:rPr>
                <w:sz w:val="20"/>
                <w:szCs w:val="20"/>
                <w:color w:val="auto"/>
              </w:rPr>
            </w:pPr>
            <w:r>
              <w:rPr>
                <w:rFonts w:ascii="Arial" w:cs="Arial" w:eastAsia="Arial" w:hAnsi="Arial"/>
                <w:sz w:val="17"/>
                <w:szCs w:val="17"/>
                <w:color w:val="auto"/>
              </w:rPr>
              <w:t>Giovanna Cipriano</w:t>
            </w:r>
          </w:p>
        </w:tc>
      </w:tr>
      <w:tr>
        <w:trPr>
          <w:trHeight w:val="189"/>
        </w:trPr>
        <w:tc>
          <w:tcPr>
            <w:tcW w:w="6520" w:type="dxa"/>
            <w:vAlign w:val="bottom"/>
          </w:tcPr>
          <w:p>
            <w:pPr>
              <w:ind w:left="100"/>
              <w:spacing w:after="0" w:line="189" w:lineRule="exact"/>
              <w:rPr>
                <w:sz w:val="20"/>
                <w:szCs w:val="20"/>
                <w:color w:val="auto"/>
              </w:rPr>
            </w:pPr>
            <w:r>
              <w:rPr>
                <w:rFonts w:ascii="Arial" w:cs="Arial" w:eastAsia="Arial" w:hAnsi="Arial"/>
                <w:sz w:val="17"/>
                <w:szCs w:val="17"/>
                <w:color w:val="auto"/>
              </w:rPr>
              <w:t>Senior Vice President, General Counsel and Secretary</w:t>
            </w:r>
          </w:p>
        </w:tc>
        <w:tc>
          <w:tcPr>
            <w:tcW w:w="2380" w:type="dxa"/>
            <w:vAlign w:val="bottom"/>
          </w:tcPr>
          <w:p>
            <w:pPr>
              <w:ind w:left="700"/>
              <w:spacing w:after="0" w:line="189" w:lineRule="exact"/>
              <w:rPr>
                <w:sz w:val="20"/>
                <w:szCs w:val="20"/>
                <w:color w:val="auto"/>
              </w:rPr>
            </w:pPr>
            <w:r>
              <w:rPr>
                <w:rFonts w:ascii="Arial" w:cs="Arial" w:eastAsia="Arial" w:hAnsi="Arial"/>
                <w:sz w:val="17"/>
                <w:szCs w:val="17"/>
                <w:color w:val="auto"/>
              </w:rPr>
              <w:t>Sheilagh M. Clarke</w:t>
            </w:r>
          </w:p>
        </w:tc>
      </w:tr>
      <w:tr>
        <w:trPr>
          <w:trHeight w:val="189"/>
        </w:trPr>
        <w:tc>
          <w:tcPr>
            <w:tcW w:w="65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Senior Vice President — Global Supply Chain</w:t>
            </w:r>
          </w:p>
        </w:tc>
        <w:tc>
          <w:tcPr>
            <w:tcW w:w="2380" w:type="dxa"/>
            <w:vAlign w:val="bottom"/>
            <w:shd w:val="clear" w:color="auto" w:fill="CCEEFF"/>
          </w:tcPr>
          <w:p>
            <w:pPr>
              <w:ind w:left="700"/>
              <w:spacing w:after="0" w:line="189" w:lineRule="exact"/>
              <w:rPr>
                <w:sz w:val="20"/>
                <w:szCs w:val="20"/>
                <w:color w:val="auto"/>
              </w:rPr>
            </w:pPr>
            <w:r>
              <w:rPr>
                <w:rFonts w:ascii="Arial" w:cs="Arial" w:eastAsia="Arial" w:hAnsi="Arial"/>
                <w:sz w:val="17"/>
                <w:szCs w:val="17"/>
                <w:color w:val="auto"/>
              </w:rPr>
              <w:t>Todd Greener</w:t>
            </w:r>
          </w:p>
        </w:tc>
      </w:tr>
      <w:tr>
        <w:trPr>
          <w:trHeight w:val="189"/>
        </w:trPr>
        <w:tc>
          <w:tcPr>
            <w:tcW w:w="6520" w:type="dxa"/>
            <w:vAlign w:val="bottom"/>
          </w:tcPr>
          <w:p>
            <w:pPr>
              <w:ind w:left="100"/>
              <w:spacing w:after="0" w:line="189" w:lineRule="exact"/>
              <w:rPr>
                <w:sz w:val="20"/>
                <w:szCs w:val="20"/>
                <w:color w:val="auto"/>
              </w:rPr>
            </w:pPr>
            <w:r>
              <w:rPr>
                <w:rFonts w:ascii="Arial" w:cs="Arial" w:eastAsia="Arial" w:hAnsi="Arial"/>
                <w:sz w:val="17"/>
                <w:szCs w:val="17"/>
                <w:color w:val="auto"/>
              </w:rPr>
              <w:t>Senior Vice President, Chief Strategy and Development Officer</w:t>
            </w:r>
          </w:p>
        </w:tc>
        <w:tc>
          <w:tcPr>
            <w:tcW w:w="2380" w:type="dxa"/>
            <w:vAlign w:val="bottom"/>
          </w:tcPr>
          <w:p>
            <w:pPr>
              <w:ind w:left="700"/>
              <w:spacing w:after="0" w:line="189" w:lineRule="exact"/>
              <w:rPr>
                <w:sz w:val="20"/>
                <w:szCs w:val="20"/>
                <w:color w:val="auto"/>
              </w:rPr>
            </w:pPr>
            <w:r>
              <w:rPr>
                <w:rFonts w:ascii="Arial" w:cs="Arial" w:eastAsia="Arial" w:hAnsi="Arial"/>
                <w:sz w:val="17"/>
                <w:szCs w:val="17"/>
                <w:color w:val="auto"/>
              </w:rPr>
              <w:t>W. Scott Martin</w:t>
            </w:r>
          </w:p>
        </w:tc>
      </w:tr>
      <w:tr>
        <w:trPr>
          <w:trHeight w:val="189"/>
        </w:trPr>
        <w:tc>
          <w:tcPr>
            <w:tcW w:w="65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Senior Vice President and Chief Human Resources Officer</w:t>
            </w:r>
          </w:p>
        </w:tc>
        <w:tc>
          <w:tcPr>
            <w:tcW w:w="2380" w:type="dxa"/>
            <w:vAlign w:val="bottom"/>
            <w:shd w:val="clear" w:color="auto" w:fill="CCEEFF"/>
          </w:tcPr>
          <w:p>
            <w:pPr>
              <w:ind w:left="700"/>
              <w:spacing w:after="0" w:line="189" w:lineRule="exact"/>
              <w:rPr>
                <w:sz w:val="20"/>
                <w:szCs w:val="20"/>
                <w:color w:val="auto"/>
              </w:rPr>
            </w:pPr>
            <w:r>
              <w:rPr>
                <w:rFonts w:ascii="Arial" w:cs="Arial" w:eastAsia="Arial" w:hAnsi="Arial"/>
                <w:sz w:val="17"/>
                <w:szCs w:val="17"/>
                <w:color w:val="auto"/>
              </w:rPr>
              <w:t>Elizabeth S. Norberg</w:t>
            </w:r>
          </w:p>
        </w:tc>
      </w:tr>
      <w:tr>
        <w:trPr>
          <w:trHeight w:val="189"/>
        </w:trPr>
        <w:tc>
          <w:tcPr>
            <w:tcW w:w="652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Vice President, Treasurer</w:t>
            </w:r>
          </w:p>
        </w:tc>
        <w:tc>
          <w:tcPr>
            <w:tcW w:w="2380" w:type="dxa"/>
            <w:vAlign w:val="bottom"/>
            <w:tcBorders>
              <w:bottom w:val="single" w:sz="8" w:color="auto"/>
            </w:tcBorders>
          </w:tcPr>
          <w:p>
            <w:pPr>
              <w:ind w:left="700"/>
              <w:spacing w:after="0" w:line="189" w:lineRule="exact"/>
              <w:rPr>
                <w:sz w:val="20"/>
                <w:szCs w:val="20"/>
                <w:color w:val="auto"/>
              </w:rPr>
            </w:pPr>
            <w:r>
              <w:rPr>
                <w:rFonts w:ascii="Arial" w:cs="Arial" w:eastAsia="Arial" w:hAnsi="Arial"/>
                <w:sz w:val="17"/>
                <w:szCs w:val="17"/>
                <w:color w:val="auto"/>
              </w:rPr>
              <w:t>John A. Maurer</w:t>
            </w:r>
          </w:p>
        </w:tc>
      </w:tr>
    </w:tbl>
    <w:p>
      <w:pPr>
        <w:spacing w:after="0" w:line="111" w:lineRule="exact"/>
        <w:rPr>
          <w:sz w:val="20"/>
          <w:szCs w:val="20"/>
          <w:color w:val="auto"/>
        </w:rPr>
      </w:pPr>
    </w:p>
    <w:p>
      <w:pPr>
        <w:jc w:val="both"/>
        <w:ind w:left="60" w:right="59"/>
        <w:spacing w:after="0" w:line="265" w:lineRule="auto"/>
        <w:rPr>
          <w:sz w:val="20"/>
          <w:szCs w:val="20"/>
          <w:color w:val="auto"/>
        </w:rPr>
      </w:pPr>
      <w:r>
        <w:rPr>
          <w:rFonts w:ascii="Arial" w:cs="Arial" w:eastAsia="Arial" w:hAnsi="Arial"/>
          <w:sz w:val="17"/>
          <w:szCs w:val="17"/>
          <w:i w:val="1"/>
          <w:iCs w:val="1"/>
          <w:color w:val="auto"/>
        </w:rPr>
        <w:t xml:space="preserve">Richard A. Johnson, </w:t>
      </w:r>
      <w:r>
        <w:rPr>
          <w:rFonts w:ascii="Arial" w:cs="Arial" w:eastAsia="Arial" w:hAnsi="Arial"/>
          <w:sz w:val="17"/>
          <w:szCs w:val="17"/>
          <w:color w:val="auto"/>
        </w:rPr>
        <w:t>age 62, has served as Chairman of the Board since May 2016 and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since December 2014.</w:t>
      </w:r>
    </w:p>
    <w:p>
      <w:pPr>
        <w:spacing w:after="0" w:line="68"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7"/>
          <w:szCs w:val="17"/>
          <w:i w:val="1"/>
          <w:iCs w:val="1"/>
          <w:color w:val="auto"/>
        </w:rPr>
        <w:t xml:space="preserve">Stephen D. Jacobs, </w:t>
      </w:r>
      <w:r>
        <w:rPr>
          <w:rFonts w:ascii="Arial" w:cs="Arial" w:eastAsia="Arial" w:hAnsi="Arial"/>
          <w:sz w:val="17"/>
          <w:szCs w:val="17"/>
          <w:color w:val="auto"/>
        </w:rPr>
        <w:t>age 57, has served as Executive Vice President and Chief Executive Officer — North America</w:t>
      </w:r>
      <w:r>
        <w:rPr>
          <w:rFonts w:ascii="Arial" w:cs="Arial" w:eastAsia="Arial" w:hAnsi="Arial"/>
          <w:sz w:val="17"/>
          <w:szCs w:val="17"/>
          <w:i w:val="1"/>
          <w:iCs w:val="1"/>
          <w:color w:val="auto"/>
        </w:rPr>
        <w:t xml:space="preserve"> </w:t>
      </w:r>
      <w:r>
        <w:rPr>
          <w:rFonts w:ascii="Arial" w:cs="Arial" w:eastAsia="Arial" w:hAnsi="Arial"/>
          <w:sz w:val="17"/>
          <w:szCs w:val="17"/>
          <w:color w:val="auto"/>
        </w:rPr>
        <w:t>since February 2016. He previously served as Executive Vice President and Chief Executive Officer Foot Locker North America from December 2014 through February 2016.</w:t>
      </w:r>
    </w:p>
    <w:p>
      <w:pPr>
        <w:spacing w:after="0" w:line="8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i w:val="1"/>
          <w:iCs w:val="1"/>
          <w:color w:val="auto"/>
        </w:rPr>
        <w:t xml:space="preserve">Lewis P. Kimble, </w:t>
      </w:r>
      <w:r>
        <w:rPr>
          <w:rFonts w:ascii="Arial" w:cs="Arial" w:eastAsia="Arial" w:hAnsi="Arial"/>
          <w:sz w:val="17"/>
          <w:szCs w:val="17"/>
          <w:color w:val="auto"/>
        </w:rPr>
        <w:t>age 61, has served as Executive Vice President and Chief Executive Officer — Asia Pacific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2019. Mr. Kimble previously served as Executive Vice President and Chief Executive Officer — International from February 2016 to February 2019 and President and Chief Executive Officer of Foot Locker Europe from February 2010 to February 2016.</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Lauren B. Peters</w:t>
      </w:r>
      <w:r>
        <w:rPr>
          <w:rFonts w:ascii="Arial" w:cs="Arial" w:eastAsia="Arial" w:hAnsi="Arial"/>
          <w:sz w:val="17"/>
          <w:szCs w:val="17"/>
          <w:color w:val="auto"/>
        </w:rPr>
        <w:t>, age 58, has served as Executive Vice President and Chief Financial Officer since July 2011.</w:t>
      </w:r>
    </w:p>
    <w:p>
      <w:pPr>
        <w:spacing w:after="0" w:line="115" w:lineRule="exact"/>
        <w:rPr>
          <w:sz w:val="20"/>
          <w:szCs w:val="20"/>
          <w:color w:val="auto"/>
        </w:rPr>
      </w:pPr>
    </w:p>
    <w:p>
      <w:pPr>
        <w:jc w:val="both"/>
        <w:ind w:left="60" w:right="59"/>
        <w:spacing w:after="0" w:line="251" w:lineRule="auto"/>
        <w:rPr>
          <w:sz w:val="20"/>
          <w:szCs w:val="20"/>
          <w:color w:val="auto"/>
        </w:rPr>
      </w:pPr>
      <w:r>
        <w:rPr>
          <w:rFonts w:ascii="Arial" w:cs="Arial" w:eastAsia="Arial" w:hAnsi="Arial"/>
          <w:sz w:val="17"/>
          <w:szCs w:val="17"/>
          <w:i w:val="1"/>
          <w:iCs w:val="1"/>
          <w:color w:val="auto"/>
        </w:rPr>
        <w:t xml:space="preserve">Vijay Talwar, </w:t>
      </w:r>
      <w:r>
        <w:rPr>
          <w:rFonts w:ascii="Arial" w:cs="Arial" w:eastAsia="Arial" w:hAnsi="Arial"/>
          <w:sz w:val="17"/>
          <w:szCs w:val="17"/>
          <w:color w:val="auto"/>
        </w:rPr>
        <w:t>age 48, has served as Executive Vice President and Chief Executive Officer — EMEA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2019. Mr. Talwar previously served as President — Digital from March 2018 to February 2019 and President</w:t>
      </w:r>
    </w:p>
    <w:p>
      <w:pPr>
        <w:spacing w:after="0" w:line="1" w:lineRule="exact"/>
        <w:rPr>
          <w:sz w:val="20"/>
          <w:szCs w:val="20"/>
          <w:color w:val="auto"/>
        </w:rPr>
      </w:pPr>
    </w:p>
    <w:p>
      <w:pPr>
        <w:ind w:left="60" w:right="79"/>
        <w:spacing w:after="0" w:line="243" w:lineRule="auto"/>
        <w:rPr>
          <w:sz w:val="20"/>
          <w:szCs w:val="20"/>
          <w:color w:val="auto"/>
        </w:rPr>
      </w:pPr>
      <w:r>
        <w:rPr>
          <w:rFonts w:ascii="Arial" w:cs="Arial" w:eastAsia="Arial" w:hAnsi="Arial"/>
          <w:sz w:val="17"/>
          <w:szCs w:val="17"/>
          <w:color w:val="auto"/>
        </w:rPr>
        <w:t>— Digital/Footlocker.com/Eastbay from September 2016 to March 2018. Mr. Talwar served as President, Gifts and Special Occasions at Sears Holdings Corporation from 2014 to September 2016.</w:t>
      </w:r>
    </w:p>
    <w:p>
      <w:pPr>
        <w:spacing w:after="0" w:line="86" w:lineRule="exact"/>
        <w:rPr>
          <w:sz w:val="20"/>
          <w:szCs w:val="20"/>
          <w:color w:val="auto"/>
        </w:rPr>
      </w:pPr>
    </w:p>
    <w:p>
      <w:pPr>
        <w:jc w:val="both"/>
        <w:ind w:left="60" w:right="59"/>
        <w:spacing w:after="0"/>
        <w:rPr>
          <w:sz w:val="20"/>
          <w:szCs w:val="20"/>
          <w:color w:val="auto"/>
        </w:rPr>
      </w:pPr>
      <w:r>
        <w:rPr>
          <w:rFonts w:ascii="Arial" w:cs="Arial" w:eastAsia="Arial" w:hAnsi="Arial"/>
          <w:sz w:val="17"/>
          <w:szCs w:val="17"/>
          <w:i w:val="1"/>
          <w:iCs w:val="1"/>
          <w:color w:val="auto"/>
        </w:rPr>
        <w:t>Pawan Verma</w:t>
      </w:r>
      <w:r>
        <w:rPr>
          <w:rFonts w:ascii="Arial" w:cs="Arial" w:eastAsia="Arial" w:hAnsi="Arial"/>
          <w:sz w:val="17"/>
          <w:szCs w:val="17"/>
          <w:color w:val="auto"/>
        </w:rPr>
        <w:t>, age 43, has served as Executive Vice President, Chief Information and Customer Connectivity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since October 2017 and as Senior Vice President and Chief Information Officer from August 2015 to September 2017. From February 2013 to July 2015, Mr. Verma served in various technology leadership roles at Target Corporation within enterprise architecture, e-commerce, mobile, and digital, with his most recent role as Vice President — Digital Technology and API Platforms.</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 xml:space="preserve">Giovanna Cipriano, </w:t>
      </w:r>
      <w:r>
        <w:rPr>
          <w:rFonts w:ascii="Arial" w:cs="Arial" w:eastAsia="Arial" w:hAnsi="Arial"/>
          <w:sz w:val="17"/>
          <w:szCs w:val="17"/>
          <w:color w:val="auto"/>
        </w:rPr>
        <w:t>age 50, has served as Senior Vice President and Chief Accounting Officer since May 2009.</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 xml:space="preserve">Sheilagh M. Clarke, </w:t>
      </w:r>
      <w:r>
        <w:rPr>
          <w:rFonts w:ascii="Arial" w:cs="Arial" w:eastAsia="Arial" w:hAnsi="Arial"/>
          <w:sz w:val="17"/>
          <w:szCs w:val="17"/>
          <w:color w:val="auto"/>
        </w:rPr>
        <w:t>age 60, has served as Senior Vice President, General Counsel and Secretary since June 2014.</w:t>
      </w:r>
    </w:p>
    <w:p>
      <w:pPr>
        <w:spacing w:after="0" w:line="322"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49" w:right="1440" w:bottom="1440" w:gutter="0" w:footer="0" w:header="0"/>
        </w:sectPr>
      </w:pPr>
    </w:p>
    <w:bookmarkStart w:id="16" w:name="page17"/>
    <w:bookmarkEnd w:id="16"/>
    <w:p>
      <w:pPr>
        <w:jc w:val="both"/>
        <w:ind w:left="60" w:right="59"/>
        <w:spacing w:after="0" w:line="243" w:lineRule="auto"/>
        <w:rPr>
          <w:sz w:val="20"/>
          <w:szCs w:val="20"/>
          <w:color w:val="auto"/>
        </w:rPr>
      </w:pPr>
      <w:r>
        <w:rPr>
          <w:rFonts w:ascii="Arial" w:cs="Arial" w:eastAsia="Arial" w:hAnsi="Arial"/>
          <w:sz w:val="17"/>
          <w:szCs w:val="17"/>
          <w:i w:val="1"/>
          <w:iCs w:val="1"/>
          <w:color w:val="auto"/>
        </w:rPr>
        <w:t>Todd Greener</w:t>
      </w:r>
      <w:r>
        <w:rPr>
          <w:rFonts w:ascii="Arial" w:cs="Arial" w:eastAsia="Arial" w:hAnsi="Arial"/>
          <w:sz w:val="17"/>
          <w:szCs w:val="17"/>
          <w:color w:val="auto"/>
        </w:rPr>
        <w:t>, age 49, has served as Senior Vice President — Global Supply Chain since October 2018. Mr. Greener</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served as Senior Vice President — Supply Chain at Advance Auto Parts from March 2015 to October 2018 and General Manager — Appliance Distribution Operations at General Electric Company from September 2012 to February 2015.</w:t>
      </w:r>
    </w:p>
    <w:p>
      <w:pPr>
        <w:spacing w:after="0" w:line="86" w:lineRule="exact"/>
        <w:rPr>
          <w:sz w:val="20"/>
          <w:szCs w:val="20"/>
          <w:color w:val="auto"/>
        </w:rPr>
      </w:pPr>
    </w:p>
    <w:p>
      <w:pPr>
        <w:jc w:val="both"/>
        <w:ind w:left="60" w:right="59"/>
        <w:spacing w:after="0"/>
        <w:rPr>
          <w:sz w:val="20"/>
          <w:szCs w:val="20"/>
          <w:color w:val="auto"/>
        </w:rPr>
      </w:pPr>
      <w:r>
        <w:rPr>
          <w:rFonts w:ascii="Arial" w:cs="Arial" w:eastAsia="Arial" w:hAnsi="Arial"/>
          <w:sz w:val="17"/>
          <w:szCs w:val="17"/>
          <w:i w:val="1"/>
          <w:iCs w:val="1"/>
          <w:color w:val="auto"/>
        </w:rPr>
        <w:t xml:space="preserve">W. Scott Martin, </w:t>
      </w:r>
      <w:r>
        <w:rPr>
          <w:rFonts w:ascii="Arial" w:cs="Arial" w:eastAsia="Arial" w:hAnsi="Arial"/>
          <w:sz w:val="17"/>
          <w:szCs w:val="17"/>
          <w:color w:val="auto"/>
        </w:rPr>
        <w:t>age 52, has served as Senior Vice President, Chief Strategy and Development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March 27, 2019. Previously he served as Senior Vice President — Strategy and Store Development from October 2017 to March 26, 2019 and as Senior Vice President — Real Estate from June 2016 to September 2017. Mr. Martin previously served as Vice President, Store Development – Asia Pacific with Gap Inc. from June 2014 to June 2016.</w:t>
      </w:r>
    </w:p>
    <w:p>
      <w:pPr>
        <w:spacing w:after="0" w:line="28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i w:val="1"/>
          <w:iCs w:val="1"/>
          <w:color w:val="auto"/>
        </w:rPr>
        <w:t>Elizabeth S. Norberg</w:t>
      </w:r>
      <w:r>
        <w:rPr>
          <w:rFonts w:ascii="Arial" w:cs="Arial" w:eastAsia="Arial" w:hAnsi="Arial"/>
          <w:sz w:val="17"/>
          <w:szCs w:val="17"/>
          <w:color w:val="auto"/>
        </w:rPr>
        <w:t>, age 53, has served as Senior Vice President and Chief Human Resources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2018. Ms. Norberg previously served as Executive Vice President, Chief Human Resources Officer at Loews Hotels &amp; Co. (a subsidiary of Loews Corporation) from August 2017 to September 2018, Executive Vice President, Chief Human Resources Officer at Red Lion Hotels Corporation from June 2016 to August 2017, and Vice President and Chief of Human Resources Operations, Health System at Northwell Health from January 2015 to June 2016.</w:t>
      </w:r>
    </w:p>
    <w:p>
      <w:pPr>
        <w:spacing w:after="0" w:line="92" w:lineRule="exact"/>
        <w:rPr>
          <w:sz w:val="20"/>
          <w:szCs w:val="20"/>
          <w:color w:val="auto"/>
        </w:rPr>
      </w:pPr>
    </w:p>
    <w:p>
      <w:pPr>
        <w:jc w:val="both"/>
        <w:ind w:left="60" w:right="59"/>
        <w:spacing w:after="0" w:line="265" w:lineRule="auto"/>
        <w:rPr>
          <w:sz w:val="20"/>
          <w:szCs w:val="20"/>
          <w:color w:val="auto"/>
        </w:rPr>
      </w:pPr>
      <w:r>
        <w:rPr>
          <w:rFonts w:ascii="Arial" w:cs="Arial" w:eastAsia="Arial" w:hAnsi="Arial"/>
          <w:sz w:val="17"/>
          <w:szCs w:val="17"/>
          <w:i w:val="1"/>
          <w:iCs w:val="1"/>
          <w:color w:val="auto"/>
        </w:rPr>
        <w:t xml:space="preserve">John A. Maurer, </w:t>
      </w:r>
      <w:r>
        <w:rPr>
          <w:rFonts w:ascii="Arial" w:cs="Arial" w:eastAsia="Arial" w:hAnsi="Arial"/>
          <w:sz w:val="17"/>
          <w:szCs w:val="17"/>
          <w:color w:val="auto"/>
        </w:rPr>
        <w:t>age 60, has served as Vice President, Treasurer since September 2006. In addition to this role, he</w:t>
      </w:r>
      <w:r>
        <w:rPr>
          <w:rFonts w:ascii="Arial" w:cs="Arial" w:eastAsia="Arial" w:hAnsi="Arial"/>
          <w:sz w:val="17"/>
          <w:szCs w:val="17"/>
          <w:i w:val="1"/>
          <w:iCs w:val="1"/>
          <w:color w:val="auto"/>
        </w:rPr>
        <w:t xml:space="preserve"> </w:t>
      </w:r>
      <w:r>
        <w:rPr>
          <w:rFonts w:ascii="Arial" w:cs="Arial" w:eastAsia="Arial" w:hAnsi="Arial"/>
          <w:sz w:val="17"/>
          <w:szCs w:val="17"/>
          <w:color w:val="auto"/>
        </w:rPr>
        <w:t>also served as the Vice President of Investor Relations from February 2011 through March 2018.</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There are no family relationships among the executive officers or directors of the Company.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10" w:lineRule="exact"/>
        <w:rPr>
          <w:sz w:val="20"/>
          <w:szCs w:val="20"/>
          <w:color w:val="auto"/>
        </w:rPr>
      </w:pPr>
    </w:p>
    <w:p>
      <w:pPr>
        <w:jc w:val="both"/>
        <w:ind w:left="700" w:right="79" w:hanging="647"/>
        <w:spacing w:after="0" w:line="267" w:lineRule="auto"/>
        <w:rPr>
          <w:sz w:val="20"/>
          <w:szCs w:val="20"/>
          <w:color w:val="auto"/>
        </w:rPr>
      </w:pPr>
      <w:r>
        <w:rPr>
          <w:rFonts w:ascii="Arial" w:cs="Arial" w:eastAsia="Arial" w:hAnsi="Arial"/>
          <w:sz w:val="17"/>
          <w:szCs w:val="17"/>
          <w:b w:val="1"/>
          <w:bCs w:val="1"/>
          <w:i w:val="1"/>
          <w:iCs w:val="1"/>
          <w:color w:val="auto"/>
        </w:rPr>
        <w:t>Item 5. Market for the Company’s Common Equity, Related Stockholder Matters and Issuer Purchases of Equity Securities</w:t>
      </w:r>
    </w:p>
    <w:p>
      <w:pPr>
        <w:spacing w:after="0" w:line="13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Foot Locker, Inc. common stock (ticker symbol “FL”) is listed on The New York Stock Exchange as well as on the Börse Stuttgart stock exchange in Germany. As of February 1, 2020, we had 12,223 shareholders of record owning 104,187,310 common shares. During each of the quarters of 2019, the Company declared a dividend of $0.38 per share. The Board of Directors reviews the dividend policy and rate, taking into consideration the overall financial and strategic outlook for our earnings, liquidity, and cash flow. On February 19, 2020, the Board of Directors declared a quarterly dividend of $0.40 per share to be paid on May 1, 2020. This dividend represents a 5 percent increase over the previous quarterly per share amount.</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is a summary of our fourth quarter share repurchases: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7"/>
                <w:szCs w:val="17"/>
                <w:b w:val="1"/>
                <w:bCs w:val="1"/>
                <w:color w:val="auto"/>
                <w:w w:val="99"/>
              </w:rPr>
              <w:t>Total Number of</w:t>
            </w:r>
          </w:p>
        </w:tc>
        <w:tc>
          <w:tcPr>
            <w:tcW w:w="220" w:type="dxa"/>
            <w:vAlign w:val="bottom"/>
          </w:tcPr>
          <w:p>
            <w:pPr>
              <w:spacing w:after="0"/>
              <w:rPr>
                <w:sz w:val="16"/>
                <w:szCs w:val="16"/>
                <w:color w:val="auto"/>
              </w:rPr>
            </w:pPr>
          </w:p>
        </w:tc>
        <w:tc>
          <w:tcPr>
            <w:tcW w:w="1320" w:type="dxa"/>
            <w:vAlign w:val="bottom"/>
          </w:tcPr>
          <w:p>
            <w:pPr>
              <w:jc w:val="center"/>
              <w:ind w:right="15"/>
              <w:spacing w:after="0"/>
              <w:rPr>
                <w:sz w:val="20"/>
                <w:szCs w:val="20"/>
                <w:color w:val="auto"/>
              </w:rPr>
            </w:pPr>
            <w:r>
              <w:rPr>
                <w:rFonts w:ascii="Arial" w:cs="Arial" w:eastAsia="Arial" w:hAnsi="Arial"/>
                <w:sz w:val="17"/>
                <w:szCs w:val="17"/>
                <w:b w:val="1"/>
                <w:bCs w:val="1"/>
                <w:color w:val="auto"/>
                <w:w w:val="99"/>
              </w:rPr>
              <w:t>Dollar Value of</w:t>
            </w:r>
          </w:p>
        </w:tc>
      </w:tr>
      <w:tr>
        <w:trPr>
          <w:trHeight w:val="189"/>
        </w:trPr>
        <w:tc>
          <w:tcPr>
            <w:tcW w:w="3000" w:type="dxa"/>
            <w:vAlign w:val="bottom"/>
          </w:tcPr>
          <w:p>
            <w:pPr>
              <w:spacing w:after="0"/>
              <w:rPr>
                <w:sz w:val="16"/>
                <w:szCs w:val="16"/>
                <w:color w:val="auto"/>
              </w:rPr>
            </w:pPr>
          </w:p>
        </w:tc>
        <w:tc>
          <w:tcPr>
            <w:tcW w:w="1520" w:type="dxa"/>
            <w:vAlign w:val="bottom"/>
          </w:tcPr>
          <w:p>
            <w:pPr>
              <w:jc w:val="center"/>
              <w:ind w:left="135"/>
              <w:spacing w:after="0" w:line="189" w:lineRule="exact"/>
              <w:rPr>
                <w:sz w:val="20"/>
                <w:szCs w:val="20"/>
                <w:color w:val="auto"/>
              </w:rPr>
            </w:pPr>
            <w:r>
              <w:rPr>
                <w:rFonts w:ascii="Arial" w:cs="Arial" w:eastAsia="Arial" w:hAnsi="Arial"/>
                <w:sz w:val="17"/>
                <w:szCs w:val="17"/>
                <w:b w:val="1"/>
                <w:bCs w:val="1"/>
                <w:color w:val="auto"/>
                <w:w w:val="93"/>
              </w:rPr>
              <w:t>Total</w:t>
            </w:r>
          </w:p>
        </w:tc>
        <w:tc>
          <w:tcPr>
            <w:tcW w:w="90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Average</w:t>
            </w:r>
          </w:p>
        </w:tc>
        <w:tc>
          <w:tcPr>
            <w:tcW w:w="19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Shares Purchased as</w:t>
            </w:r>
          </w:p>
        </w:tc>
        <w:tc>
          <w:tcPr>
            <w:tcW w:w="1540" w:type="dxa"/>
            <w:vAlign w:val="bottom"/>
            <w:gridSpan w:val="2"/>
          </w:tcPr>
          <w:p>
            <w:pPr>
              <w:jc w:val="center"/>
              <w:ind w:left="55"/>
              <w:spacing w:after="0" w:line="189" w:lineRule="exact"/>
              <w:rPr>
                <w:sz w:val="20"/>
                <w:szCs w:val="20"/>
                <w:color w:val="auto"/>
              </w:rPr>
            </w:pPr>
            <w:r>
              <w:rPr>
                <w:rFonts w:ascii="Arial" w:cs="Arial" w:eastAsia="Arial" w:hAnsi="Arial"/>
                <w:sz w:val="17"/>
                <w:szCs w:val="17"/>
                <w:b w:val="1"/>
                <w:bCs w:val="1"/>
                <w:color w:val="auto"/>
              </w:rPr>
              <w:t>Shares that may</w:t>
            </w:r>
          </w:p>
        </w:tc>
      </w:tr>
      <w:tr>
        <w:trPr>
          <w:trHeight w:val="189"/>
        </w:trPr>
        <w:tc>
          <w:tcPr>
            <w:tcW w:w="3000" w:type="dxa"/>
            <w:vAlign w:val="bottom"/>
          </w:tcPr>
          <w:p>
            <w:pPr>
              <w:spacing w:after="0"/>
              <w:rPr>
                <w:sz w:val="16"/>
                <w:szCs w:val="16"/>
                <w:color w:val="auto"/>
              </w:rPr>
            </w:pPr>
          </w:p>
        </w:tc>
        <w:tc>
          <w:tcPr>
            <w:tcW w:w="1520" w:type="dxa"/>
            <w:vAlign w:val="bottom"/>
          </w:tcPr>
          <w:p>
            <w:pPr>
              <w:jc w:val="center"/>
              <w:ind w:left="135"/>
              <w:spacing w:after="0" w:line="189" w:lineRule="exact"/>
              <w:rPr>
                <w:sz w:val="20"/>
                <w:szCs w:val="20"/>
                <w:color w:val="auto"/>
              </w:rPr>
            </w:pPr>
            <w:r>
              <w:rPr>
                <w:rFonts w:ascii="Arial" w:cs="Arial" w:eastAsia="Arial" w:hAnsi="Arial"/>
                <w:sz w:val="17"/>
                <w:szCs w:val="17"/>
                <w:b w:val="1"/>
                <w:bCs w:val="1"/>
                <w:color w:val="auto"/>
              </w:rPr>
              <w:t>Number</w:t>
            </w:r>
          </w:p>
        </w:tc>
        <w:tc>
          <w:tcPr>
            <w:tcW w:w="220" w:type="dxa"/>
            <w:vAlign w:val="bottom"/>
          </w:tcPr>
          <w:p>
            <w:pPr>
              <w:spacing w:after="0"/>
              <w:rPr>
                <w:sz w:val="16"/>
                <w:szCs w:val="16"/>
                <w:color w:val="auto"/>
              </w:rPr>
            </w:pPr>
          </w:p>
        </w:tc>
        <w:tc>
          <w:tcPr>
            <w:tcW w:w="68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Price</w:t>
            </w:r>
          </w:p>
        </w:tc>
        <w:tc>
          <w:tcPr>
            <w:tcW w:w="19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Part of Publicly</w:t>
            </w:r>
          </w:p>
        </w:tc>
        <w:tc>
          <w:tcPr>
            <w:tcW w:w="1540" w:type="dxa"/>
            <w:vAlign w:val="bottom"/>
            <w:gridSpan w:val="2"/>
          </w:tcPr>
          <w:p>
            <w:pPr>
              <w:jc w:val="center"/>
              <w:ind w:left="35"/>
              <w:spacing w:after="0" w:line="189" w:lineRule="exact"/>
              <w:rPr>
                <w:sz w:val="20"/>
                <w:szCs w:val="20"/>
                <w:color w:val="auto"/>
              </w:rPr>
            </w:pPr>
            <w:r>
              <w:rPr>
                <w:rFonts w:ascii="Arial" w:cs="Arial" w:eastAsia="Arial" w:hAnsi="Arial"/>
                <w:sz w:val="17"/>
                <w:szCs w:val="17"/>
                <w:b w:val="1"/>
                <w:bCs w:val="1"/>
                <w:color w:val="auto"/>
              </w:rPr>
              <w:t>yet be Purchased</w:t>
            </w:r>
          </w:p>
        </w:tc>
      </w:tr>
      <w:tr>
        <w:trPr>
          <w:trHeight w:val="189"/>
        </w:trPr>
        <w:tc>
          <w:tcPr>
            <w:tcW w:w="3000" w:type="dxa"/>
            <w:vAlign w:val="bottom"/>
          </w:tcPr>
          <w:p>
            <w:pPr>
              <w:spacing w:after="0"/>
              <w:rPr>
                <w:sz w:val="16"/>
                <w:szCs w:val="16"/>
                <w:color w:val="auto"/>
              </w:rPr>
            </w:pPr>
          </w:p>
        </w:tc>
        <w:tc>
          <w:tcPr>
            <w:tcW w:w="1520" w:type="dxa"/>
            <w:vAlign w:val="bottom"/>
          </w:tcPr>
          <w:p>
            <w:pPr>
              <w:jc w:val="center"/>
              <w:ind w:left="135"/>
              <w:spacing w:after="0" w:line="189" w:lineRule="exact"/>
              <w:rPr>
                <w:sz w:val="20"/>
                <w:szCs w:val="20"/>
                <w:color w:val="auto"/>
              </w:rPr>
            </w:pPr>
            <w:r>
              <w:rPr>
                <w:rFonts w:ascii="Arial" w:cs="Arial" w:eastAsia="Arial" w:hAnsi="Arial"/>
                <w:sz w:val="17"/>
                <w:szCs w:val="17"/>
                <w:b w:val="1"/>
                <w:bCs w:val="1"/>
                <w:color w:val="auto"/>
              </w:rPr>
              <w:t>of Shares</w:t>
            </w:r>
          </w:p>
        </w:tc>
        <w:tc>
          <w:tcPr>
            <w:tcW w:w="900" w:type="dxa"/>
            <w:vAlign w:val="bottom"/>
            <w:gridSpan w:val="2"/>
          </w:tcPr>
          <w:p>
            <w:pPr>
              <w:ind w:left="100"/>
              <w:spacing w:after="0" w:line="189" w:lineRule="exact"/>
              <w:rPr>
                <w:sz w:val="20"/>
                <w:szCs w:val="20"/>
                <w:color w:val="auto"/>
              </w:rPr>
            </w:pPr>
            <w:r>
              <w:rPr>
                <w:rFonts w:ascii="Arial" w:cs="Arial" w:eastAsia="Arial" w:hAnsi="Arial"/>
                <w:sz w:val="17"/>
                <w:szCs w:val="17"/>
                <w:b w:val="1"/>
                <w:bCs w:val="1"/>
                <w:color w:val="auto"/>
              </w:rPr>
              <w:t>Paid Per</w:t>
            </w:r>
          </w:p>
        </w:tc>
        <w:tc>
          <w:tcPr>
            <w:tcW w:w="19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Announced</w:t>
            </w:r>
          </w:p>
        </w:tc>
        <w:tc>
          <w:tcPr>
            <w:tcW w:w="22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 the</w:t>
            </w:r>
          </w:p>
        </w:tc>
      </w:tr>
      <w:tr>
        <w:trPr>
          <w:trHeight w:val="215"/>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Date Purchased</w:t>
            </w:r>
          </w:p>
        </w:tc>
        <w:tc>
          <w:tcPr>
            <w:tcW w:w="1520" w:type="dxa"/>
            <w:vAlign w:val="bottom"/>
            <w:tcBorders>
              <w:bottom w:val="single" w:sz="8" w:color="auto"/>
            </w:tcBorders>
          </w:tcPr>
          <w:p>
            <w:pPr>
              <w:jc w:val="center"/>
              <w:ind w:left="155"/>
              <w:spacing w:after="0" w:line="216"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4"/>
                <w:szCs w:val="24"/>
                <w:color w:val="auto"/>
                <w:vertAlign w:val="superscript"/>
              </w:rPr>
              <w:t>(1)</w:t>
            </w:r>
          </w:p>
        </w:tc>
        <w:tc>
          <w:tcPr>
            <w:tcW w:w="900" w:type="dxa"/>
            <w:vAlign w:val="bottom"/>
            <w:tcBorders>
              <w:bottom w:val="single" w:sz="8" w:color="auto"/>
            </w:tcBorders>
            <w:gridSpan w:val="2"/>
          </w:tcPr>
          <w:p>
            <w:pPr>
              <w:ind w:left="100"/>
              <w:spacing w:after="0" w:line="216" w:lineRule="exact"/>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4"/>
                <w:szCs w:val="24"/>
                <w:color w:val="auto"/>
                <w:vertAlign w:val="superscript"/>
              </w:rPr>
              <w:t>(1)</w:t>
            </w:r>
          </w:p>
        </w:tc>
        <w:tc>
          <w:tcPr>
            <w:tcW w:w="19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
              <w:spacing w:after="0" w:line="216"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r>
      <w:tr>
        <w:trPr>
          <w:trHeight w:val="183"/>
        </w:trPr>
        <w:tc>
          <w:tcPr>
            <w:tcW w:w="3000" w:type="dxa"/>
            <w:vAlign w:val="bottom"/>
          </w:tcPr>
          <w:p>
            <w:pPr>
              <w:ind w:left="20"/>
              <w:spacing w:after="0" w:line="183" w:lineRule="exact"/>
              <w:rPr>
                <w:sz w:val="20"/>
                <w:szCs w:val="20"/>
                <w:color w:val="auto"/>
              </w:rPr>
            </w:pPr>
            <w:r>
              <w:rPr>
                <w:rFonts w:ascii="Arial" w:cs="Arial" w:eastAsia="Arial" w:hAnsi="Arial"/>
                <w:sz w:val="17"/>
                <w:szCs w:val="17"/>
                <w:color w:val="auto"/>
              </w:rPr>
              <w:t>November 3 to November 30, 2019</w:t>
            </w:r>
          </w:p>
        </w:tc>
        <w:tc>
          <w:tcPr>
            <w:tcW w:w="1520" w:type="dxa"/>
            <w:vAlign w:val="bottom"/>
          </w:tcPr>
          <w:p>
            <w:pPr>
              <w:jc w:val="right"/>
              <w:ind w:right="75"/>
              <w:spacing w:after="0" w:line="183" w:lineRule="exact"/>
              <w:rPr>
                <w:sz w:val="20"/>
                <w:szCs w:val="20"/>
                <w:color w:val="auto"/>
              </w:rPr>
            </w:pPr>
            <w:r>
              <w:rPr>
                <w:rFonts w:ascii="Arial" w:cs="Arial" w:eastAsia="Arial" w:hAnsi="Arial"/>
                <w:sz w:val="17"/>
                <w:szCs w:val="17"/>
                <w:color w:val="auto"/>
              </w:rPr>
              <w:t>50,301</w:t>
            </w:r>
          </w:p>
        </w:tc>
        <w:tc>
          <w:tcPr>
            <w:tcW w:w="220" w:type="dxa"/>
            <w:vAlign w:val="bottom"/>
          </w:tcPr>
          <w:p>
            <w:pPr>
              <w:ind w:left="100"/>
              <w:spacing w:after="0" w:line="183" w:lineRule="exact"/>
              <w:rPr>
                <w:sz w:val="20"/>
                <w:szCs w:val="20"/>
                <w:color w:val="auto"/>
              </w:rPr>
            </w:pPr>
            <w:r>
              <w:rPr>
                <w:rFonts w:ascii="Arial" w:cs="Arial" w:eastAsia="Arial" w:hAnsi="Arial"/>
                <w:sz w:val="17"/>
                <w:szCs w:val="17"/>
                <w:color w:val="auto"/>
              </w:rPr>
              <w:t>$</w:t>
            </w:r>
          </w:p>
        </w:tc>
        <w:tc>
          <w:tcPr>
            <w:tcW w:w="680" w:type="dxa"/>
            <w:vAlign w:val="bottom"/>
          </w:tcPr>
          <w:p>
            <w:pPr>
              <w:jc w:val="right"/>
              <w:ind w:right="75"/>
              <w:spacing w:after="0" w:line="183" w:lineRule="exact"/>
              <w:rPr>
                <w:sz w:val="20"/>
                <w:szCs w:val="20"/>
                <w:color w:val="auto"/>
              </w:rPr>
            </w:pPr>
            <w:r>
              <w:rPr>
                <w:rFonts w:ascii="Arial" w:cs="Arial" w:eastAsia="Arial" w:hAnsi="Arial"/>
                <w:sz w:val="17"/>
                <w:szCs w:val="17"/>
                <w:color w:val="auto"/>
              </w:rPr>
              <w:t>41.94</w:t>
            </w:r>
          </w:p>
        </w:tc>
        <w:tc>
          <w:tcPr>
            <w:tcW w:w="1940" w:type="dxa"/>
            <w:vAlign w:val="bottom"/>
          </w:tcPr>
          <w:p>
            <w:pPr>
              <w:jc w:val="right"/>
              <w:ind w:right="55"/>
              <w:spacing w:after="0" w:line="183" w:lineRule="exact"/>
              <w:rPr>
                <w:sz w:val="20"/>
                <w:szCs w:val="20"/>
                <w:color w:val="auto"/>
              </w:rPr>
            </w:pPr>
            <w:r>
              <w:rPr>
                <w:rFonts w:ascii="Arial" w:cs="Arial" w:eastAsia="Arial" w:hAnsi="Arial"/>
                <w:sz w:val="17"/>
                <w:szCs w:val="17"/>
                <w:color w:val="auto"/>
              </w:rPr>
              <w:t>50,000</w:t>
            </w:r>
          </w:p>
        </w:tc>
        <w:tc>
          <w:tcPr>
            <w:tcW w:w="2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320" w:type="dxa"/>
            <w:vAlign w:val="bottom"/>
          </w:tcPr>
          <w:p>
            <w:pPr>
              <w:jc w:val="right"/>
              <w:spacing w:after="0" w:line="183" w:lineRule="exact"/>
              <w:rPr>
                <w:sz w:val="20"/>
                <w:szCs w:val="20"/>
                <w:color w:val="auto"/>
              </w:rPr>
            </w:pPr>
            <w:r>
              <w:rPr>
                <w:rFonts w:ascii="Arial" w:cs="Arial" w:eastAsia="Arial" w:hAnsi="Arial"/>
                <w:sz w:val="17"/>
                <w:szCs w:val="17"/>
                <w:color w:val="auto"/>
              </w:rPr>
              <w:t>899,873,959</w:t>
            </w:r>
          </w:p>
        </w:tc>
      </w:tr>
      <w:tr>
        <w:trPr>
          <w:trHeight w:val="189"/>
        </w:trPr>
        <w:tc>
          <w:tcPr>
            <w:tcW w:w="30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December 1 to January 4, 2020</w:t>
            </w:r>
          </w:p>
        </w:tc>
        <w:tc>
          <w:tcPr>
            <w:tcW w:w="15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831,423</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39.28</w:t>
            </w:r>
          </w:p>
        </w:tc>
        <w:tc>
          <w:tcPr>
            <w:tcW w:w="19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831,423</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867,215,222</w:t>
            </w:r>
          </w:p>
        </w:tc>
      </w:tr>
      <w:tr>
        <w:trPr>
          <w:trHeight w:val="189"/>
        </w:trPr>
        <w:tc>
          <w:tcPr>
            <w:tcW w:w="30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January 5 to February 1, 2020</w:t>
            </w:r>
          </w:p>
        </w:tc>
        <w:tc>
          <w:tcPr>
            <w:tcW w:w="15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9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867,215,222</w:t>
            </w:r>
          </w:p>
        </w:tc>
      </w:tr>
      <w:tr>
        <w:trPr>
          <w:trHeight w:val="183"/>
        </w:trPr>
        <w:tc>
          <w:tcPr>
            <w:tcW w:w="30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881,724</w:t>
            </w:r>
          </w:p>
        </w:tc>
        <w:tc>
          <w:tcPr>
            <w:tcW w:w="22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39.43</w:t>
            </w:r>
          </w:p>
        </w:tc>
        <w:tc>
          <w:tcPr>
            <w:tcW w:w="19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881,423</w:t>
            </w:r>
          </w:p>
        </w:tc>
        <w:tc>
          <w:tcPr>
            <w:tcW w:w="2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r>
    </w:tbl>
    <w:p>
      <w:pPr>
        <w:spacing w:after="0" w:line="134" w:lineRule="exact"/>
        <w:rPr>
          <w:sz w:val="20"/>
          <w:szCs w:val="20"/>
          <w:color w:val="auto"/>
        </w:rPr>
      </w:pPr>
    </w:p>
    <w:p>
      <w:pPr>
        <w:jc w:val="both"/>
        <w:ind w:left="380" w:right="79" w:hanging="330"/>
        <w:spacing w:after="0" w:line="248"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These columns also reflect shares acquired in satisfaction of the tax withholding obligation of holders of restricted stock awards, which vested during the quarter, and shares repurchased pursuant to Rule 10b5-1 under the Securities Exchange Act of 1934. The calculation of the average price paid per share includes all fees, commissions, and other costs associated with the repurchase of such shares.</w:t>
      </w:r>
    </w:p>
    <w:p>
      <w:pPr>
        <w:spacing w:after="0" w:line="90" w:lineRule="exact"/>
        <w:rPr>
          <w:rFonts w:ascii="Arial" w:cs="Arial" w:eastAsia="Arial" w:hAnsi="Arial"/>
          <w:sz w:val="13"/>
          <w:szCs w:val="13"/>
          <w:color w:val="auto"/>
        </w:rPr>
      </w:pPr>
    </w:p>
    <w:p>
      <w:pPr>
        <w:ind w:left="380" w:right="79" w:hanging="330"/>
        <w:spacing w:after="0" w:line="258"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On February 20, 2019, the Board of Directors approved a new 3-year, $1.2 billion share repurchase program extending through January 2022. Through February 1, 2020, 8 million shares of common stock were purchased under this program for an aggregate cost of $333 million.</w:t>
      </w:r>
    </w:p>
    <w:p>
      <w:pPr>
        <w:spacing w:after="0" w:line="146"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31"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7"/>
          <w:szCs w:val="17"/>
          <w:b w:val="1"/>
          <w:bCs w:val="1"/>
          <w:color w:val="auto"/>
        </w:rPr>
        <w:t>Performance Graph</w:t>
      </w:r>
    </w:p>
    <w:p>
      <w:pPr>
        <w:spacing w:after="0" w:line="176"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7"/>
          <w:szCs w:val="17"/>
          <w:color w:val="auto"/>
        </w:rPr>
        <w:t>The graph below compares the cumulative five-year total return to shareholders (common stock price appreciation plus dividends, on a reinvested basis) on our common stock relative to the total returns of the S&amp;P 400 Specialty Retailing Index and the Russell Midcap Index.</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Indexed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8890</wp:posOffset>
            </wp:positionV>
            <wp:extent cx="4029075" cy="2005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2907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8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1/31/2015</w:t>
            </w:r>
          </w:p>
        </w:tc>
        <w:tc>
          <w:tcPr>
            <w:tcW w:w="9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1/30/2016</w:t>
            </w:r>
          </w:p>
        </w:tc>
        <w:tc>
          <w:tcPr>
            <w:tcW w:w="9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1/28/2017</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9"/>
              </w:rPr>
              <w:t>2/3/2018</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2/2/2019</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2/1/2020</w:t>
            </w:r>
          </w:p>
        </w:tc>
      </w:tr>
      <w:tr>
        <w:trPr>
          <w:trHeight w:val="156"/>
        </w:trPr>
        <w:tc>
          <w:tcPr>
            <w:tcW w:w="28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Foot Locker, Inc.</w:t>
            </w:r>
          </w:p>
        </w:tc>
        <w:tc>
          <w:tcPr>
            <w:tcW w:w="8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100.00</w:t>
            </w:r>
          </w:p>
        </w:tc>
        <w:tc>
          <w:tcPr>
            <w:tcW w:w="3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128.91</w:t>
            </w:r>
          </w:p>
        </w:tc>
        <w:tc>
          <w:tcPr>
            <w:tcW w:w="2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132.00</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96.46</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112.86</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80.45</w:t>
            </w: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S&amp;P 400 Specialty Retailing Index</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84.71</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82.38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80.29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81.15</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82.25</w:t>
            </w:r>
          </w:p>
        </w:tc>
      </w:tr>
      <w:tr>
        <w:trPr>
          <w:trHeight w:val="162"/>
        </w:trPr>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Russell Midcap Index</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92.61</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157.30</w:t>
            </w:r>
          </w:p>
        </w:tc>
      </w:tr>
    </w:tbl>
    <w:p>
      <w:pPr>
        <w:spacing w:after="0" w:line="18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previously used the S&amp;P 500 Specialty Retailing Index and the S&amp;P 500 Index, however, due to the reduction in size of our market capitalization it was determined that the Russell Midcap Index and S&amp;P 400 Specialty Retailing Index are more appropriate benchmarks as the median market capitalization is the closest to the Company’s. The following graph compares the cumulative five-year total return to shareholders on our common stock relative to the total returns of the S&amp;P 500 Specialty Retailing Index and S&amp;P 500 Index. It is our intention to use the Russell Midcap Index and the S&amp;P 400 Specialty Retailing Index for future performance graphs.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Indexed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8890</wp:posOffset>
            </wp:positionV>
            <wp:extent cx="4029075" cy="2057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2907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1/31/2015</w:t>
            </w:r>
          </w:p>
        </w:tc>
        <w:tc>
          <w:tcPr>
            <w:tcW w:w="9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1/30/2016</w:t>
            </w:r>
          </w:p>
        </w:tc>
        <w:tc>
          <w:tcPr>
            <w:tcW w:w="9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1/28/2017</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9"/>
              </w:rPr>
              <w:t>2/3/2018</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2/2/2019</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2/1/2020</w:t>
            </w:r>
          </w:p>
        </w:tc>
      </w:tr>
      <w:tr>
        <w:trPr>
          <w:trHeight w:val="155"/>
        </w:trPr>
        <w:tc>
          <w:tcPr>
            <w:tcW w:w="284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Foot Locker, Inc.</w:t>
            </w:r>
          </w:p>
        </w:tc>
        <w:tc>
          <w:tcPr>
            <w:tcW w:w="8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100.00</w:t>
            </w:r>
          </w:p>
        </w:tc>
        <w:tc>
          <w:tcPr>
            <w:tcW w:w="2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128.91</w:t>
            </w:r>
          </w:p>
        </w:tc>
        <w:tc>
          <w:tcPr>
            <w:tcW w:w="2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132.00</w:t>
            </w:r>
          </w:p>
        </w:tc>
        <w:tc>
          <w:tcPr>
            <w:tcW w:w="2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96.46</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112.86</w:t>
            </w:r>
          </w:p>
        </w:tc>
        <w:tc>
          <w:tcPr>
            <w:tcW w:w="2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80.45</w:t>
            </w:r>
          </w:p>
        </w:tc>
      </w:tr>
      <w:tr>
        <w:trPr>
          <w:trHeight w:val="162"/>
        </w:trPr>
        <w:tc>
          <w:tcPr>
            <w:tcW w:w="600" w:type="dxa"/>
            <w:vAlign w:val="bottom"/>
          </w:tcPr>
          <w:p>
            <w:pPr>
              <w:ind w:left="20"/>
              <w:spacing w:after="0"/>
              <w:rPr>
                <w:sz w:val="20"/>
                <w:szCs w:val="20"/>
                <w:color w:val="auto"/>
              </w:rPr>
            </w:pPr>
            <w:r>
              <w:rPr>
                <w:rFonts w:ascii="Arial" w:cs="Arial" w:eastAsia="Arial" w:hAnsi="Arial"/>
                <w:sz w:val="14"/>
                <w:szCs w:val="14"/>
                <w:color w:val="auto"/>
              </w:rPr>
              <w:t>S&amp;P 500</w:t>
            </w:r>
          </w:p>
        </w:tc>
        <w:tc>
          <w:tcPr>
            <w:tcW w:w="2240" w:type="dxa"/>
            <w:vAlign w:val="bottom"/>
          </w:tcPr>
          <w:p>
            <w:pPr>
              <w:ind w:left="20"/>
              <w:spacing w:after="0"/>
              <w:rPr>
                <w:sz w:val="20"/>
                <w:szCs w:val="20"/>
                <w:color w:val="auto"/>
              </w:rPr>
            </w:pPr>
            <w:r>
              <w:rPr>
                <w:rFonts w:ascii="Arial" w:cs="Arial" w:eastAsia="Arial" w:hAnsi="Arial"/>
                <w:sz w:val="14"/>
                <w:szCs w:val="14"/>
                <w:color w:val="auto"/>
              </w:rPr>
              <w:t>Specialty Retailing Index</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108.31</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116.52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143.45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148.64</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182.44</w:t>
            </w:r>
          </w:p>
        </w:tc>
      </w:tr>
      <w:tr>
        <w:trPr>
          <w:trHeight w:val="162"/>
        </w:trPr>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S&amp;P 500</w:t>
            </w:r>
          </w:p>
        </w:tc>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Index</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99.33</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179.10</w:t>
            </w:r>
          </w:p>
        </w:tc>
      </w:tr>
    </w:tbl>
    <w:p>
      <w:pPr>
        <w:spacing w:after="0" w:line="183" w:lineRule="exact"/>
        <w:rPr>
          <w:sz w:val="20"/>
          <w:szCs w:val="20"/>
          <w:color w:val="auto"/>
        </w:rPr>
      </w:pPr>
    </w:p>
    <w:p>
      <w:pPr>
        <w:jc w:val="both"/>
        <w:ind w:left="60" w:right="59"/>
        <w:spacing w:after="0" w:line="225" w:lineRule="auto"/>
        <w:rPr>
          <w:sz w:val="20"/>
          <w:szCs w:val="20"/>
          <w:color w:val="auto"/>
        </w:rPr>
      </w:pPr>
      <w:r>
        <w:rPr>
          <w:rFonts w:ascii="Arial" w:cs="Arial" w:eastAsia="Arial" w:hAnsi="Arial"/>
          <w:sz w:val="13"/>
          <w:szCs w:val="13"/>
          <w:color w:val="auto"/>
        </w:rPr>
        <w:t>The above information should not be deemed “soliciting material” or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6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7"/>
          <w:szCs w:val="17"/>
          <w:b w:val="1"/>
          <w:bCs w:val="1"/>
          <w:i w:val="1"/>
          <w:iCs w:val="1"/>
          <w:color w:val="auto"/>
        </w:rPr>
        <w:t>Item 6. Selected Financial Data</w:t>
      </w:r>
    </w:p>
    <w:p>
      <w:pPr>
        <w:spacing w:after="0" w:line="156"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FIVE-YEAR SUMMARY OF SELECTED FINANCIAL DATA</w:t>
      </w:r>
    </w:p>
    <w:p>
      <w:pPr>
        <w:spacing w:after="0" w:line="189" w:lineRule="exact"/>
        <w:rPr>
          <w:sz w:val="20"/>
          <w:szCs w:val="20"/>
          <w:color w:val="auto"/>
        </w:rPr>
      </w:pPr>
    </w:p>
    <w:p>
      <w:pPr>
        <w:ind w:left="60" w:right="59"/>
        <w:spacing w:after="0" w:line="243" w:lineRule="auto"/>
        <w:rPr>
          <w:sz w:val="20"/>
          <w:szCs w:val="20"/>
          <w:color w:val="auto"/>
        </w:rPr>
      </w:pPr>
      <w:r>
        <w:rPr>
          <w:rFonts w:ascii="Arial" w:cs="Arial" w:eastAsia="Arial" w:hAnsi="Arial"/>
          <w:sz w:val="17"/>
          <w:szCs w:val="17"/>
          <w:color w:val="auto"/>
        </w:rPr>
        <w:t>The selected financial data below should be read in conjunction with the Consolidated Financial Statements and the Notes thereto and other information contained elsewhere in this report.</w:t>
      </w:r>
    </w:p>
    <w:p>
      <w:pPr>
        <w:spacing w:after="0" w:line="90" w:lineRule="exact"/>
        <w:rPr>
          <w:sz w:val="20"/>
          <w:szCs w:val="20"/>
          <w:color w:val="auto"/>
        </w:rPr>
      </w:pPr>
    </w:p>
    <w:tbl>
      <w:tblPr>
        <w:tblLayout w:type="fixed"/>
        <w:tblInd w:w="60" w:type="dxa"/>
        <w:tblCellMar>
          <w:top w:w="0" w:type="dxa"/>
          <w:left w:w="0" w:type="dxa"/>
          <w:bottom w:w="0" w:type="dxa"/>
          <w:right w:w="0" w:type="dxa"/>
        </w:tblCellMar>
      </w:tblPr>
      <w:tr>
        <w:trPr>
          <w:trHeight w:val="276"/>
        </w:trPr>
        <w:tc>
          <w:tcPr>
            <w:tcW w:w="40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2018</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 xml:space="preserve">2017 </w:t>
            </w:r>
            <w:r>
              <w:rPr>
                <w:rFonts w:ascii="Arial" w:cs="Arial" w:eastAsia="Arial" w:hAnsi="Arial"/>
                <w:sz w:val="24"/>
                <w:szCs w:val="24"/>
                <w:color w:val="auto"/>
                <w:vertAlign w:val="superscript"/>
              </w:rPr>
              <w:t>(1)</w:t>
            </w: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2016</w:t>
            </w: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2015</w:t>
            </w:r>
          </w:p>
        </w:tc>
      </w:tr>
      <w:tr>
        <w:trPr>
          <w:trHeight w:val="183"/>
        </w:trPr>
        <w:tc>
          <w:tcPr>
            <w:tcW w:w="4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80" w:type="dxa"/>
            <w:vAlign w:val="bottom"/>
            <w:gridSpan w:val="4"/>
          </w:tcPr>
          <w:p>
            <w:pPr>
              <w:jc w:val="right"/>
              <w:ind w:right="99"/>
              <w:spacing w:after="0" w:line="183" w:lineRule="exact"/>
              <w:rPr>
                <w:sz w:val="20"/>
                <w:szCs w:val="20"/>
                <w:color w:val="auto"/>
              </w:rPr>
            </w:pPr>
            <w:r>
              <w:rPr>
                <w:rFonts w:ascii="Arial" w:cs="Arial" w:eastAsia="Arial" w:hAnsi="Arial"/>
                <w:sz w:val="16"/>
                <w:szCs w:val="16"/>
                <w:color w:val="auto"/>
              </w:rPr>
              <w:t>(in millions, except per share amounts)</w:t>
            </w:r>
          </w:p>
        </w:tc>
        <w:tc>
          <w:tcPr>
            <w:tcW w:w="740" w:type="dxa"/>
            <w:vAlign w:val="bottom"/>
          </w:tcPr>
          <w:p>
            <w:pPr>
              <w:spacing w:after="0"/>
              <w:rPr>
                <w:sz w:val="15"/>
                <w:szCs w:val="15"/>
                <w:color w:val="auto"/>
              </w:rPr>
            </w:pPr>
          </w:p>
        </w:tc>
      </w:tr>
      <w:tr>
        <w:trPr>
          <w:trHeight w:val="189"/>
        </w:trPr>
        <w:tc>
          <w:tcPr>
            <w:tcW w:w="4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Summary of Operations</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9"/>
        </w:trPr>
        <w:tc>
          <w:tcPr>
            <w:tcW w:w="4020" w:type="dxa"/>
            <w:vAlign w:val="bottom"/>
          </w:tcPr>
          <w:p>
            <w:pPr>
              <w:spacing w:after="0"/>
              <w:rPr>
                <w:sz w:val="20"/>
                <w:szCs w:val="20"/>
                <w:color w:val="auto"/>
              </w:rPr>
            </w:pPr>
            <w:r>
              <w:rPr>
                <w:rFonts w:ascii="Arial" w:cs="Arial" w:eastAsia="Arial" w:hAnsi="Arial"/>
                <w:sz w:val="16"/>
                <w:szCs w:val="16"/>
                <w:color w:val="auto"/>
              </w:rPr>
              <w:t>Sales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8,005</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7,939</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7,782</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7,766</w:t>
            </w:r>
          </w:p>
        </w:tc>
        <w:tc>
          <w:tcPr>
            <w:tcW w:w="740" w:type="dxa"/>
            <w:vAlign w:val="bottom"/>
          </w:tcPr>
          <w:p>
            <w:pPr>
              <w:jc w:val="right"/>
              <w:spacing w:after="0"/>
              <w:rPr>
                <w:sz w:val="20"/>
                <w:szCs w:val="20"/>
                <w:color w:val="auto"/>
              </w:rPr>
            </w:pPr>
            <w:r>
              <w:rPr>
                <w:rFonts w:ascii="Arial" w:cs="Arial" w:eastAsia="Arial" w:hAnsi="Arial"/>
                <w:sz w:val="16"/>
                <w:szCs w:val="16"/>
                <w:color w:val="auto"/>
              </w:rPr>
              <w:t>7,412</w:t>
            </w:r>
          </w:p>
        </w:tc>
      </w:tr>
      <w:tr>
        <w:trPr>
          <w:trHeight w:val="189"/>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2,543</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2,528</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2,456</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2,636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w:t>
            </w:r>
          </w:p>
        </w:tc>
      </w:tr>
      <w:tr>
        <w:trPr>
          <w:trHeight w:val="189"/>
        </w:trPr>
        <w:tc>
          <w:tcPr>
            <w:tcW w:w="402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46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1,650</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1,614</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1,501</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1,472</w:t>
            </w:r>
          </w:p>
        </w:tc>
        <w:tc>
          <w:tcPr>
            <w:tcW w:w="740" w:type="dxa"/>
            <w:vAlign w:val="bottom"/>
          </w:tcPr>
          <w:p>
            <w:pPr>
              <w:jc w:val="right"/>
              <w:spacing w:after="0"/>
              <w:rPr>
                <w:sz w:val="20"/>
                <w:szCs w:val="20"/>
                <w:color w:val="auto"/>
              </w:rPr>
            </w:pPr>
            <w:r>
              <w:rPr>
                <w:rFonts w:ascii="Arial" w:cs="Arial" w:eastAsia="Arial" w:hAnsi="Arial"/>
                <w:sz w:val="16"/>
                <w:szCs w:val="16"/>
                <w:color w:val="auto"/>
              </w:rPr>
              <w:t>1,415</w:t>
            </w:r>
          </w:p>
        </w:tc>
      </w:tr>
      <w:tr>
        <w:trPr>
          <w:trHeight w:val="189"/>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179</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178</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173</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158</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189"/>
        </w:trPr>
        <w:tc>
          <w:tcPr>
            <w:tcW w:w="4020" w:type="dxa"/>
            <w:vAlign w:val="bottom"/>
          </w:tcPr>
          <w:p>
            <w:pPr>
              <w:spacing w:after="0"/>
              <w:rPr>
                <w:sz w:val="20"/>
                <w:szCs w:val="20"/>
                <w:color w:val="auto"/>
              </w:rPr>
            </w:pPr>
            <w:r>
              <w:rPr>
                <w:rFonts w:ascii="Arial" w:cs="Arial" w:eastAsia="Arial" w:hAnsi="Arial"/>
                <w:sz w:val="16"/>
                <w:szCs w:val="16"/>
                <w:color w:val="auto"/>
              </w:rPr>
              <w:t>Impairment and other charges</w:t>
            </w:r>
          </w:p>
        </w:tc>
        <w:tc>
          <w:tcPr>
            <w:tcW w:w="46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65</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37</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211</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6</w:t>
            </w:r>
          </w:p>
        </w:tc>
        <w:tc>
          <w:tcPr>
            <w:tcW w:w="7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189"/>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 (expense), net</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11</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4020" w:type="dxa"/>
            <w:vAlign w:val="bottom"/>
          </w:tcPr>
          <w:p>
            <w:pPr>
              <w:spacing w:after="0"/>
              <w:rPr>
                <w:sz w:val="20"/>
                <w:szCs w:val="20"/>
                <w:color w:val="auto"/>
              </w:rPr>
            </w:pPr>
            <w:r>
              <w:rPr>
                <w:rFonts w:ascii="Arial" w:cs="Arial" w:eastAsia="Arial" w:hAnsi="Arial"/>
                <w:sz w:val="16"/>
                <w:szCs w:val="16"/>
                <w:color w:val="auto"/>
              </w:rPr>
              <w:t>Other income, net</w:t>
            </w:r>
          </w:p>
        </w:tc>
        <w:tc>
          <w:tcPr>
            <w:tcW w:w="46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12</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6</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491</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541</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284</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664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r>
      <w:tr>
        <w:trPr>
          <w:trHeight w:val="189"/>
        </w:trPr>
        <w:tc>
          <w:tcPr>
            <w:tcW w:w="4020" w:type="dxa"/>
            <w:vAlign w:val="bottom"/>
          </w:tcPr>
          <w:p>
            <w:pPr>
              <w:spacing w:after="0"/>
              <w:rPr>
                <w:sz w:val="20"/>
                <w:szCs w:val="20"/>
                <w:color w:val="auto"/>
              </w:rPr>
            </w:pPr>
            <w:r>
              <w:rPr>
                <w:rFonts w:ascii="Arial" w:cs="Arial" w:eastAsia="Arial" w:hAnsi="Arial"/>
                <w:sz w:val="16"/>
                <w:szCs w:val="16"/>
                <w:b w:val="1"/>
                <w:bCs w:val="1"/>
                <w:color w:val="auto"/>
              </w:rPr>
              <w:t>Per Common Share Data</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4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Basic earnings</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4.52</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4.68</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2.23</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4.95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189"/>
        </w:trPr>
        <w:tc>
          <w:tcPr>
            <w:tcW w:w="4020" w:type="dxa"/>
            <w:vAlign w:val="bottom"/>
          </w:tcPr>
          <w:p>
            <w:pPr>
              <w:ind w:left="100"/>
              <w:spacing w:after="0"/>
              <w:rPr>
                <w:sz w:val="20"/>
                <w:szCs w:val="20"/>
                <w:color w:val="auto"/>
              </w:rPr>
            </w:pPr>
            <w:r>
              <w:rPr>
                <w:rFonts w:ascii="Arial" w:cs="Arial" w:eastAsia="Arial" w:hAnsi="Arial"/>
                <w:sz w:val="16"/>
                <w:szCs w:val="16"/>
                <w:color w:val="auto"/>
              </w:rPr>
              <w:t>Diluted earnings</w:t>
            </w:r>
          </w:p>
        </w:tc>
        <w:tc>
          <w:tcPr>
            <w:tcW w:w="46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4.50</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4.66</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2.22</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4.91</w:t>
            </w:r>
          </w:p>
        </w:tc>
        <w:tc>
          <w:tcPr>
            <w:tcW w:w="740" w:type="dxa"/>
            <w:vAlign w:val="bottom"/>
          </w:tcPr>
          <w:p>
            <w:pPr>
              <w:jc w:val="right"/>
              <w:spacing w:after="0"/>
              <w:rPr>
                <w:sz w:val="20"/>
                <w:szCs w:val="20"/>
                <w:color w:val="auto"/>
              </w:rPr>
            </w:pPr>
            <w:r>
              <w:rPr>
                <w:rFonts w:ascii="Arial" w:cs="Arial" w:eastAsia="Arial" w:hAnsi="Arial"/>
                <w:sz w:val="16"/>
                <w:szCs w:val="16"/>
                <w:color w:val="auto"/>
              </w:rPr>
              <w:t>3.84</w:t>
            </w:r>
          </w:p>
        </w:tc>
      </w:tr>
      <w:tr>
        <w:trPr>
          <w:trHeight w:val="189"/>
        </w:trPr>
        <w:tc>
          <w:tcPr>
            <w:tcW w:w="4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Common stock dividends declared per share</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1.52</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1.38</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89"/>
        </w:trPr>
        <w:tc>
          <w:tcPr>
            <w:tcW w:w="4020" w:type="dxa"/>
            <w:vAlign w:val="bottom"/>
          </w:tcPr>
          <w:p>
            <w:pPr>
              <w:spacing w:after="0"/>
              <w:rPr>
                <w:sz w:val="20"/>
                <w:szCs w:val="20"/>
                <w:color w:val="auto"/>
              </w:rPr>
            </w:pPr>
            <w:r>
              <w:rPr>
                <w:rFonts w:ascii="Arial" w:cs="Arial" w:eastAsia="Arial" w:hAnsi="Arial"/>
                <w:sz w:val="16"/>
                <w:szCs w:val="16"/>
                <w:b w:val="1"/>
                <w:bCs w:val="1"/>
                <w:color w:val="auto"/>
              </w:rPr>
              <w:t>Weighted-average Common Shares Outstanding</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4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Basic earnings</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108.7</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115.6</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127.2</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134.0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r>
      <w:tr>
        <w:trPr>
          <w:trHeight w:val="189"/>
        </w:trPr>
        <w:tc>
          <w:tcPr>
            <w:tcW w:w="40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Diluted earnings</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109.1</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116.1</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127.9</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135.1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w:t>
            </w:r>
          </w:p>
        </w:tc>
      </w:tr>
      <w:tr>
        <w:trPr>
          <w:trHeight w:val="183"/>
        </w:trPr>
        <w:tc>
          <w:tcPr>
            <w:tcW w:w="40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Financial Condition</w:t>
            </w: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9"/>
        </w:trPr>
        <w:tc>
          <w:tcPr>
            <w:tcW w:w="40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907</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891</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849</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1,046</w:t>
            </w:r>
          </w:p>
        </w:tc>
        <w:tc>
          <w:tcPr>
            <w:tcW w:w="740" w:type="dxa"/>
            <w:vAlign w:val="bottom"/>
          </w:tcPr>
          <w:p>
            <w:pPr>
              <w:jc w:val="right"/>
              <w:spacing w:after="0"/>
              <w:rPr>
                <w:sz w:val="20"/>
                <w:szCs w:val="20"/>
                <w:color w:val="auto"/>
              </w:rPr>
            </w:pPr>
            <w:r>
              <w:rPr>
                <w:rFonts w:ascii="Arial" w:cs="Arial" w:eastAsia="Arial" w:hAnsi="Arial"/>
                <w:sz w:val="16"/>
                <w:szCs w:val="16"/>
                <w:color w:val="auto"/>
              </w:rPr>
              <w:t>1,021</w:t>
            </w:r>
          </w:p>
        </w:tc>
      </w:tr>
      <w:tr>
        <w:trPr>
          <w:trHeight w:val="189"/>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Merchandise inventories</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1,208</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1,269</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1,278</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1,307</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r>
      <w:tr>
        <w:trPr>
          <w:trHeight w:val="189"/>
        </w:trPr>
        <w:tc>
          <w:tcPr>
            <w:tcW w:w="40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6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824</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836</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866</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765</w:t>
            </w:r>
          </w:p>
        </w:tc>
        <w:tc>
          <w:tcPr>
            <w:tcW w:w="740" w:type="dxa"/>
            <w:vAlign w:val="bottom"/>
          </w:tcPr>
          <w:p>
            <w:pPr>
              <w:jc w:val="right"/>
              <w:spacing w:after="0"/>
              <w:rPr>
                <w:sz w:val="20"/>
                <w:szCs w:val="20"/>
                <w:color w:val="auto"/>
              </w:rPr>
            </w:pPr>
            <w:r>
              <w:rPr>
                <w:rFonts w:ascii="Arial" w:cs="Arial" w:eastAsia="Arial" w:hAnsi="Arial"/>
                <w:sz w:val="16"/>
                <w:szCs w:val="16"/>
                <w:color w:val="auto"/>
              </w:rPr>
              <w:t>661</w:t>
            </w:r>
          </w:p>
        </w:tc>
      </w:tr>
      <w:tr>
        <w:trPr>
          <w:trHeight w:val="189"/>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6,589</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3,820</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3,961</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3,840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3,775</w:t>
            </w:r>
          </w:p>
        </w:tc>
      </w:tr>
      <w:tr>
        <w:trPr>
          <w:trHeight w:val="189"/>
        </w:trPr>
        <w:tc>
          <w:tcPr>
            <w:tcW w:w="4020" w:type="dxa"/>
            <w:vAlign w:val="bottom"/>
          </w:tcPr>
          <w:p>
            <w:pPr>
              <w:spacing w:after="0"/>
              <w:rPr>
                <w:sz w:val="20"/>
                <w:szCs w:val="20"/>
                <w:color w:val="auto"/>
              </w:rPr>
            </w:pPr>
            <w:r>
              <w:rPr>
                <w:rFonts w:ascii="Arial" w:cs="Arial" w:eastAsia="Arial" w:hAnsi="Arial"/>
                <w:sz w:val="16"/>
                <w:szCs w:val="16"/>
                <w:color w:val="auto"/>
              </w:rPr>
              <w:t>Long-term debt and obligations under capital leases</w:t>
            </w:r>
          </w:p>
        </w:tc>
        <w:tc>
          <w:tcPr>
            <w:tcW w:w="46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122</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124</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125</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127</w:t>
            </w:r>
          </w:p>
        </w:tc>
        <w:tc>
          <w:tcPr>
            <w:tcW w:w="74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189"/>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2,473</w:t>
            </w: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2,506</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2,519</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2,710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2,553</w:t>
            </w:r>
          </w:p>
        </w:tc>
      </w:tr>
      <w:tr>
        <w:trPr>
          <w:trHeight w:val="183"/>
        </w:trPr>
        <w:tc>
          <w:tcPr>
            <w:tcW w:w="4020" w:type="dxa"/>
            <w:vAlign w:val="bottom"/>
          </w:tcPr>
          <w:p>
            <w:pPr>
              <w:spacing w:after="0" w:line="183" w:lineRule="exact"/>
              <w:rPr>
                <w:sz w:val="20"/>
                <w:szCs w:val="20"/>
                <w:color w:val="auto"/>
              </w:rPr>
            </w:pPr>
            <w:r>
              <w:rPr>
                <w:rFonts w:ascii="Arial" w:cs="Arial" w:eastAsia="Arial" w:hAnsi="Arial"/>
                <w:sz w:val="16"/>
                <w:szCs w:val="16"/>
                <w:b w:val="1"/>
                <w:bCs w:val="1"/>
                <w:color w:val="auto"/>
              </w:rPr>
              <w:t>Financial Ratios</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40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Sales per average gross square foot </w:t>
            </w:r>
            <w:r>
              <w:rPr>
                <w:rFonts w:ascii="Arial" w:cs="Arial" w:eastAsia="Arial" w:hAnsi="Arial"/>
                <w:sz w:val="21"/>
                <w:szCs w:val="21"/>
                <w:color w:val="auto"/>
                <w:vertAlign w:val="superscript"/>
              </w:rPr>
              <w:t>(2)</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510</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504</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495</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515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r>
      <w:tr>
        <w:trPr>
          <w:trHeight w:val="189"/>
        </w:trPr>
        <w:tc>
          <w:tcPr>
            <w:tcW w:w="4020" w:type="dxa"/>
            <w:vAlign w:val="bottom"/>
          </w:tcPr>
          <w:p>
            <w:pPr>
              <w:spacing w:after="0"/>
              <w:rPr>
                <w:sz w:val="20"/>
                <w:szCs w:val="20"/>
                <w:color w:val="auto"/>
              </w:rPr>
            </w:pPr>
            <w:r>
              <w:rPr>
                <w:rFonts w:ascii="Arial" w:cs="Arial" w:eastAsia="Arial" w:hAnsi="Arial"/>
                <w:sz w:val="16"/>
                <w:szCs w:val="16"/>
                <w:color w:val="auto"/>
              </w:rPr>
              <w:t>SG&amp;A as a percentage of sales</w:t>
            </w:r>
          </w:p>
        </w:tc>
        <w:tc>
          <w:tcPr>
            <w:tcW w:w="46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20.6 %</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20.3</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19.3</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19.0</w:t>
            </w:r>
          </w:p>
        </w:tc>
        <w:tc>
          <w:tcPr>
            <w:tcW w:w="74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189"/>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Net income margin</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6.1 %</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189"/>
        </w:trPr>
        <w:tc>
          <w:tcPr>
            <w:tcW w:w="4020" w:type="dxa"/>
            <w:vAlign w:val="bottom"/>
          </w:tcPr>
          <w:p>
            <w:pPr>
              <w:spacing w:after="0" w:line="189" w:lineRule="exact"/>
              <w:rPr>
                <w:sz w:val="20"/>
                <w:szCs w:val="20"/>
                <w:color w:val="auto"/>
              </w:rPr>
            </w:pPr>
            <w:r>
              <w:rPr>
                <w:rFonts w:ascii="Arial" w:cs="Arial" w:eastAsia="Arial" w:hAnsi="Arial"/>
                <w:sz w:val="14"/>
                <w:szCs w:val="14"/>
                <w:color w:val="auto"/>
              </w:rPr>
              <w:t xml:space="preserve">Adjusted net income margin </w:t>
            </w:r>
            <w:r>
              <w:rPr>
                <w:rFonts w:ascii="Arial" w:cs="Arial" w:eastAsia="Arial" w:hAnsi="Arial"/>
                <w:sz w:val="21"/>
                <w:szCs w:val="21"/>
                <w:color w:val="auto"/>
                <w:vertAlign w:val="superscript"/>
              </w:rPr>
              <w:t>(3)</w:t>
            </w:r>
          </w:p>
        </w:tc>
        <w:tc>
          <w:tcPr>
            <w:tcW w:w="46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6.7 %</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6.9</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6.6</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8.4</w:t>
            </w:r>
          </w:p>
        </w:tc>
        <w:tc>
          <w:tcPr>
            <w:tcW w:w="7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189"/>
        </w:trPr>
        <w:tc>
          <w:tcPr>
            <w:tcW w:w="40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Earnings before interest and taxes (EBIT) </w:t>
            </w:r>
            <w:r>
              <w:rPr>
                <w:rFonts w:ascii="Arial" w:cs="Arial" w:eastAsia="Arial" w:hAnsi="Arial"/>
                <w:sz w:val="21"/>
                <w:szCs w:val="21"/>
                <w:color w:val="auto"/>
                <w:vertAlign w:val="superscript"/>
              </w:rPr>
              <w:t>(3)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661</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704</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576</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1,006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r>
      <w:tr>
        <w:trPr>
          <w:trHeight w:val="189"/>
        </w:trPr>
        <w:tc>
          <w:tcPr>
            <w:tcW w:w="4020" w:type="dxa"/>
            <w:vAlign w:val="bottom"/>
          </w:tcPr>
          <w:p>
            <w:pPr>
              <w:spacing w:after="0" w:line="189" w:lineRule="exact"/>
              <w:rPr>
                <w:sz w:val="20"/>
                <w:szCs w:val="20"/>
                <w:color w:val="auto"/>
              </w:rPr>
            </w:pPr>
            <w:r>
              <w:rPr>
                <w:rFonts w:ascii="Arial" w:cs="Arial" w:eastAsia="Arial" w:hAnsi="Arial"/>
                <w:sz w:val="14"/>
                <w:szCs w:val="14"/>
                <w:color w:val="auto"/>
              </w:rPr>
              <w:t xml:space="preserve">EBIT margin </w:t>
            </w:r>
            <w:r>
              <w:rPr>
                <w:rFonts w:ascii="Arial" w:cs="Arial" w:eastAsia="Arial" w:hAnsi="Arial"/>
                <w:sz w:val="21"/>
                <w:szCs w:val="21"/>
                <w:color w:val="auto"/>
                <w:vertAlign w:val="superscript"/>
              </w:rPr>
              <w:t>(3)</w:t>
            </w:r>
          </w:p>
        </w:tc>
        <w:tc>
          <w:tcPr>
            <w:tcW w:w="46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8.3 %</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7.4</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13.0</w:t>
            </w:r>
          </w:p>
        </w:tc>
        <w:tc>
          <w:tcPr>
            <w:tcW w:w="74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189"/>
        </w:trPr>
        <w:tc>
          <w:tcPr>
            <w:tcW w:w="40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Adjusted EBIT </w:t>
            </w:r>
            <w:r>
              <w:rPr>
                <w:rFonts w:ascii="Arial" w:cs="Arial" w:eastAsia="Arial" w:hAnsi="Arial"/>
                <w:sz w:val="21"/>
                <w:szCs w:val="21"/>
                <w:color w:val="auto"/>
                <w:vertAlign w:val="superscript"/>
              </w:rPr>
              <w:t>(3)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722</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741</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762</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1,012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r>
      <w:tr>
        <w:trPr>
          <w:trHeight w:val="189"/>
        </w:trPr>
        <w:tc>
          <w:tcPr>
            <w:tcW w:w="4020" w:type="dxa"/>
            <w:vAlign w:val="bottom"/>
          </w:tcPr>
          <w:p>
            <w:pPr>
              <w:spacing w:after="0" w:line="189" w:lineRule="exact"/>
              <w:rPr>
                <w:sz w:val="20"/>
                <w:szCs w:val="20"/>
                <w:color w:val="auto"/>
              </w:rPr>
            </w:pPr>
            <w:r>
              <w:rPr>
                <w:rFonts w:ascii="Arial" w:cs="Arial" w:eastAsia="Arial" w:hAnsi="Arial"/>
                <w:sz w:val="14"/>
                <w:szCs w:val="14"/>
                <w:color w:val="auto"/>
              </w:rPr>
              <w:t xml:space="preserve">Adjusted EBIT margin </w:t>
            </w:r>
            <w:r>
              <w:rPr>
                <w:rFonts w:ascii="Arial" w:cs="Arial" w:eastAsia="Arial" w:hAnsi="Arial"/>
                <w:sz w:val="21"/>
                <w:szCs w:val="21"/>
                <w:color w:val="auto"/>
                <w:vertAlign w:val="superscript"/>
              </w:rPr>
              <w:t>(3)</w:t>
            </w:r>
          </w:p>
        </w:tc>
        <w:tc>
          <w:tcPr>
            <w:tcW w:w="46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9.0 %</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9.3</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9.9</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13.0</w:t>
            </w:r>
          </w:p>
        </w:tc>
        <w:tc>
          <w:tcPr>
            <w:tcW w:w="74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189"/>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Return on assets (ROA)</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9.4 %</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13.9</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7.3</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17.4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189"/>
        </w:trPr>
        <w:tc>
          <w:tcPr>
            <w:tcW w:w="4020" w:type="dxa"/>
            <w:vAlign w:val="bottom"/>
          </w:tcPr>
          <w:p>
            <w:pPr>
              <w:spacing w:after="0" w:line="189" w:lineRule="exact"/>
              <w:rPr>
                <w:sz w:val="20"/>
                <w:szCs w:val="20"/>
                <w:color w:val="auto"/>
              </w:rPr>
            </w:pPr>
            <w:r>
              <w:rPr>
                <w:rFonts w:ascii="Arial" w:cs="Arial" w:eastAsia="Arial" w:hAnsi="Arial"/>
                <w:sz w:val="14"/>
                <w:szCs w:val="14"/>
                <w:color w:val="auto"/>
              </w:rPr>
              <w:t xml:space="preserve">Return on invested capital (ROIC) </w:t>
            </w:r>
            <w:r>
              <w:rPr>
                <w:rFonts w:ascii="Arial" w:cs="Arial" w:eastAsia="Arial" w:hAnsi="Arial"/>
                <w:sz w:val="21"/>
                <w:szCs w:val="21"/>
                <w:color w:val="auto"/>
                <w:vertAlign w:val="superscript"/>
              </w:rPr>
              <w:t>(3)</w:t>
            </w:r>
          </w:p>
        </w:tc>
        <w:tc>
          <w:tcPr>
            <w:tcW w:w="46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12.5 %</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12.0</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11.0</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15.1</w:t>
            </w:r>
          </w:p>
        </w:tc>
        <w:tc>
          <w:tcPr>
            <w:tcW w:w="74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189"/>
        </w:trPr>
        <w:tc>
          <w:tcPr>
            <w:tcW w:w="40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Net debt capitalization percent </w:t>
            </w:r>
            <w:r>
              <w:rPr>
                <w:rFonts w:ascii="Arial" w:cs="Arial" w:eastAsia="Arial" w:hAnsi="Arial"/>
                <w:sz w:val="21"/>
                <w:szCs w:val="21"/>
                <w:color w:val="auto"/>
                <w:vertAlign w:val="superscript"/>
              </w:rPr>
              <w:t>(3), (4)</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49.4 %</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51.7</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54.4</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48.5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r>
      <w:tr>
        <w:trPr>
          <w:trHeight w:val="189"/>
        </w:trPr>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Current ratio</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4.1</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183"/>
        </w:trPr>
        <w:tc>
          <w:tcPr>
            <w:tcW w:w="40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Other Data</w:t>
            </w: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9"/>
        </w:trPr>
        <w:tc>
          <w:tcPr>
            <w:tcW w:w="4020" w:type="dxa"/>
            <w:vAlign w:val="bottom"/>
          </w:tcPr>
          <w:p>
            <w:pPr>
              <w:spacing w:after="0"/>
              <w:rPr>
                <w:sz w:val="20"/>
                <w:szCs w:val="20"/>
                <w:color w:val="auto"/>
              </w:rPr>
            </w:pPr>
            <w:r>
              <w:rPr>
                <w:rFonts w:ascii="Arial" w:cs="Arial" w:eastAsia="Arial" w:hAnsi="Arial"/>
                <w:sz w:val="16"/>
                <w:szCs w:val="16"/>
                <w:color w:val="auto"/>
              </w:rPr>
              <w:t>Capital expenditures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187</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187</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274</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266</w:t>
            </w:r>
          </w:p>
        </w:tc>
        <w:tc>
          <w:tcPr>
            <w:tcW w:w="74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189"/>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Number of stores at year end</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3,129</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3,221</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3,310</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3,363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w:t>
            </w:r>
          </w:p>
        </w:tc>
      </w:tr>
      <w:tr>
        <w:trPr>
          <w:trHeight w:val="189"/>
        </w:trPr>
        <w:tc>
          <w:tcPr>
            <w:tcW w:w="4020" w:type="dxa"/>
            <w:vAlign w:val="bottom"/>
          </w:tcPr>
          <w:p>
            <w:pPr>
              <w:spacing w:after="0"/>
              <w:rPr>
                <w:sz w:val="20"/>
                <w:szCs w:val="20"/>
                <w:color w:val="auto"/>
              </w:rPr>
            </w:pPr>
            <w:r>
              <w:rPr>
                <w:rFonts w:ascii="Arial" w:cs="Arial" w:eastAsia="Arial" w:hAnsi="Arial"/>
                <w:sz w:val="16"/>
                <w:szCs w:val="16"/>
                <w:color w:val="auto"/>
              </w:rPr>
              <w:t>Total selling square footage at year end (in millions)</w:t>
            </w:r>
          </w:p>
        </w:tc>
        <w:tc>
          <w:tcPr>
            <w:tcW w:w="46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7.57</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7.63</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7.71</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7.63</w:t>
            </w:r>
          </w:p>
        </w:tc>
        <w:tc>
          <w:tcPr>
            <w:tcW w:w="740" w:type="dxa"/>
            <w:vAlign w:val="bottom"/>
          </w:tcPr>
          <w:p>
            <w:pPr>
              <w:jc w:val="right"/>
              <w:spacing w:after="0"/>
              <w:rPr>
                <w:sz w:val="20"/>
                <w:szCs w:val="20"/>
                <w:color w:val="auto"/>
              </w:rPr>
            </w:pPr>
            <w:r>
              <w:rPr>
                <w:rFonts w:ascii="Arial" w:cs="Arial" w:eastAsia="Arial" w:hAnsi="Arial"/>
                <w:sz w:val="16"/>
                <w:szCs w:val="16"/>
                <w:color w:val="auto"/>
              </w:rPr>
              <w:t>7.58</w:t>
            </w:r>
          </w:p>
        </w:tc>
      </w:tr>
      <w:tr>
        <w:trPr>
          <w:trHeight w:val="189"/>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gross square footage at year end (in millions)</w:t>
            </w:r>
          </w:p>
        </w:tc>
        <w:tc>
          <w:tcPr>
            <w:tcW w:w="4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13.15</w:t>
            </w: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13.24</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13.30</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13.12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12.92</w:t>
            </w:r>
          </w:p>
        </w:tc>
      </w:tr>
    </w:tbl>
    <w:p>
      <w:pPr>
        <w:spacing w:after="0" w:line="147"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3"/>
          <w:szCs w:val="13"/>
          <w:color w:val="auto"/>
        </w:rPr>
      </w:pPr>
      <w:r>
        <w:rPr>
          <w:rFonts w:ascii="Arial" w:cs="Arial" w:eastAsia="Arial" w:hAnsi="Arial"/>
          <w:sz w:val="13"/>
          <w:szCs w:val="13"/>
          <w:color w:val="auto"/>
        </w:rPr>
        <w:t>2017 represented the 53 weeks ended February 3, 2018.</w:t>
      </w:r>
    </w:p>
    <w:p>
      <w:pPr>
        <w:jc w:val="both"/>
        <w:ind w:left="380" w:right="79" w:hanging="330"/>
        <w:spacing w:after="0" w:line="238" w:lineRule="auto"/>
        <w:tabs>
          <w:tab w:leader="none" w:pos="3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Calculated as store sales divided by the average monthly ending gross square footage of the last thirteen months. The computation for each of the years presented reflects the foreign exchange rate in effect for such year. The 2017 amount has been calculated excluding the sales of the 53rd week.</w:t>
      </w:r>
    </w:p>
    <w:p>
      <w:pPr>
        <w:ind w:left="380" w:right="79" w:hanging="330"/>
        <w:spacing w:after="0" w:line="249" w:lineRule="auto"/>
        <w:tabs>
          <w:tab w:leader="none" w:pos="3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These represent non-GAAP measures, see Item 7, “Management’s Discussion and Analysis of Financial Condition and Results of Operations” for additional information and calculation.</w:t>
      </w:r>
    </w:p>
    <w:p>
      <w:pPr>
        <w:spacing w:after="0" w:line="13" w:lineRule="exact"/>
        <w:rPr>
          <w:rFonts w:ascii="Arial" w:cs="Arial" w:eastAsia="Arial" w:hAnsi="Arial"/>
          <w:sz w:val="13"/>
          <w:szCs w:val="13"/>
          <w:color w:val="auto"/>
        </w:rPr>
      </w:pPr>
    </w:p>
    <w:p>
      <w:pPr>
        <w:ind w:left="380" w:right="79" w:hanging="330"/>
        <w:spacing w:after="0" w:line="187" w:lineRule="auto"/>
        <w:tabs>
          <w:tab w:leader="none" w:pos="380" w:val="left"/>
        </w:tabs>
        <w:numPr>
          <w:ilvl w:val="0"/>
          <w:numId w:val="6"/>
        </w:numPr>
        <w:rPr>
          <w:rFonts w:ascii="Arial" w:cs="Arial" w:eastAsia="Arial" w:hAnsi="Arial"/>
          <w:sz w:val="24"/>
          <w:szCs w:val="24"/>
          <w:color w:val="auto"/>
          <w:vertAlign w:val="superscript"/>
        </w:rPr>
      </w:pPr>
      <w:r>
        <w:rPr>
          <w:rFonts w:ascii="Arial" w:cs="Arial" w:eastAsia="Arial" w:hAnsi="Arial"/>
          <w:sz w:val="12"/>
          <w:szCs w:val="12"/>
          <w:color w:val="auto"/>
        </w:rPr>
        <w:t>Represents total debt and obligations under leases, net of cash, and cash equivalents. For 2015 to 2018, this calculation includes the present value of operating leases prior to the adoption of the new lease accounting standard and therefore is considered a non-GAAP measure.</w:t>
      </w:r>
    </w:p>
    <w:p>
      <w:pPr>
        <w:spacing w:after="0" w:line="387"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7"/>
          <w:szCs w:val="17"/>
          <w:b w:val="1"/>
          <w:bCs w:val="1"/>
          <w:i w:val="1"/>
          <w:iCs w:val="1"/>
          <w:color w:val="auto"/>
        </w:rPr>
        <w:t>Item 7. Management’s Discussion and Analysis of Financial Condition and Results of Operations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This section of the Annual Report on Form 10-K generally discusses 2019 and 2018 detail and year-over-year comparisons between 2019 and 2018. For a comparison of our results for 2018 to our results of 2017 and other financial information related to 2017, refer to our Annual Report on Form 10-K for the year ended February 2, 2019 filed with the SEC on April 2, 2019.</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Business Overview</w:t>
      </w:r>
    </w:p>
    <w:p>
      <w:pPr>
        <w:spacing w:after="0" w:line="1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Foot Locker, Inc. leads the celebration of sneaker and youth culture around the globe through a portfolio of brands including Foot Locker, Lady Foot Locker, Kids Foot Locker, Champs Sports, Eastbay, Footaction, Runners Point, and Sidestep. As of February 1, 2020, we operated 3,129 primarily mall-based stores, as well as stores in high-traffic urban retail areas and high streets, in 27 countries across the United States, Canada, Europe, Australia, New Zealand, and Asia. Our purpose is to inspire and empower youth culture around the world, by fueling a shared passion for self-expression and creating unrivaled experiences at the heart of the global sneaker community.</w:t>
      </w:r>
    </w:p>
    <w:p>
      <w:pPr>
        <w:spacing w:after="0" w:line="161"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Foot Locker, Inc. uses its omni-channel capabilities to bridge the digital world and physical stores, including order-in-store, buy online and pickup-in-store, and buy online and ship-from-store, as well as e-commerce. We operate websites and mobile apps aligned with the brand names of our store banners (including footlocker.com, ladyfootlocker.com, kidsfootlocker.com, champssports.com, footaction.com, footlocker.ca, footlocker.eu (and related e-commerce sites in the various European countries that we operate) footlocker.com.au, runnerspoint.com, sidestep-shoes.com, footlocker.hk, footlocker.sg, and footlocker.my). These sites offer some of the largest online product selections and provide a seamless link between e-commerce and physical stores. We also operate the websites for eastbay.com, final-score.com, and eastbayteamsales.com.</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Segment Reporting</w:t>
      </w:r>
    </w:p>
    <w:p>
      <w:pPr>
        <w:spacing w:after="0" w:line="1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Our operating segments are identified according to how our business activities are managed and evaluated by our chief operating decision maker, our CEO. During 2018, we expanded into Asia and launched our digital channels across Singapore, Hong Kong, and Malaysia. During the first quarter of 2019, we changed our organizational and internal reporting structure to support an accelerated growth strategy for the region. We opened an Asian headquarters in Singapore and realigned our organization into three distinct geographic regions: North America, Europe, Middle East and Africa (“EMEA”), and Asia Pacific.</w:t>
      </w:r>
    </w:p>
    <w:p>
      <w:pPr>
        <w:spacing w:after="0" w:line="175"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Accordingly, in the first quarter of 2019, we re-evaluated our operating segments. We determined that we have three operating segments, North America, EMEA, and Asia Pacific. Our North America operating segment includes the results of the following banners operating in the U.S. and Canada: Foot Locker, Kids Foot Locker, Lady Foot Locker, Champs Sports, and Footaction, including each of their related e-commerce businesses, as well as our Eastbay business that includes internet, catalog, and team sales. Our EMEA operating segment includes the results of the following banners operating in Europe: Foot Locker, Runners Point, Sidestep, and Kids Foot Locker, including each of their related e-commerce businesses. Our Asia Pacific operating segment includes the results of Foot Locker and Kids Foot Locker operating in Australia, New Zealand, and Asia as well as the related e-commerce businesses operating in Australia and Asia. We have further aggregated these operating segments into one reportable segment based upon their shared customer base and similar economic characteristics.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Recent Events and Trends</w:t>
      </w:r>
    </w:p>
    <w:p>
      <w:pPr>
        <w:spacing w:after="0" w:line="230"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COVID-19 is having a significant effect on overall economic conditions in the various geographic areas in which we have operations. Our top priority is to protect our associates and their families, our customers, and our operations. We are taking all precautionary measures as directed by health authorities and local and national governments. On March 18, 2020, in response to intensifying efforts to contain the spread of COVID-19, we temporarily closed our stores across all of our brands in North America, EMEA, and Malaysia. On March 25, 2020, we temporarily closed our stores in New Zealand. The rest of our locations in the Asia Pacific region, which include Hong Kong, Singapore, and Australia, will remain open subject to direction from local and national governments. We continue to monitor the outbreak of COVID-19 and other closures, or closures for a longer period of time, may be required to help ensure the health and safety of our associates and our customers. COVID-19 has and may continue to have an effect on ports and trade, as well as global travel. We have set up a special management committee and the committee is taking the necessary precautionary measures to protect the health and safety of our associates as well as following the guidance provided by local health authorities. Given the dynamic nature of these circumstances, the duration of business disruption, and reduced customer traffic, the related financial affect cannot be reasonably estimated at this time but are expected to materially affect our business for the first quarter and full year of 2020.</w:t>
      </w:r>
    </w:p>
    <w:p>
      <w:pPr>
        <w:spacing w:after="0" w:line="207"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7"/>
          <w:szCs w:val="17"/>
          <w:b w:val="1"/>
          <w:bCs w:val="1"/>
          <w:color w:val="auto"/>
        </w:rPr>
        <w:t>Reconciliation of Non-GAAP Measures</w:t>
      </w:r>
    </w:p>
    <w:p>
      <w:pPr>
        <w:spacing w:after="0" w:line="181" w:lineRule="exact"/>
        <w:rPr>
          <w:sz w:val="20"/>
          <w:szCs w:val="20"/>
          <w:color w:val="auto"/>
        </w:rPr>
      </w:pPr>
    </w:p>
    <w:p>
      <w:pPr>
        <w:jc w:val="both"/>
        <w:ind w:left="60" w:right="59"/>
        <w:spacing w:after="0" w:line="223" w:lineRule="auto"/>
        <w:rPr>
          <w:sz w:val="20"/>
          <w:szCs w:val="20"/>
          <w:color w:val="auto"/>
        </w:rPr>
      </w:pPr>
      <w:r>
        <w:rPr>
          <w:rFonts w:ascii="Arial" w:cs="Arial" w:eastAsia="Arial" w:hAnsi="Arial"/>
          <w:sz w:val="17"/>
          <w:szCs w:val="17"/>
          <w:color w:val="auto"/>
        </w:rPr>
        <w:t xml:space="preserve">In addition to reporting our financial results in accordance with generally accepted accounting principles </w:t>
      </w:r>
      <w:r>
        <w:rPr>
          <w:rFonts w:ascii="Arial" w:cs="Arial" w:eastAsia="Arial" w:hAnsi="Arial"/>
          <w:sz w:val="17"/>
          <w:szCs w:val="17"/>
          <w:color w:val="212529"/>
        </w:rPr>
        <w:t>(“</w:t>
      </w:r>
      <w:r>
        <w:rPr>
          <w:rFonts w:ascii="Arial" w:cs="Arial" w:eastAsia="Arial" w:hAnsi="Arial"/>
          <w:sz w:val="17"/>
          <w:szCs w:val="17"/>
          <w:color w:val="auto"/>
        </w:rPr>
        <w:t>GAAP”), we report certain financial results that differ from what is reported under GAAP. In the following tables, we have presented certain financial measures and ratios identified as non-GAAP such as sales excluding 53</w:t>
      </w:r>
      <w:r>
        <w:rPr>
          <w:rFonts w:ascii="Arial" w:cs="Arial" w:eastAsia="Arial" w:hAnsi="Arial"/>
          <w:sz w:val="25"/>
          <w:szCs w:val="25"/>
          <w:color w:val="auto"/>
          <w:vertAlign w:val="superscript"/>
        </w:rPr>
        <w:t>rd</w:t>
      </w:r>
      <w:r>
        <w:rPr>
          <w:rFonts w:ascii="Arial" w:cs="Arial" w:eastAsia="Arial" w:hAnsi="Arial"/>
          <w:sz w:val="17"/>
          <w:szCs w:val="17"/>
          <w:color w:val="auto"/>
        </w:rPr>
        <w:t xml:space="preserve"> week, Earnings Before Interest and Taxes (“EBIT”), adjusted EBIT, adjusted EBIT margin, adjusted income before income taxes, adjusted net income, adjusted net income margin, adjusted diluted earnings per share, Return on Invested Capital (“ROIC”), free cash flow, and net debt capitalization. We present these non-GAAP measures because we believe they assist investors in comparing our performance across reporting periods on a consistent basis by excluding items that are not indicative of our core business or which affect comparability. In addition, these non-GAAP measures are useful in assessing our progress in achieving our long-term financial objectives.</w:t>
      </w:r>
    </w:p>
    <w:p>
      <w:pPr>
        <w:spacing w:after="0" w:line="16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Additionally, we present certain amounts as excluding the effects of foreign currency fluctuations, which are also considered non-GAAP measures. Throughout the following discussions,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businesses that are not related to currency movements.</w:t>
      </w:r>
    </w:p>
    <w:p>
      <w:pPr>
        <w:spacing w:after="0" w:line="161"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7"/>
          <w:szCs w:val="17"/>
          <w:color w:val="auto"/>
        </w:rPr>
        <w:t>Fiscal year 2017 represented the fifty-three weeks ended February 3, 2018. Accordingly, certain non-GAAP results have also been adjusted to exclude the effects of the 53</w:t>
      </w:r>
      <w:r>
        <w:rPr>
          <w:rFonts w:ascii="Arial" w:cs="Arial" w:eastAsia="Arial" w:hAnsi="Arial"/>
          <w:sz w:val="25"/>
          <w:szCs w:val="25"/>
          <w:color w:val="auto"/>
          <w:vertAlign w:val="superscript"/>
        </w:rPr>
        <w:t>rd</w:t>
      </w:r>
      <w:r>
        <w:rPr>
          <w:rFonts w:ascii="Arial" w:cs="Arial" w:eastAsia="Arial" w:hAnsi="Arial"/>
          <w:sz w:val="17"/>
          <w:szCs w:val="17"/>
          <w:color w:val="auto"/>
        </w:rPr>
        <w:t xml:space="preserve"> week to assist in comparability.</w:t>
      </w:r>
    </w:p>
    <w:p>
      <w:pPr>
        <w:ind w:left="60"/>
        <w:spacing w:after="0" w:line="237" w:lineRule="auto"/>
        <w:rPr>
          <w:sz w:val="20"/>
          <w:szCs w:val="20"/>
          <w:color w:val="auto"/>
        </w:rPr>
      </w:pPr>
      <w:r>
        <w:rPr>
          <w:rFonts w:ascii="Arial" w:cs="Arial" w:eastAsia="Arial" w:hAnsi="Arial"/>
          <w:sz w:val="17"/>
          <w:szCs w:val="17"/>
          <w:color w:val="auto"/>
        </w:rPr>
        <w:t>We estimate the tax effect of the non-GAAP adjustments by applying a marginal rate to each of the respective items.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income tax items represent the discrete amount that affected the period.</w:t>
      </w:r>
    </w:p>
    <w:p>
      <w:pPr>
        <w:spacing w:after="0" w:line="16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non-GAAP financial information is provided in addition to, and not as an alternative to, our reported results prepared in accordance with GAAP. Presented below is a reconciliation of GAAP and non-GAAP results discussed throughout this Annual Report on Form 10-K. Please see the non-GAAP reconciliations for free cash flow and net debt capitalization in the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section.</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980" w:type="dxa"/>
            <w:vAlign w:val="bottom"/>
            <w:gridSpan w:val="3"/>
          </w:tcPr>
          <w:p>
            <w:pPr>
              <w:ind w:left="20"/>
              <w:spacing w:after="0"/>
              <w:rPr>
                <w:sz w:val="20"/>
                <w:szCs w:val="20"/>
                <w:color w:val="auto"/>
              </w:rPr>
            </w:pPr>
            <w:r>
              <w:rPr>
                <w:rFonts w:ascii="Arial" w:cs="Arial" w:eastAsia="Arial" w:hAnsi="Arial"/>
                <w:sz w:val="17"/>
                <w:szCs w:val="17"/>
                <w:i w:val="1"/>
                <w:iCs w:val="1"/>
                <w:color w:val="auto"/>
              </w:rPr>
              <w:t>Reconciliation:</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71"/>
        </w:trPr>
        <w:tc>
          <w:tcPr>
            <w:tcW w:w="2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2018</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2017</w:t>
            </w: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55"/>
              <w:spacing w:after="0" w:line="183" w:lineRule="exact"/>
              <w:rPr>
                <w:sz w:val="20"/>
                <w:szCs w:val="20"/>
                <w:color w:val="auto"/>
              </w:rPr>
            </w:pPr>
            <w:r>
              <w:rPr>
                <w:rFonts w:ascii="Arial" w:cs="Arial" w:eastAsia="Arial" w:hAnsi="Arial"/>
                <w:sz w:val="17"/>
                <w:szCs w:val="17"/>
                <w:color w:val="auto"/>
              </w:rPr>
              <w:t>in millions)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9"/>
        </w:trPr>
        <w:tc>
          <w:tcPr>
            <w:tcW w:w="498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Sales</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b w:val="1"/>
                <w:bCs w:val="1"/>
                <w:color w:val="auto"/>
              </w:rPr>
              <w:t>8,005</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7,939</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7,782</w:t>
            </w:r>
          </w:p>
        </w:tc>
      </w:tr>
      <w:tr>
        <w:trPr>
          <w:trHeight w:val="189"/>
        </w:trPr>
        <w:tc>
          <w:tcPr>
            <w:tcW w:w="4980" w:type="dxa"/>
            <w:vAlign w:val="bottom"/>
            <w:tcBorders>
              <w:bottom w:val="single" w:sz="8" w:color="auto"/>
            </w:tcBorders>
            <w:gridSpan w:val="3"/>
          </w:tcPr>
          <w:p>
            <w:pPr>
              <w:ind w:left="20"/>
              <w:spacing w:after="0" w:line="189" w:lineRule="exact"/>
              <w:rPr>
                <w:sz w:val="20"/>
                <w:szCs w:val="20"/>
                <w:color w:val="auto"/>
              </w:rPr>
            </w:pPr>
            <w:r>
              <w:rPr>
                <w:rFonts w:ascii="Arial" w:cs="Arial" w:eastAsia="Arial" w:hAnsi="Arial"/>
                <w:sz w:val="15"/>
                <w:szCs w:val="15"/>
                <w:color w:val="auto"/>
              </w:rPr>
              <w:t>53</w:t>
            </w:r>
            <w:r>
              <w:rPr>
                <w:rFonts w:ascii="Arial" w:cs="Arial" w:eastAsia="Arial" w:hAnsi="Arial"/>
                <w:sz w:val="21"/>
                <w:szCs w:val="21"/>
                <w:color w:val="auto"/>
                <w:vertAlign w:val="superscript"/>
              </w:rPr>
              <w:t>rd</w:t>
            </w:r>
            <w:r>
              <w:rPr>
                <w:rFonts w:ascii="Arial" w:cs="Arial" w:eastAsia="Arial" w:hAnsi="Arial"/>
                <w:sz w:val="15"/>
                <w:szCs w:val="15"/>
                <w:color w:val="auto"/>
              </w:rPr>
              <w:t xml:space="preserve"> week</w:t>
            </w:r>
          </w:p>
        </w:tc>
        <w:tc>
          <w:tcPr>
            <w:tcW w:w="8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95</w:t>
            </w:r>
          </w:p>
        </w:tc>
      </w:tr>
      <w:tr>
        <w:trPr>
          <w:trHeight w:val="183"/>
        </w:trPr>
        <w:tc>
          <w:tcPr>
            <w:tcW w:w="4980" w:type="dxa"/>
            <w:vAlign w:val="bottom"/>
            <w:tcBorders>
              <w:bottom w:val="single" w:sz="8" w:color="auto"/>
            </w:tcBorders>
            <w:gridSpan w:val="3"/>
            <w:shd w:val="clear" w:color="auto" w:fill="CCEEFF"/>
          </w:tcPr>
          <w:p>
            <w:pPr>
              <w:ind w:left="20"/>
              <w:spacing w:after="0" w:line="183" w:lineRule="exact"/>
              <w:rPr>
                <w:sz w:val="20"/>
                <w:szCs w:val="20"/>
                <w:color w:val="auto"/>
              </w:rPr>
            </w:pPr>
            <w:r>
              <w:rPr>
                <w:rFonts w:ascii="Arial" w:cs="Arial" w:eastAsia="Arial" w:hAnsi="Arial"/>
                <w:sz w:val="15"/>
                <w:szCs w:val="15"/>
                <w:color w:val="auto"/>
              </w:rPr>
              <w:t>Sales excluding 53</w:t>
            </w:r>
            <w:r>
              <w:rPr>
                <w:rFonts w:ascii="Arial" w:cs="Arial" w:eastAsia="Arial" w:hAnsi="Arial"/>
                <w:sz w:val="21"/>
                <w:szCs w:val="21"/>
                <w:color w:val="auto"/>
                <w:vertAlign w:val="superscript"/>
              </w:rPr>
              <w:t>rd</w:t>
            </w:r>
            <w:r>
              <w:rPr>
                <w:rFonts w:ascii="Arial" w:cs="Arial" w:eastAsia="Arial" w:hAnsi="Arial"/>
                <w:sz w:val="15"/>
                <w:szCs w:val="15"/>
                <w:color w:val="auto"/>
              </w:rPr>
              <w:t xml:space="preserve"> week (non-GAAP)</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8,005</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7,939</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7,687</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498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Pre-tax income:</w:t>
            </w:r>
          </w:p>
        </w:tc>
        <w:tc>
          <w:tcPr>
            <w:tcW w:w="8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9"/>
        </w:trPr>
        <w:tc>
          <w:tcPr>
            <w:tcW w:w="498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Income before income taxes</w:t>
            </w:r>
          </w:p>
        </w:tc>
        <w:tc>
          <w:tcPr>
            <w:tcW w:w="8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6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672</w:t>
            </w:r>
          </w:p>
        </w:tc>
        <w:tc>
          <w:tcPr>
            <w:tcW w:w="2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713</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578</w:t>
            </w:r>
          </w:p>
        </w:tc>
      </w:tr>
      <w:tr>
        <w:trPr>
          <w:trHeight w:val="189"/>
        </w:trPr>
        <w:tc>
          <w:tcPr>
            <w:tcW w:w="498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Pre-tax adjustments excluded from GAAP:</w:t>
            </w:r>
          </w:p>
        </w:tc>
        <w:tc>
          <w:tcPr>
            <w:tcW w:w="8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960" w:type="dxa"/>
            <w:vAlign w:val="bottom"/>
            <w:gridSpan w:val="2"/>
          </w:tcPr>
          <w:p>
            <w:pPr>
              <w:ind w:left="100"/>
              <w:spacing w:after="0" w:line="189" w:lineRule="exact"/>
              <w:rPr>
                <w:sz w:val="20"/>
                <w:szCs w:val="20"/>
                <w:color w:val="auto"/>
              </w:rPr>
            </w:pPr>
            <w:r>
              <w:rPr>
                <w:rFonts w:ascii="Arial" w:cs="Arial" w:eastAsia="Arial" w:hAnsi="Arial"/>
                <w:sz w:val="15"/>
                <w:szCs w:val="15"/>
                <w:color w:val="auto"/>
              </w:rPr>
              <w:t xml:space="preserve">Impairment and other charges </w:t>
            </w:r>
            <w:r>
              <w:rPr>
                <w:rFonts w:ascii="Arial" w:cs="Arial" w:eastAsia="Arial" w:hAnsi="Arial"/>
                <w:sz w:val="21"/>
                <w:szCs w:val="21"/>
                <w:color w:val="auto"/>
                <w:vertAlign w:val="superscript"/>
              </w:rPr>
              <w:t>(1)</w:t>
            </w:r>
          </w:p>
        </w:tc>
        <w:tc>
          <w:tcPr>
            <w:tcW w:w="800" w:type="dxa"/>
            <w:vAlign w:val="bottom"/>
          </w:tcPr>
          <w:p>
            <w:pPr>
              <w:spacing w:after="0"/>
              <w:rPr>
                <w:sz w:val="16"/>
                <w:szCs w:val="16"/>
                <w:color w:val="auto"/>
              </w:rPr>
            </w:pPr>
          </w:p>
        </w:tc>
        <w:tc>
          <w:tcPr>
            <w:tcW w:w="86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65</w:t>
            </w:r>
          </w:p>
        </w:tc>
        <w:tc>
          <w:tcPr>
            <w:tcW w:w="200" w:type="dxa"/>
            <w:vAlign w:val="bottom"/>
          </w:tcPr>
          <w:p>
            <w:pPr>
              <w:spacing w:after="0"/>
              <w:rPr>
                <w:sz w:val="16"/>
                <w:szCs w:val="16"/>
                <w:color w:val="auto"/>
              </w:rPr>
            </w:pPr>
          </w:p>
        </w:tc>
        <w:tc>
          <w:tcPr>
            <w:tcW w:w="98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37</w:t>
            </w:r>
          </w:p>
        </w:tc>
        <w:tc>
          <w:tcPr>
            <w:tcW w:w="220" w:type="dxa"/>
            <w:vAlign w:val="bottom"/>
          </w:tcPr>
          <w:p>
            <w:pPr>
              <w:spacing w:after="0"/>
              <w:rPr>
                <w:sz w:val="16"/>
                <w:szCs w:val="16"/>
                <w:color w:val="auto"/>
              </w:rPr>
            </w:pPr>
          </w:p>
        </w:tc>
        <w:tc>
          <w:tcPr>
            <w:tcW w:w="86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211</w:t>
            </w:r>
          </w:p>
        </w:tc>
      </w:tr>
      <w:tr>
        <w:trPr>
          <w:trHeight w:val="189"/>
        </w:trPr>
        <w:tc>
          <w:tcPr>
            <w:tcW w:w="20" w:type="dxa"/>
            <w:vAlign w:val="bottom"/>
            <w:shd w:val="clear" w:color="auto" w:fill="CCEEFF"/>
          </w:tcPr>
          <w:p>
            <w:pPr>
              <w:spacing w:after="0"/>
              <w:rPr>
                <w:sz w:val="16"/>
                <w:szCs w:val="16"/>
                <w:color w:val="auto"/>
              </w:rPr>
            </w:pPr>
          </w:p>
        </w:tc>
        <w:tc>
          <w:tcPr>
            <w:tcW w:w="496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5"/>
                <w:szCs w:val="15"/>
                <w:color w:val="auto"/>
              </w:rPr>
              <w:t xml:space="preserve">Other income, net </w:t>
            </w:r>
            <w:r>
              <w:rPr>
                <w:rFonts w:ascii="Arial" w:cs="Arial" w:eastAsia="Arial" w:hAnsi="Arial"/>
                <w:sz w:val="21"/>
                <w:szCs w:val="21"/>
                <w:color w:val="auto"/>
                <w:vertAlign w:val="superscript"/>
              </w:rPr>
              <w:t>(2)</w:t>
            </w:r>
          </w:p>
        </w:tc>
        <w:tc>
          <w:tcPr>
            <w:tcW w:w="8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gridSpan w:val="2"/>
          </w:tcPr>
          <w:p>
            <w:pPr>
              <w:ind w:left="100"/>
              <w:spacing w:after="0" w:line="189" w:lineRule="exact"/>
              <w:rPr>
                <w:sz w:val="20"/>
                <w:szCs w:val="20"/>
                <w:color w:val="auto"/>
              </w:rPr>
            </w:pPr>
            <w:r>
              <w:rPr>
                <w:rFonts w:ascii="Arial" w:cs="Arial" w:eastAsia="Arial" w:hAnsi="Arial"/>
                <w:sz w:val="15"/>
                <w:szCs w:val="15"/>
                <w:color w:val="auto"/>
              </w:rPr>
              <w:t>53</w:t>
            </w:r>
            <w:r>
              <w:rPr>
                <w:rFonts w:ascii="Arial" w:cs="Arial" w:eastAsia="Arial" w:hAnsi="Arial"/>
                <w:sz w:val="21"/>
                <w:szCs w:val="21"/>
                <w:color w:val="auto"/>
                <w:vertAlign w:val="superscript"/>
              </w:rPr>
              <w:t>rd</w:t>
            </w:r>
            <w:r>
              <w:rPr>
                <w:rFonts w:ascii="Arial" w:cs="Arial" w:eastAsia="Arial" w:hAnsi="Arial"/>
                <w:sz w:val="15"/>
                <w:szCs w:val="15"/>
                <w:color w:val="auto"/>
              </w:rPr>
              <w:t xml:space="preserve"> week</w:t>
            </w:r>
          </w:p>
        </w:tc>
        <w:tc>
          <w:tcPr>
            <w:tcW w:w="8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(25)</w:t>
            </w:r>
          </w:p>
        </w:tc>
      </w:tr>
      <w:tr>
        <w:trPr>
          <w:trHeight w:val="183"/>
        </w:trPr>
        <w:tc>
          <w:tcPr>
            <w:tcW w:w="4980" w:type="dxa"/>
            <w:vAlign w:val="bottom"/>
            <w:tcBorders>
              <w:bottom w:val="single" w:sz="8" w:color="auto"/>
            </w:tcBorders>
            <w:gridSpan w:val="3"/>
            <w:shd w:val="clear" w:color="auto" w:fill="CCEEFF"/>
          </w:tcPr>
          <w:p>
            <w:pPr>
              <w:ind w:left="20"/>
              <w:spacing w:after="0" w:line="183" w:lineRule="exact"/>
              <w:rPr>
                <w:sz w:val="20"/>
                <w:szCs w:val="20"/>
                <w:color w:val="auto"/>
              </w:rPr>
            </w:pPr>
            <w:r>
              <w:rPr>
                <w:rFonts w:ascii="Arial" w:cs="Arial" w:eastAsia="Arial" w:hAnsi="Arial"/>
                <w:sz w:val="17"/>
                <w:szCs w:val="17"/>
                <w:color w:val="auto"/>
              </w:rPr>
              <w:t>Adjusted income before income taxes (non-GAAP)</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733</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750</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764</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498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Calculation of Earnings Before Interest and Taxes (EBIT):</w:t>
            </w:r>
          </w:p>
        </w:tc>
        <w:tc>
          <w:tcPr>
            <w:tcW w:w="8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9"/>
        </w:trPr>
        <w:tc>
          <w:tcPr>
            <w:tcW w:w="498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Income before income taxes</w:t>
            </w:r>
          </w:p>
        </w:tc>
        <w:tc>
          <w:tcPr>
            <w:tcW w:w="8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6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672</w:t>
            </w:r>
          </w:p>
        </w:tc>
        <w:tc>
          <w:tcPr>
            <w:tcW w:w="2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713</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578</w:t>
            </w:r>
          </w:p>
        </w:tc>
      </w:tr>
      <w:tr>
        <w:trPr>
          <w:trHeight w:val="189"/>
        </w:trPr>
        <w:tc>
          <w:tcPr>
            <w:tcW w:w="4980" w:type="dxa"/>
            <w:vAlign w:val="bottom"/>
            <w:tcBorders>
              <w:bottom w:val="single" w:sz="8" w:color="auto"/>
            </w:tcBorders>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Interest income, net</w:t>
            </w:r>
          </w:p>
        </w:tc>
        <w:tc>
          <w:tcPr>
            <w:tcW w:w="8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7"/>
                <w:szCs w:val="17"/>
                <w:b w:val="1"/>
                <w:bCs w:val="1"/>
                <w:color w:val="auto"/>
              </w:rPr>
              <w:t>11</w:t>
            </w: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9</w:t>
            </w: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2</w:t>
            </w:r>
          </w:p>
        </w:tc>
      </w:tr>
      <w:tr>
        <w:trPr>
          <w:trHeight w:val="183"/>
        </w:trPr>
        <w:tc>
          <w:tcPr>
            <w:tcW w:w="4980" w:type="dxa"/>
            <w:vAlign w:val="bottom"/>
            <w:tcBorders>
              <w:bottom w:val="single" w:sz="8" w:color="auto"/>
            </w:tcBorders>
            <w:gridSpan w:val="3"/>
          </w:tcPr>
          <w:p>
            <w:pPr>
              <w:ind w:left="20"/>
              <w:spacing w:after="0" w:line="183" w:lineRule="exact"/>
              <w:rPr>
                <w:sz w:val="20"/>
                <w:szCs w:val="20"/>
                <w:color w:val="auto"/>
              </w:rPr>
            </w:pPr>
            <w:r>
              <w:rPr>
                <w:rFonts w:ascii="Arial" w:cs="Arial" w:eastAsia="Arial" w:hAnsi="Arial"/>
                <w:sz w:val="17"/>
                <w:szCs w:val="17"/>
                <w:color w:val="auto"/>
              </w:rPr>
              <w:t>EBIT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b w:val="1"/>
                <w:bCs w:val="1"/>
                <w:color w:val="auto"/>
              </w:rPr>
              <w:t>661</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704</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576</w:t>
            </w:r>
          </w:p>
        </w:tc>
      </w:tr>
      <w:tr>
        <w:trPr>
          <w:trHeight w:val="182"/>
        </w:trPr>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9"/>
        </w:trPr>
        <w:tc>
          <w:tcPr>
            <w:tcW w:w="498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Adjusted income before income taxes</w:t>
            </w:r>
          </w:p>
        </w:tc>
        <w:tc>
          <w:tcPr>
            <w:tcW w:w="8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6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733</w:t>
            </w:r>
          </w:p>
        </w:tc>
        <w:tc>
          <w:tcPr>
            <w:tcW w:w="2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750</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764</w:t>
            </w:r>
          </w:p>
        </w:tc>
      </w:tr>
      <w:tr>
        <w:trPr>
          <w:trHeight w:val="189"/>
        </w:trPr>
        <w:tc>
          <w:tcPr>
            <w:tcW w:w="4980" w:type="dxa"/>
            <w:vAlign w:val="bottom"/>
            <w:tcBorders>
              <w:bottom w:val="single" w:sz="8" w:color="auto"/>
            </w:tcBorders>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Interest income, net</w:t>
            </w:r>
          </w:p>
        </w:tc>
        <w:tc>
          <w:tcPr>
            <w:tcW w:w="8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7"/>
                <w:szCs w:val="17"/>
                <w:b w:val="1"/>
                <w:bCs w:val="1"/>
                <w:color w:val="auto"/>
              </w:rPr>
              <w:t>11</w:t>
            </w: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9</w:t>
            </w: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2</w:t>
            </w:r>
          </w:p>
        </w:tc>
      </w:tr>
      <w:tr>
        <w:trPr>
          <w:trHeight w:val="183"/>
        </w:trPr>
        <w:tc>
          <w:tcPr>
            <w:tcW w:w="4980" w:type="dxa"/>
            <w:vAlign w:val="bottom"/>
            <w:tcBorders>
              <w:bottom w:val="single" w:sz="8" w:color="auto"/>
            </w:tcBorders>
            <w:gridSpan w:val="3"/>
          </w:tcPr>
          <w:p>
            <w:pPr>
              <w:ind w:left="20"/>
              <w:spacing w:after="0" w:line="183" w:lineRule="exact"/>
              <w:rPr>
                <w:sz w:val="20"/>
                <w:szCs w:val="20"/>
                <w:color w:val="auto"/>
              </w:rPr>
            </w:pPr>
            <w:r>
              <w:rPr>
                <w:rFonts w:ascii="Arial" w:cs="Arial" w:eastAsia="Arial" w:hAnsi="Arial"/>
                <w:sz w:val="17"/>
                <w:szCs w:val="17"/>
                <w:color w:val="auto"/>
              </w:rPr>
              <w:t>Adjusted EBIT (non-GAAP)</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b w:val="1"/>
                <w:bCs w:val="1"/>
                <w:color w:val="auto"/>
              </w:rPr>
              <w:t>722</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741</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762</w:t>
            </w:r>
          </w:p>
        </w:tc>
      </w:tr>
      <w:tr>
        <w:trPr>
          <w:trHeight w:val="183"/>
        </w:trPr>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9"/>
        </w:trPr>
        <w:tc>
          <w:tcPr>
            <w:tcW w:w="498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EBIT margin %</w:t>
            </w:r>
          </w:p>
        </w:tc>
        <w:tc>
          <w:tcPr>
            <w:tcW w:w="8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8.3 %</w:t>
            </w:r>
          </w:p>
        </w:tc>
        <w:tc>
          <w:tcPr>
            <w:tcW w:w="2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8.9 %</w:t>
            </w:r>
          </w:p>
        </w:tc>
        <w:tc>
          <w:tcPr>
            <w:tcW w:w="2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7.4 %</w:t>
            </w:r>
          </w:p>
        </w:tc>
      </w:tr>
      <w:tr>
        <w:trPr>
          <w:trHeight w:val="189"/>
        </w:trPr>
        <w:tc>
          <w:tcPr>
            <w:tcW w:w="4980" w:type="dxa"/>
            <w:vAlign w:val="bottom"/>
            <w:tcBorders>
              <w:bottom w:val="single" w:sz="8" w:color="auto"/>
            </w:tcBorders>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Adjusted EBIT margin %</w:t>
            </w:r>
          </w:p>
        </w:tc>
        <w:tc>
          <w:tcPr>
            <w:tcW w:w="8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9.0 %</w:t>
            </w: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9.3 %</w:t>
            </w: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9.9 %</w:t>
            </w:r>
          </w:p>
        </w:tc>
      </w:tr>
    </w:tbl>
    <w:p>
      <w:pPr>
        <w:spacing w:after="0" w:line="372"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21" w:name="page22"/>
    <w:bookmarkEnd w:id="21"/>
    <w:p>
      <w:pPr>
        <w:ind w:left="7020"/>
        <w:spacing w:after="0"/>
        <w:rPr>
          <w:sz w:val="20"/>
          <w:szCs w:val="20"/>
          <w:color w:val="auto"/>
        </w:rPr>
      </w:pPr>
      <w:r>
        <w:rPr>
          <w:rFonts w:ascii="Arial" w:cs="Arial" w:eastAsia="Arial" w:hAnsi="Arial"/>
          <w:sz w:val="17"/>
          <w:szCs w:val="17"/>
          <w:color w:val="auto"/>
        </w:rPr>
        <w:t>2019 Form 10-K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51" w:right="1440" w:bottom="1440" w:gutter="0" w:footer="0" w:header="0"/>
        </w:sectPr>
      </w:pPr>
    </w:p>
    <w:bookmarkStart w:id="22" w:name="page23"/>
    <w:bookmarkEnd w:id="22"/>
    <w:tbl>
      <w:tblPr>
        <w:tblLayout w:type="fixed"/>
        <w:tblInd w:w="40" w:type="dxa"/>
        <w:tblCellMar>
          <w:top w:w="0" w:type="dxa"/>
          <w:left w:w="0" w:type="dxa"/>
          <w:bottom w:w="0" w:type="dxa"/>
          <w:right w:w="0" w:type="dxa"/>
        </w:tblCellMar>
      </w:tblPr>
      <w:tr>
        <w:trPr>
          <w:trHeight w:val="215"/>
        </w:trPr>
        <w:tc>
          <w:tcPr>
            <w:tcW w:w="5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2018</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183"/>
        </w:trPr>
        <w:tc>
          <w:tcPr>
            <w:tcW w:w="540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After-tax income:</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income</w:t>
            </w:r>
          </w:p>
        </w:tc>
        <w:tc>
          <w:tcPr>
            <w:tcW w:w="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491</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541</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189"/>
        </w:trPr>
        <w:tc>
          <w:tcPr>
            <w:tcW w:w="5400" w:type="dxa"/>
            <w:vAlign w:val="bottom"/>
          </w:tcPr>
          <w:p>
            <w:pPr>
              <w:ind w:left="20"/>
              <w:spacing w:after="0" w:line="189" w:lineRule="exact"/>
              <w:rPr>
                <w:sz w:val="20"/>
                <w:szCs w:val="20"/>
                <w:color w:val="auto"/>
              </w:rPr>
            </w:pPr>
            <w:r>
              <w:rPr>
                <w:rFonts w:ascii="Arial" w:cs="Arial" w:eastAsia="Arial" w:hAnsi="Arial"/>
                <w:sz w:val="17"/>
                <w:szCs w:val="17"/>
                <w:color w:val="auto"/>
              </w:rPr>
              <w:t>After-tax adjustments excluded from GAAP:</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ind w:left="120"/>
              <w:spacing w:after="0" w:line="181" w:lineRule="exact"/>
              <w:rPr>
                <w:sz w:val="20"/>
                <w:szCs w:val="20"/>
                <w:color w:val="auto"/>
              </w:rPr>
            </w:pPr>
            <w:r>
              <w:rPr>
                <w:rFonts w:ascii="Arial" w:cs="Arial" w:eastAsia="Arial" w:hAnsi="Arial"/>
                <w:sz w:val="17"/>
                <w:szCs w:val="17"/>
                <w:color w:val="auto"/>
              </w:rPr>
              <w:t>Impairment and other charges, net of income tax benefit of $16, $6,</w:t>
            </w:r>
          </w:p>
        </w:tc>
        <w:tc>
          <w:tcPr>
            <w:tcW w:w="3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49</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00"/>
              <w:spacing w:after="0" w:line="197" w:lineRule="exact"/>
              <w:rPr>
                <w:sz w:val="20"/>
                <w:szCs w:val="20"/>
                <w:color w:val="auto"/>
              </w:rPr>
            </w:pPr>
            <w:r>
              <w:rPr>
                <w:rFonts w:ascii="Arial" w:cs="Arial" w:eastAsia="Arial" w:hAnsi="Arial"/>
                <w:sz w:val="15"/>
                <w:szCs w:val="15"/>
                <w:color w:val="auto"/>
              </w:rPr>
              <w:t xml:space="preserve">and $78 million, respectively </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31</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189"/>
        </w:trPr>
        <w:tc>
          <w:tcPr>
            <w:tcW w:w="5400" w:type="dxa"/>
            <w:vAlign w:val="bottom"/>
          </w:tcPr>
          <w:p>
            <w:pPr>
              <w:ind w:left="120"/>
              <w:spacing w:after="0" w:line="189" w:lineRule="exact"/>
              <w:rPr>
                <w:sz w:val="20"/>
                <w:szCs w:val="20"/>
                <w:color w:val="auto"/>
              </w:rPr>
            </w:pPr>
            <w:r>
              <w:rPr>
                <w:rFonts w:ascii="Arial" w:cs="Arial" w:eastAsia="Arial" w:hAnsi="Arial"/>
                <w:sz w:val="15"/>
                <w:szCs w:val="15"/>
                <w:color w:val="auto"/>
              </w:rPr>
              <w:t xml:space="preserve">Other income, net </w:t>
            </w:r>
            <w:r>
              <w:rPr>
                <w:rFonts w:ascii="Arial" w:cs="Arial" w:eastAsia="Arial" w:hAnsi="Arial"/>
                <w:sz w:val="21"/>
                <w:szCs w:val="21"/>
                <w:color w:val="auto"/>
                <w:vertAlign w:val="superscript"/>
              </w:rPr>
              <w:t>(2)</w:t>
            </w:r>
          </w:p>
        </w:tc>
        <w:tc>
          <w:tcPr>
            <w:tcW w:w="380" w:type="dxa"/>
            <w:vAlign w:val="bottom"/>
          </w:tcPr>
          <w:p>
            <w:pPr>
              <w:spacing w:after="0"/>
              <w:rPr>
                <w:sz w:val="16"/>
                <w:szCs w:val="16"/>
                <w:color w:val="auto"/>
              </w:rPr>
            </w:pPr>
          </w:p>
        </w:tc>
        <w:tc>
          <w:tcPr>
            <w:tcW w:w="9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(4)</w:t>
            </w:r>
          </w:p>
        </w:tc>
        <w:tc>
          <w:tcPr>
            <w:tcW w:w="220" w:type="dxa"/>
            <w:vAlign w:val="bottom"/>
          </w:tcPr>
          <w:p>
            <w:pPr>
              <w:spacing w:after="0"/>
              <w:rPr>
                <w:sz w:val="16"/>
                <w:szCs w:val="16"/>
                <w:color w:val="auto"/>
              </w:rPr>
            </w:pPr>
          </w:p>
        </w:tc>
        <w:tc>
          <w:tcPr>
            <w:tcW w:w="92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86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120"/>
              <w:spacing w:after="0" w:line="189" w:lineRule="exact"/>
              <w:rPr>
                <w:sz w:val="20"/>
                <w:szCs w:val="20"/>
                <w:color w:val="auto"/>
              </w:rPr>
            </w:pPr>
            <w:r>
              <w:rPr>
                <w:rFonts w:ascii="Arial" w:cs="Arial" w:eastAsia="Arial" w:hAnsi="Arial"/>
                <w:sz w:val="15"/>
                <w:szCs w:val="15"/>
                <w:color w:val="auto"/>
              </w:rPr>
              <w:t xml:space="preserve">U.S. tax reform </w:t>
            </w:r>
            <w:r>
              <w:rPr>
                <w:rFonts w:ascii="Arial" w:cs="Arial" w:eastAsia="Arial" w:hAnsi="Arial"/>
                <w:sz w:val="21"/>
                <w:szCs w:val="21"/>
                <w:color w:val="auto"/>
                <w:vertAlign w:val="superscript"/>
              </w:rPr>
              <w:t>(3)</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2</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(28)</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189"/>
        </w:trPr>
        <w:tc>
          <w:tcPr>
            <w:tcW w:w="5400" w:type="dxa"/>
            <w:vAlign w:val="bottom"/>
          </w:tcPr>
          <w:p>
            <w:pPr>
              <w:ind w:left="120"/>
              <w:spacing w:after="0" w:line="189" w:lineRule="exact"/>
              <w:rPr>
                <w:sz w:val="20"/>
                <w:szCs w:val="20"/>
                <w:color w:val="auto"/>
              </w:rPr>
            </w:pPr>
            <w:r>
              <w:rPr>
                <w:rFonts w:ascii="Arial" w:cs="Arial" w:eastAsia="Arial" w:hAnsi="Arial"/>
                <w:sz w:val="15"/>
                <w:szCs w:val="15"/>
                <w:color w:val="auto"/>
              </w:rPr>
              <w:t xml:space="preserve">Tax expense (benefit) related to tax law rate changes </w:t>
            </w:r>
            <w:r>
              <w:rPr>
                <w:rFonts w:ascii="Arial" w:cs="Arial" w:eastAsia="Arial" w:hAnsi="Arial"/>
                <w:sz w:val="21"/>
                <w:szCs w:val="21"/>
                <w:color w:val="auto"/>
                <w:vertAlign w:val="superscript"/>
              </w:rPr>
              <w:t>(4)</w:t>
            </w:r>
          </w:p>
        </w:tc>
        <w:tc>
          <w:tcPr>
            <w:tcW w:w="380" w:type="dxa"/>
            <w:vAlign w:val="bottom"/>
          </w:tcPr>
          <w:p>
            <w:pPr>
              <w:spacing w:after="0"/>
              <w:rPr>
                <w:sz w:val="16"/>
                <w:szCs w:val="16"/>
                <w:color w:val="auto"/>
              </w:rPr>
            </w:pPr>
          </w:p>
        </w:tc>
        <w:tc>
          <w:tcPr>
            <w:tcW w:w="9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(2)</w:t>
            </w:r>
          </w:p>
        </w:tc>
        <w:tc>
          <w:tcPr>
            <w:tcW w:w="220" w:type="dxa"/>
            <w:vAlign w:val="bottom"/>
          </w:tcPr>
          <w:p>
            <w:pPr>
              <w:spacing w:after="0"/>
              <w:rPr>
                <w:sz w:val="16"/>
                <w:szCs w:val="16"/>
                <w:color w:val="auto"/>
              </w:rPr>
            </w:pPr>
          </w:p>
        </w:tc>
        <w:tc>
          <w:tcPr>
            <w:tcW w:w="92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4</w:t>
            </w:r>
          </w:p>
        </w:tc>
        <w:tc>
          <w:tcPr>
            <w:tcW w:w="220" w:type="dxa"/>
            <w:vAlign w:val="bottom"/>
          </w:tcPr>
          <w:p>
            <w:pPr>
              <w:spacing w:after="0"/>
              <w:rPr>
                <w:sz w:val="16"/>
                <w:szCs w:val="16"/>
                <w:color w:val="auto"/>
              </w:rPr>
            </w:pPr>
          </w:p>
        </w:tc>
        <w:tc>
          <w:tcPr>
            <w:tcW w:w="86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ind w:left="120"/>
              <w:spacing w:after="0" w:line="181" w:lineRule="exact"/>
              <w:rPr>
                <w:sz w:val="20"/>
                <w:szCs w:val="20"/>
                <w:color w:val="auto"/>
              </w:rPr>
            </w:pPr>
            <w:r>
              <w:rPr>
                <w:rFonts w:ascii="Arial" w:cs="Arial" w:eastAsia="Arial" w:hAnsi="Arial"/>
                <w:sz w:val="17"/>
                <w:szCs w:val="17"/>
                <w:color w:val="auto"/>
              </w:rPr>
              <w:t>Tax benefit related to enacted change in foreign branch currency</w:t>
            </w:r>
          </w:p>
        </w:tc>
        <w:tc>
          <w:tcPr>
            <w:tcW w:w="3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00"/>
              <w:spacing w:after="0" w:line="197" w:lineRule="exact"/>
              <w:rPr>
                <w:sz w:val="20"/>
                <w:szCs w:val="20"/>
                <w:color w:val="auto"/>
              </w:rPr>
            </w:pPr>
            <w:r>
              <w:rPr>
                <w:rFonts w:ascii="Arial" w:cs="Arial" w:eastAsia="Arial" w:hAnsi="Arial"/>
                <w:sz w:val="15"/>
                <w:szCs w:val="15"/>
                <w:color w:val="auto"/>
              </w:rPr>
              <w:t xml:space="preserve">regulations </w:t>
            </w:r>
            <w:r>
              <w:rPr>
                <w:rFonts w:ascii="Arial" w:cs="Arial" w:eastAsia="Arial" w:hAnsi="Arial"/>
                <w:sz w:val="22"/>
                <w:szCs w:val="22"/>
                <w:color w:val="auto"/>
                <w:vertAlign w:val="superscript"/>
              </w:rPr>
              <w:t>(5)</w:t>
            </w:r>
          </w:p>
        </w:tc>
        <w:tc>
          <w:tcPr>
            <w:tcW w:w="3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400" w:type="dxa"/>
            <w:vAlign w:val="bottom"/>
          </w:tcPr>
          <w:p>
            <w:pPr>
              <w:ind w:left="120"/>
              <w:spacing w:after="0" w:line="189" w:lineRule="exact"/>
              <w:rPr>
                <w:sz w:val="20"/>
                <w:szCs w:val="20"/>
                <w:color w:val="auto"/>
              </w:rPr>
            </w:pPr>
            <w:r>
              <w:rPr>
                <w:rFonts w:ascii="Arial" w:cs="Arial" w:eastAsia="Arial" w:hAnsi="Arial"/>
                <w:sz w:val="15"/>
                <w:szCs w:val="15"/>
                <w:color w:val="auto"/>
              </w:rPr>
              <w:t xml:space="preserve">Income tax valuation allowances </w:t>
            </w:r>
            <w:r>
              <w:rPr>
                <w:rFonts w:ascii="Arial" w:cs="Arial" w:eastAsia="Arial" w:hAnsi="Arial"/>
                <w:sz w:val="21"/>
                <w:szCs w:val="21"/>
                <w:color w:val="auto"/>
                <w:vertAlign w:val="superscript"/>
              </w:rPr>
              <w:t>(6)</w:t>
            </w:r>
          </w:p>
        </w:tc>
        <w:tc>
          <w:tcPr>
            <w:tcW w:w="380" w:type="dxa"/>
            <w:vAlign w:val="bottom"/>
          </w:tcPr>
          <w:p>
            <w:pPr>
              <w:spacing w:after="0"/>
              <w:rPr>
                <w:sz w:val="16"/>
                <w:szCs w:val="16"/>
                <w:color w:val="auto"/>
              </w:rPr>
            </w:pPr>
          </w:p>
        </w:tc>
        <w:tc>
          <w:tcPr>
            <w:tcW w:w="90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2</w:t>
            </w:r>
          </w:p>
        </w:tc>
        <w:tc>
          <w:tcPr>
            <w:tcW w:w="220" w:type="dxa"/>
            <w:vAlign w:val="bottom"/>
          </w:tcPr>
          <w:p>
            <w:pPr>
              <w:spacing w:after="0"/>
              <w:rPr>
                <w:sz w:val="16"/>
                <w:szCs w:val="16"/>
                <w:color w:val="auto"/>
              </w:rPr>
            </w:pPr>
          </w:p>
        </w:tc>
        <w:tc>
          <w:tcPr>
            <w:tcW w:w="92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86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540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5"/>
                <w:szCs w:val="15"/>
                <w:color w:val="auto"/>
              </w:rPr>
              <w:t>53</w:t>
            </w:r>
            <w:r>
              <w:rPr>
                <w:rFonts w:ascii="Arial" w:cs="Arial" w:eastAsia="Arial" w:hAnsi="Arial"/>
                <w:sz w:val="21"/>
                <w:szCs w:val="21"/>
                <w:color w:val="auto"/>
                <w:vertAlign w:val="superscript"/>
              </w:rPr>
              <w:t>rd</w:t>
            </w:r>
            <w:r>
              <w:rPr>
                <w:rFonts w:ascii="Arial" w:cs="Arial" w:eastAsia="Arial" w:hAnsi="Arial"/>
                <w:sz w:val="15"/>
                <w:szCs w:val="15"/>
                <w:color w:val="auto"/>
              </w:rPr>
              <w:t xml:space="preserve"> week, net of income tax expense of $9 million</w:t>
            </w: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Adjusted net income (non-GAAP)</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538</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547</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510</w:t>
            </w:r>
          </w:p>
        </w:tc>
        <w:tc>
          <w:tcPr>
            <w:tcW w:w="0" w:type="dxa"/>
            <w:vAlign w:val="bottom"/>
          </w:tcPr>
          <w:p>
            <w:pPr>
              <w:spacing w:after="0"/>
              <w:rPr>
                <w:sz w:val="1"/>
                <w:szCs w:val="1"/>
                <w:color w:val="auto"/>
              </w:rPr>
            </w:pPr>
          </w:p>
        </w:tc>
      </w:tr>
      <w:tr>
        <w:trPr>
          <w:trHeight w:val="169"/>
        </w:trPr>
        <w:tc>
          <w:tcPr>
            <w:tcW w:w="5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Earnings per share:</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Diluted EPS</w:t>
            </w:r>
          </w:p>
        </w:tc>
        <w:tc>
          <w:tcPr>
            <w:tcW w:w="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4.50</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4.66</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189"/>
        </w:trPr>
        <w:tc>
          <w:tcPr>
            <w:tcW w:w="5400" w:type="dxa"/>
            <w:vAlign w:val="bottom"/>
          </w:tcPr>
          <w:p>
            <w:pPr>
              <w:ind w:left="20"/>
              <w:spacing w:after="0" w:line="189" w:lineRule="exact"/>
              <w:rPr>
                <w:sz w:val="20"/>
                <w:szCs w:val="20"/>
                <w:color w:val="auto"/>
              </w:rPr>
            </w:pPr>
            <w:r>
              <w:rPr>
                <w:rFonts w:ascii="Arial" w:cs="Arial" w:eastAsia="Arial" w:hAnsi="Arial"/>
                <w:sz w:val="17"/>
                <w:szCs w:val="17"/>
                <w:color w:val="auto"/>
              </w:rPr>
              <w:t>Diluted EPS amounts excluded from GAAP:</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120"/>
              <w:spacing w:after="0" w:line="189" w:lineRule="exact"/>
              <w:rPr>
                <w:sz w:val="20"/>
                <w:szCs w:val="20"/>
                <w:color w:val="auto"/>
              </w:rPr>
            </w:pPr>
            <w:r>
              <w:rPr>
                <w:rFonts w:ascii="Arial" w:cs="Arial" w:eastAsia="Arial" w:hAnsi="Arial"/>
                <w:sz w:val="15"/>
                <w:szCs w:val="15"/>
                <w:color w:val="auto"/>
              </w:rPr>
              <w:t xml:space="preserve">Impairment and other charges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0.44</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0.27</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189"/>
        </w:trPr>
        <w:tc>
          <w:tcPr>
            <w:tcW w:w="5400" w:type="dxa"/>
            <w:vAlign w:val="bottom"/>
          </w:tcPr>
          <w:p>
            <w:pPr>
              <w:ind w:left="120"/>
              <w:spacing w:after="0" w:line="189" w:lineRule="exact"/>
              <w:rPr>
                <w:sz w:val="20"/>
                <w:szCs w:val="20"/>
                <w:color w:val="auto"/>
              </w:rPr>
            </w:pPr>
            <w:r>
              <w:rPr>
                <w:rFonts w:ascii="Arial" w:cs="Arial" w:eastAsia="Arial" w:hAnsi="Arial"/>
                <w:sz w:val="15"/>
                <w:szCs w:val="15"/>
                <w:color w:val="auto"/>
              </w:rPr>
              <w:t xml:space="preserve">Other income, net </w:t>
            </w:r>
            <w:r>
              <w:rPr>
                <w:rFonts w:ascii="Arial" w:cs="Arial" w:eastAsia="Arial" w:hAnsi="Arial"/>
                <w:sz w:val="21"/>
                <w:szCs w:val="21"/>
                <w:color w:val="auto"/>
                <w:vertAlign w:val="superscript"/>
              </w:rPr>
              <w:t>(2)</w:t>
            </w:r>
          </w:p>
        </w:tc>
        <w:tc>
          <w:tcPr>
            <w:tcW w:w="380" w:type="dxa"/>
            <w:vAlign w:val="bottom"/>
          </w:tcPr>
          <w:p>
            <w:pPr>
              <w:spacing w:after="0"/>
              <w:rPr>
                <w:sz w:val="16"/>
                <w:szCs w:val="16"/>
                <w:color w:val="auto"/>
              </w:rPr>
            </w:pPr>
          </w:p>
        </w:tc>
        <w:tc>
          <w:tcPr>
            <w:tcW w:w="9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(0.04)</w:t>
            </w:r>
          </w:p>
        </w:tc>
        <w:tc>
          <w:tcPr>
            <w:tcW w:w="220" w:type="dxa"/>
            <w:vAlign w:val="bottom"/>
          </w:tcPr>
          <w:p>
            <w:pPr>
              <w:spacing w:after="0"/>
              <w:rPr>
                <w:sz w:val="16"/>
                <w:szCs w:val="16"/>
                <w:color w:val="auto"/>
              </w:rPr>
            </w:pPr>
          </w:p>
        </w:tc>
        <w:tc>
          <w:tcPr>
            <w:tcW w:w="92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86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120"/>
              <w:spacing w:after="0" w:line="189" w:lineRule="exact"/>
              <w:rPr>
                <w:sz w:val="20"/>
                <w:szCs w:val="20"/>
                <w:color w:val="auto"/>
              </w:rPr>
            </w:pPr>
            <w:r>
              <w:rPr>
                <w:rFonts w:ascii="Arial" w:cs="Arial" w:eastAsia="Arial" w:hAnsi="Arial"/>
                <w:sz w:val="15"/>
                <w:szCs w:val="15"/>
                <w:color w:val="auto"/>
              </w:rPr>
              <w:t xml:space="preserve">U.S. tax reform </w:t>
            </w:r>
            <w:r>
              <w:rPr>
                <w:rFonts w:ascii="Arial" w:cs="Arial" w:eastAsia="Arial" w:hAnsi="Arial"/>
                <w:sz w:val="21"/>
                <w:szCs w:val="21"/>
                <w:color w:val="auto"/>
                <w:vertAlign w:val="superscript"/>
              </w:rPr>
              <w:t>(3)</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0.02</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(0.25)</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0.78</w:t>
            </w:r>
          </w:p>
        </w:tc>
        <w:tc>
          <w:tcPr>
            <w:tcW w:w="0" w:type="dxa"/>
            <w:vAlign w:val="bottom"/>
          </w:tcPr>
          <w:p>
            <w:pPr>
              <w:spacing w:after="0"/>
              <w:rPr>
                <w:sz w:val="1"/>
                <w:szCs w:val="1"/>
                <w:color w:val="auto"/>
              </w:rPr>
            </w:pPr>
          </w:p>
        </w:tc>
      </w:tr>
      <w:tr>
        <w:trPr>
          <w:trHeight w:val="189"/>
        </w:trPr>
        <w:tc>
          <w:tcPr>
            <w:tcW w:w="5400" w:type="dxa"/>
            <w:vAlign w:val="bottom"/>
          </w:tcPr>
          <w:p>
            <w:pPr>
              <w:ind w:left="120"/>
              <w:spacing w:after="0" w:line="189" w:lineRule="exact"/>
              <w:rPr>
                <w:sz w:val="20"/>
                <w:szCs w:val="20"/>
                <w:color w:val="auto"/>
              </w:rPr>
            </w:pPr>
            <w:r>
              <w:rPr>
                <w:rFonts w:ascii="Arial" w:cs="Arial" w:eastAsia="Arial" w:hAnsi="Arial"/>
                <w:sz w:val="15"/>
                <w:szCs w:val="15"/>
                <w:color w:val="auto"/>
              </w:rPr>
              <w:t xml:space="preserve">Tax expense (benefit) related to tax law rate changes </w:t>
            </w:r>
            <w:r>
              <w:rPr>
                <w:rFonts w:ascii="Arial" w:cs="Arial" w:eastAsia="Arial" w:hAnsi="Arial"/>
                <w:sz w:val="21"/>
                <w:szCs w:val="21"/>
                <w:color w:val="auto"/>
                <w:vertAlign w:val="superscript"/>
              </w:rPr>
              <w:t>(4)</w:t>
            </w:r>
          </w:p>
        </w:tc>
        <w:tc>
          <w:tcPr>
            <w:tcW w:w="380" w:type="dxa"/>
            <w:vAlign w:val="bottom"/>
          </w:tcPr>
          <w:p>
            <w:pPr>
              <w:spacing w:after="0"/>
              <w:rPr>
                <w:sz w:val="16"/>
                <w:szCs w:val="16"/>
                <w:color w:val="auto"/>
              </w:rPr>
            </w:pPr>
          </w:p>
        </w:tc>
        <w:tc>
          <w:tcPr>
            <w:tcW w:w="9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(0.02)</w:t>
            </w:r>
          </w:p>
        </w:tc>
        <w:tc>
          <w:tcPr>
            <w:tcW w:w="220" w:type="dxa"/>
            <w:vAlign w:val="bottom"/>
          </w:tcPr>
          <w:p>
            <w:pPr>
              <w:spacing w:after="0"/>
              <w:rPr>
                <w:sz w:val="16"/>
                <w:szCs w:val="16"/>
                <w:color w:val="auto"/>
              </w:rPr>
            </w:pPr>
          </w:p>
        </w:tc>
        <w:tc>
          <w:tcPr>
            <w:tcW w:w="92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0.04</w:t>
            </w:r>
          </w:p>
        </w:tc>
        <w:tc>
          <w:tcPr>
            <w:tcW w:w="220" w:type="dxa"/>
            <w:vAlign w:val="bottom"/>
          </w:tcPr>
          <w:p>
            <w:pPr>
              <w:spacing w:after="0"/>
              <w:rPr>
                <w:sz w:val="16"/>
                <w:szCs w:val="16"/>
                <w:color w:val="auto"/>
              </w:rPr>
            </w:pPr>
          </w:p>
        </w:tc>
        <w:tc>
          <w:tcPr>
            <w:tcW w:w="86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ind w:left="120"/>
              <w:spacing w:after="0" w:line="181" w:lineRule="exact"/>
              <w:rPr>
                <w:sz w:val="20"/>
                <w:szCs w:val="20"/>
                <w:color w:val="auto"/>
              </w:rPr>
            </w:pPr>
            <w:r>
              <w:rPr>
                <w:rFonts w:ascii="Arial" w:cs="Arial" w:eastAsia="Arial" w:hAnsi="Arial"/>
                <w:sz w:val="17"/>
                <w:szCs w:val="17"/>
                <w:color w:val="auto"/>
              </w:rPr>
              <w:t>Tax benefit related to enacted change in foreign branch currency</w:t>
            </w:r>
          </w:p>
        </w:tc>
        <w:tc>
          <w:tcPr>
            <w:tcW w:w="3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ind w:left="300"/>
              <w:spacing w:after="0" w:line="197" w:lineRule="exact"/>
              <w:rPr>
                <w:sz w:val="20"/>
                <w:szCs w:val="20"/>
                <w:color w:val="auto"/>
              </w:rPr>
            </w:pPr>
            <w:r>
              <w:rPr>
                <w:rFonts w:ascii="Arial" w:cs="Arial" w:eastAsia="Arial" w:hAnsi="Arial"/>
                <w:sz w:val="15"/>
                <w:szCs w:val="15"/>
                <w:color w:val="auto"/>
              </w:rPr>
              <w:t xml:space="preserve">regulations </w:t>
            </w:r>
            <w:r>
              <w:rPr>
                <w:rFonts w:ascii="Arial" w:cs="Arial" w:eastAsia="Arial" w:hAnsi="Arial"/>
                <w:sz w:val="22"/>
                <w:szCs w:val="22"/>
                <w:color w:val="auto"/>
                <w:vertAlign w:val="superscript"/>
              </w:rPr>
              <w:t>(5)</w:t>
            </w:r>
          </w:p>
        </w:tc>
        <w:tc>
          <w:tcPr>
            <w:tcW w:w="3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(0.01)</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400" w:type="dxa"/>
            <w:vAlign w:val="bottom"/>
          </w:tcPr>
          <w:p>
            <w:pPr>
              <w:ind w:left="120"/>
              <w:spacing w:after="0" w:line="189" w:lineRule="exact"/>
              <w:rPr>
                <w:sz w:val="20"/>
                <w:szCs w:val="20"/>
                <w:color w:val="auto"/>
              </w:rPr>
            </w:pPr>
            <w:r>
              <w:rPr>
                <w:rFonts w:ascii="Arial" w:cs="Arial" w:eastAsia="Arial" w:hAnsi="Arial"/>
                <w:sz w:val="15"/>
                <w:szCs w:val="15"/>
                <w:color w:val="auto"/>
              </w:rPr>
              <w:t xml:space="preserve">Income tax valuation allowances </w:t>
            </w:r>
            <w:r>
              <w:rPr>
                <w:rFonts w:ascii="Arial" w:cs="Arial" w:eastAsia="Arial" w:hAnsi="Arial"/>
                <w:sz w:val="21"/>
                <w:szCs w:val="21"/>
                <w:color w:val="auto"/>
                <w:vertAlign w:val="superscript"/>
              </w:rPr>
              <w:t>(6)</w:t>
            </w:r>
          </w:p>
        </w:tc>
        <w:tc>
          <w:tcPr>
            <w:tcW w:w="380" w:type="dxa"/>
            <w:vAlign w:val="bottom"/>
          </w:tcPr>
          <w:p>
            <w:pPr>
              <w:spacing w:after="0"/>
              <w:rPr>
                <w:sz w:val="16"/>
                <w:szCs w:val="16"/>
                <w:color w:val="auto"/>
              </w:rPr>
            </w:pPr>
          </w:p>
        </w:tc>
        <w:tc>
          <w:tcPr>
            <w:tcW w:w="90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0.03</w:t>
            </w:r>
          </w:p>
        </w:tc>
        <w:tc>
          <w:tcPr>
            <w:tcW w:w="220" w:type="dxa"/>
            <w:vAlign w:val="bottom"/>
          </w:tcPr>
          <w:p>
            <w:pPr>
              <w:spacing w:after="0"/>
              <w:rPr>
                <w:sz w:val="16"/>
                <w:szCs w:val="16"/>
                <w:color w:val="auto"/>
              </w:rPr>
            </w:pPr>
          </w:p>
        </w:tc>
        <w:tc>
          <w:tcPr>
            <w:tcW w:w="92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86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189"/>
        </w:trPr>
        <w:tc>
          <w:tcPr>
            <w:tcW w:w="540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5"/>
                <w:szCs w:val="15"/>
                <w:color w:val="auto"/>
              </w:rPr>
              <w:t>53</w:t>
            </w:r>
            <w:r>
              <w:rPr>
                <w:rFonts w:ascii="Arial" w:cs="Arial" w:eastAsia="Arial" w:hAnsi="Arial"/>
                <w:sz w:val="21"/>
                <w:szCs w:val="21"/>
                <w:color w:val="auto"/>
                <w:vertAlign w:val="superscript"/>
              </w:rPr>
              <w:t>rd</w:t>
            </w:r>
            <w:r>
              <w:rPr>
                <w:rFonts w:ascii="Arial" w:cs="Arial" w:eastAsia="Arial" w:hAnsi="Arial"/>
                <w:sz w:val="15"/>
                <w:szCs w:val="15"/>
                <w:color w:val="auto"/>
              </w:rPr>
              <w:t xml:space="preserve"> week</w:t>
            </w: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Adjusted diluted EPS (non-GAAP)</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4.93</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4.71</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169"/>
        </w:trPr>
        <w:tc>
          <w:tcPr>
            <w:tcW w:w="5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20"/>
              <w:spacing w:after="0" w:line="189" w:lineRule="exact"/>
              <w:rPr>
                <w:sz w:val="20"/>
                <w:szCs w:val="20"/>
                <w:color w:val="auto"/>
              </w:rPr>
            </w:pPr>
            <w:r>
              <w:rPr>
                <w:rFonts w:ascii="Arial" w:cs="Arial" w:eastAsia="Arial" w:hAnsi="Arial"/>
                <w:sz w:val="17"/>
                <w:szCs w:val="17"/>
                <w:color w:val="auto"/>
              </w:rPr>
              <w:t>Net income margin %</w:t>
            </w:r>
          </w:p>
        </w:tc>
        <w:tc>
          <w:tcPr>
            <w:tcW w:w="3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6.1 %</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6.8 %</w:t>
            </w:r>
          </w:p>
        </w:tc>
        <w:tc>
          <w:tcPr>
            <w:tcW w:w="2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3.6 %</w:t>
            </w:r>
          </w:p>
        </w:tc>
        <w:tc>
          <w:tcPr>
            <w:tcW w:w="0" w:type="dxa"/>
            <w:vAlign w:val="bottom"/>
          </w:tcPr>
          <w:p>
            <w:pPr>
              <w:spacing w:after="0"/>
              <w:rPr>
                <w:sz w:val="1"/>
                <w:szCs w:val="1"/>
                <w:color w:val="auto"/>
              </w:rPr>
            </w:pPr>
          </w:p>
        </w:tc>
      </w:tr>
      <w:tr>
        <w:trPr>
          <w:trHeight w:val="189"/>
        </w:trPr>
        <w:tc>
          <w:tcPr>
            <w:tcW w:w="54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Adjusted net income margin %</w:t>
            </w: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6.7 %</w:t>
            </w: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6.9 %</w:t>
            </w: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6.6 %</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60"/>
        <w:spacing w:after="0"/>
        <w:rPr>
          <w:sz w:val="20"/>
          <w:szCs w:val="20"/>
          <w:color w:val="auto"/>
        </w:rPr>
      </w:pPr>
      <w:r>
        <w:rPr>
          <w:rFonts w:ascii="Arial" w:cs="Arial" w:eastAsia="Arial" w:hAnsi="Arial"/>
          <w:sz w:val="17"/>
          <w:szCs w:val="17"/>
          <w:i w:val="1"/>
          <w:iCs w:val="1"/>
          <w:u w:val="single" w:color="auto"/>
          <w:color w:val="auto"/>
        </w:rPr>
        <w:t>Notes on Non-GAAP Adjustments:</w:t>
      </w:r>
    </w:p>
    <w:p>
      <w:pPr>
        <w:spacing w:after="0" w:line="206" w:lineRule="exact"/>
        <w:rPr>
          <w:sz w:val="20"/>
          <w:szCs w:val="20"/>
          <w:color w:val="auto"/>
        </w:rPr>
      </w:pPr>
    </w:p>
    <w:p>
      <w:pPr>
        <w:jc w:val="both"/>
        <w:ind w:left="380" w:right="79" w:hanging="330"/>
        <w:spacing w:after="0" w:line="241"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Impairment and other charges for 2019 includes impairment charges related to certain of our Footaction stores, certain underperforming stores, a vacant store that was previously subleased, the closure of our SIX:02 stores ($50 million, or $38 million after-tax), the impairment related to two of our minority investments ($11 million, or $8 million after-tax), and pension-related charges ($4 million, or $3 million after-tax). The 2018 amount represented pension-related litigation charges ($18 million, or $13 million after-tax) and impairment charges associated with our SIX:02, Runners Point, and Sidestep businesses ($19 million, or $18 million after-tax). The 2017 amount represented pension-related litigation charges ($178 million, or $111 million after-tax), impairment charges associated with our SIX:02, Runners Point, and Sidestep businesses ($20 million, or $14 million after-tax), and costs associated with the reorganization and the reduction of division and corporate staff ($13 million, or $8 million after-tax).</w:t>
      </w:r>
    </w:p>
    <w:p>
      <w:pPr>
        <w:spacing w:after="0" w:line="150" w:lineRule="exact"/>
        <w:rPr>
          <w:rFonts w:ascii="Arial" w:cs="Arial" w:eastAsia="Arial" w:hAnsi="Arial"/>
          <w:sz w:val="13"/>
          <w:szCs w:val="13"/>
          <w:color w:val="auto"/>
        </w:rPr>
      </w:pPr>
    </w:p>
    <w:p>
      <w:pPr>
        <w:ind w:left="380" w:right="79" w:hanging="330"/>
        <w:spacing w:after="0" w:line="258"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Other income, net represented a gain recorded in connection with acquisition of a Canadian distribution center lease and related assets. The tax expense related to this transaction was largely offset by the release of a valuation allowance.</w:t>
      </w:r>
    </w:p>
    <w:p>
      <w:pPr>
        <w:spacing w:after="0" w:line="2" w:lineRule="exact"/>
        <w:rPr>
          <w:rFonts w:ascii="Arial" w:cs="Arial" w:eastAsia="Arial" w:hAnsi="Arial"/>
          <w:sz w:val="13"/>
          <w:szCs w:val="13"/>
          <w:color w:val="auto"/>
        </w:rPr>
      </w:pPr>
    </w:p>
    <w:p>
      <w:pPr>
        <w:jc w:val="both"/>
        <w:ind w:left="380" w:right="79" w:hanging="330"/>
        <w:spacing w:after="0" w:line="241"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On December 22, 2017, the United States enacted tax reform legislation that included a broad range of business tax provisions. During the fourth quarter of 2017, we recognized a $99 million provisional charge for the mandatory deemed repatriation of foreign sourced net earnings and a corresponding change in our permanent reinvestment assertion under ASC 740-30. During 2018, we reduced the provisional amounts by $28 million. This adjustment represented a $21 million reduction in the deemed repatriation tax and a $7 million benefit related to IRS accounting method changes and timing difference adjustments. In 2019, we recorded a charge for $2 million, which reflected an adjustment to U.S. tax on foreign income. We exclude the discrete U.S. tax reform effect from our Adjusted diluted EPS as it does not reflect our ongoing tax obligations under U.S. tax reform.</w:t>
      </w:r>
    </w:p>
    <w:p>
      <w:pPr>
        <w:spacing w:after="0" w:line="2" w:lineRule="exact"/>
        <w:rPr>
          <w:rFonts w:ascii="Arial" w:cs="Arial" w:eastAsia="Arial" w:hAnsi="Arial"/>
          <w:sz w:val="13"/>
          <w:szCs w:val="13"/>
          <w:color w:val="auto"/>
        </w:rPr>
      </w:pPr>
    </w:p>
    <w:p>
      <w:pPr>
        <w:jc w:val="both"/>
        <w:ind w:left="380" w:right="79" w:hanging="330"/>
        <w:spacing w:after="0" w:line="245"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recognized a tax benefit of $2 million and a tax expense of $4 million during the fourth quarters of 2019 and 2018, respectively, in connection with tax law changes in the Netherlands. During 2017 we recorded a charge of $2 million in connection with tax rate reductions in France to write down the value of deferred tax assets.</w:t>
      </w:r>
    </w:p>
    <w:p>
      <w:pPr>
        <w:spacing w:after="0" w:line="1" w:lineRule="exact"/>
        <w:rPr>
          <w:rFonts w:ascii="Arial" w:cs="Arial" w:eastAsia="Arial" w:hAnsi="Arial"/>
          <w:sz w:val="13"/>
          <w:szCs w:val="13"/>
          <w:color w:val="auto"/>
        </w:rPr>
      </w:pPr>
    </w:p>
    <w:p>
      <w:pPr>
        <w:jc w:val="both"/>
        <w:ind w:left="380" w:right="79" w:hanging="330"/>
        <w:spacing w:after="0" w:line="255"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During the second quarter of 2018, the U.S. Treasury issued a notice that delayed the effective date of regulations under Internal Revenue Code Section 987 The effective date was further delayed by a notice issued in the fourth quarter of 2019. These regulations changed our method for determining the tax effects of foreign currency translation gains and losses for our foreign businesses that are operated as branches and are reported in a currency other than the currency of their parent. As a result of the delay in the effective date, we updated our calculations for the effect of these regulations, which resulted in an increase to deferred tax assets and a corresponding reduction in our income tax provision in the amount of $1 million in 2018. The 2019 tax effects were not significant.</w:t>
      </w:r>
    </w:p>
    <w:p>
      <w:pPr>
        <w:spacing w:after="0" w:line="5" w:lineRule="exact"/>
        <w:rPr>
          <w:rFonts w:ascii="Arial" w:cs="Arial" w:eastAsia="Arial" w:hAnsi="Arial"/>
          <w:sz w:val="13"/>
          <w:szCs w:val="13"/>
          <w:color w:val="auto"/>
        </w:rPr>
      </w:pPr>
    </w:p>
    <w:p>
      <w:pPr>
        <w:ind w:left="380" w:hanging="330"/>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Valuation allowances were established against deferred tax assets associated with certain foreign tax losses.</w:t>
      </w:r>
    </w:p>
    <w:p>
      <w:pPr>
        <w:spacing w:after="0" w:line="200" w:lineRule="exact"/>
        <w:rPr>
          <w:sz w:val="20"/>
          <w:szCs w:val="20"/>
          <w:color w:val="auto"/>
        </w:rPr>
      </w:pPr>
    </w:p>
    <w:p>
      <w:pPr>
        <w:spacing w:after="0" w:line="361" w:lineRule="exact"/>
        <w:rPr>
          <w:sz w:val="20"/>
          <w:szCs w:val="20"/>
          <w:color w:val="auto"/>
        </w:rPr>
      </w:pPr>
    </w:p>
    <w:p>
      <w:pPr>
        <w:jc w:val="right"/>
        <w:ind w:right="79"/>
        <w:spacing w:after="0"/>
        <w:rPr>
          <w:sz w:val="20"/>
          <w:szCs w:val="20"/>
          <w:color w:val="auto"/>
        </w:rPr>
      </w:pPr>
      <w:r>
        <w:rPr>
          <w:rFonts w:ascii="Arial" w:cs="Arial" w:eastAsia="Arial" w:hAnsi="Arial"/>
          <w:sz w:val="17"/>
          <w:szCs w:val="17"/>
          <w:color w:val="auto"/>
        </w:rPr>
        <w:t>2019 Form 10-K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4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7"/>
          <w:szCs w:val="17"/>
          <w:i w:val="1"/>
          <w:iCs w:val="1"/>
          <w:u w:val="single" w:color="auto"/>
          <w:color w:val="auto"/>
        </w:rPr>
        <w:t>Return on Invested Capital</w:t>
      </w:r>
    </w:p>
    <w:p>
      <w:pPr>
        <w:spacing w:after="0" w:line="17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ROIC is presented below and represents a non-GAAP measure. We believe ROIC is a meaningful measure because it quantifies how efficiently we generated operating income relative to the capital we have invested in the business. ROIC, subject to certain adjustments, is also used as a measure in executive long-term incentive compensation.</w:t>
      </w:r>
    </w:p>
    <w:p>
      <w:pPr>
        <w:spacing w:after="0" w:line="16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closest U.S. GAAP measure to ROIC is Return on Assets (“ROA”) and is also presented below. ROA is calculated as net income in the fiscal year divided by the two-year average of total assets. ROA decreased to 9.4 percent as compared with 13.9 percent in the prior year. This decrease primarily reflected the adoption of the new lease standard, which resulted in the recognition of right-of-use assets in the current year. Excluding the effect of the addition of right-of-use assets, ROA would have declined by 80 basis points.</w:t>
      </w:r>
    </w:p>
    <w:p>
      <w:pPr>
        <w:spacing w:after="0" w:line="163" w:lineRule="exact"/>
        <w:rPr>
          <w:sz w:val="20"/>
          <w:szCs w:val="20"/>
          <w:color w:val="auto"/>
        </w:rPr>
      </w:pPr>
    </w:p>
    <w:p>
      <w:pPr>
        <w:jc w:val="both"/>
        <w:ind w:left="60" w:right="59"/>
        <w:spacing w:after="0"/>
        <w:rPr>
          <w:sz w:val="20"/>
          <w:szCs w:val="20"/>
          <w:color w:val="auto"/>
        </w:rPr>
      </w:pPr>
      <w:r>
        <w:rPr>
          <w:rFonts w:ascii="Arial" w:cs="Arial" w:eastAsia="Arial" w:hAnsi="Arial"/>
          <w:sz w:val="17"/>
          <w:szCs w:val="17"/>
          <w:color w:val="auto"/>
        </w:rPr>
        <w:t>Prior to the adoption of the new lease standard, we adjusted our results to reflect our operating leases as if they qualified for capital lease treatment or as if the property were purchased. This prior year presentation does not reflect the requirements of the new lease standard. With the adoption of this standard, leases are now recorded on the Consolidated Balance Sheet, and therefore, certain adjustments are no longer required. Our ROIC increased to 12.5 percent in 2019, as compared to 12.0 percent as calculated in the prior year. The overall increase in ROIC reflected a decrease in average invested capital compared with the prior year and a higher adjusted return after taxes.</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8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2019</w:t>
            </w:r>
          </w:p>
        </w:tc>
        <w:tc>
          <w:tcPr>
            <w:tcW w:w="146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color w:val="auto"/>
              </w:rPr>
              <w:t>2018</w:t>
            </w: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2017</w:t>
            </w:r>
          </w:p>
        </w:tc>
      </w:tr>
      <w:tr>
        <w:trPr>
          <w:trHeight w:val="183"/>
        </w:trPr>
        <w:tc>
          <w:tcPr>
            <w:tcW w:w="2840" w:type="dxa"/>
            <w:vAlign w:val="bottom"/>
            <w:shd w:val="clear" w:color="auto" w:fill="CCEEFF"/>
          </w:tcPr>
          <w:p>
            <w:pPr>
              <w:spacing w:after="0" w:line="183" w:lineRule="exact"/>
              <w:rPr>
                <w:sz w:val="20"/>
                <w:szCs w:val="20"/>
                <w:color w:val="auto"/>
              </w:rPr>
            </w:pPr>
            <w:r>
              <w:rPr>
                <w:rFonts w:ascii="Arial" w:cs="Arial" w:eastAsia="Arial" w:hAnsi="Arial"/>
                <w:sz w:val="21"/>
                <w:szCs w:val="21"/>
                <w:color w:val="auto"/>
                <w:vertAlign w:val="subscript"/>
              </w:rPr>
              <w:t>ROA</w:t>
            </w:r>
            <w:r>
              <w:rPr>
                <w:rFonts w:ascii="Arial" w:cs="Arial" w:eastAsia="Arial" w:hAnsi="Arial"/>
                <w:sz w:val="10"/>
                <w:szCs w:val="10"/>
                <w:color w:val="auto"/>
              </w:rPr>
              <w:t xml:space="preserve"> (1)</w:t>
            </w:r>
          </w:p>
        </w:tc>
        <w:tc>
          <w:tcPr>
            <w:tcW w:w="3380" w:type="dxa"/>
            <w:vAlign w:val="bottom"/>
            <w:shd w:val="clear" w:color="auto" w:fill="CCEEFF"/>
          </w:tcPr>
          <w:p>
            <w:pPr>
              <w:jc w:val="right"/>
              <w:ind w:right="215"/>
              <w:spacing w:after="0" w:line="183" w:lineRule="exact"/>
              <w:rPr>
                <w:sz w:val="20"/>
                <w:szCs w:val="20"/>
                <w:color w:val="auto"/>
              </w:rPr>
            </w:pPr>
            <w:r>
              <w:rPr>
                <w:rFonts w:ascii="Arial" w:cs="Arial" w:eastAsia="Arial" w:hAnsi="Arial"/>
                <w:sz w:val="17"/>
                <w:szCs w:val="17"/>
                <w:b w:val="1"/>
                <w:bCs w:val="1"/>
                <w:color w:val="auto"/>
              </w:rPr>
              <w:t>9.4 %</w:t>
            </w:r>
          </w:p>
        </w:tc>
        <w:tc>
          <w:tcPr>
            <w:tcW w:w="1460" w:type="dxa"/>
            <w:vAlign w:val="bottom"/>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13.9 %</w:t>
            </w: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7.3 %</w:t>
            </w:r>
          </w:p>
        </w:tc>
      </w:tr>
      <w:tr>
        <w:trPr>
          <w:trHeight w:val="189"/>
        </w:trPr>
        <w:tc>
          <w:tcPr>
            <w:tcW w:w="28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ROIC %</w:t>
            </w:r>
          </w:p>
        </w:tc>
        <w:tc>
          <w:tcPr>
            <w:tcW w:w="3380" w:type="dxa"/>
            <w:vAlign w:val="bottom"/>
            <w:tcBorders>
              <w:bottom w:val="single" w:sz="8" w:color="auto"/>
            </w:tcBorders>
          </w:tcPr>
          <w:p>
            <w:pPr>
              <w:jc w:val="right"/>
              <w:ind w:right="215"/>
              <w:spacing w:after="0" w:line="189" w:lineRule="exact"/>
              <w:rPr>
                <w:sz w:val="20"/>
                <w:szCs w:val="20"/>
                <w:color w:val="auto"/>
              </w:rPr>
            </w:pPr>
            <w:r>
              <w:rPr>
                <w:rFonts w:ascii="Arial" w:cs="Arial" w:eastAsia="Arial" w:hAnsi="Arial"/>
                <w:sz w:val="17"/>
                <w:szCs w:val="17"/>
                <w:b w:val="1"/>
                <w:bCs w:val="1"/>
                <w:color w:val="auto"/>
              </w:rPr>
              <w:t>12.5 %</w:t>
            </w:r>
          </w:p>
        </w:tc>
        <w:tc>
          <w:tcPr>
            <w:tcW w:w="1460" w:type="dxa"/>
            <w:vAlign w:val="bottom"/>
            <w:tcBorders>
              <w:bottom w:val="single" w:sz="8" w:color="auto"/>
            </w:tcBorders>
          </w:tcPr>
          <w:p>
            <w:pPr>
              <w:jc w:val="right"/>
              <w:ind w:right="215"/>
              <w:spacing w:after="0" w:line="189" w:lineRule="exact"/>
              <w:rPr>
                <w:sz w:val="20"/>
                <w:szCs w:val="20"/>
                <w:color w:val="auto"/>
              </w:rPr>
            </w:pPr>
            <w:r>
              <w:rPr>
                <w:rFonts w:ascii="Arial" w:cs="Arial" w:eastAsia="Arial" w:hAnsi="Arial"/>
                <w:sz w:val="17"/>
                <w:szCs w:val="17"/>
                <w:color w:val="auto"/>
              </w:rPr>
              <w:t>12.0 %</w:t>
            </w: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11.0 %</w:t>
            </w:r>
          </w:p>
        </w:tc>
      </w:tr>
    </w:tbl>
    <w:p>
      <w:pPr>
        <w:spacing w:after="0" w:line="148" w:lineRule="exact"/>
        <w:rPr>
          <w:sz w:val="20"/>
          <w:szCs w:val="20"/>
          <w:color w:val="auto"/>
        </w:rPr>
      </w:pPr>
    </w:p>
    <w:p>
      <w:pPr>
        <w:ind w:left="380" w:right="79" w:hanging="330"/>
        <w:spacing w:after="0" w:line="258" w:lineRule="auto"/>
        <w:tabs>
          <w:tab w:leader="none" w:pos="38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net income of $491 million, $541 million, and $284 million divided by average total assets of $5,205 million, $3,891 million, and $3,901 million for 2019, 2018, and 2017, respectively.</w:t>
      </w:r>
    </w:p>
    <w:p>
      <w:pPr>
        <w:spacing w:after="0" w:line="118"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660" w:type="dxa"/>
            <w:vAlign w:val="bottom"/>
            <w:gridSpan w:val="3"/>
          </w:tcPr>
          <w:p>
            <w:pPr>
              <w:spacing w:after="0"/>
              <w:rPr>
                <w:sz w:val="20"/>
                <w:szCs w:val="20"/>
                <w:color w:val="auto"/>
              </w:rPr>
            </w:pPr>
            <w:r>
              <w:rPr>
                <w:rFonts w:ascii="Arial" w:cs="Arial" w:eastAsia="Arial" w:hAnsi="Arial"/>
                <w:sz w:val="17"/>
                <w:szCs w:val="17"/>
                <w:i w:val="1"/>
                <w:iCs w:val="1"/>
                <w:color w:val="auto"/>
              </w:rPr>
              <w:t>Calculation of ROIC:</w:t>
            </w:r>
          </w:p>
        </w:tc>
        <w:tc>
          <w:tcPr>
            <w:tcW w:w="400" w:type="dxa"/>
            <w:vAlign w:val="bottom"/>
          </w:tcPr>
          <w:p>
            <w:pPr>
              <w:spacing w:after="0"/>
              <w:rPr>
                <w:sz w:val="16"/>
                <w:szCs w:val="16"/>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280" w:type="dxa"/>
            <w:vAlign w:val="bottom"/>
          </w:tcPr>
          <w:p>
            <w:pPr>
              <w:spacing w:after="0"/>
              <w:rPr>
                <w:sz w:val="16"/>
                <w:szCs w:val="16"/>
                <w:color w:val="auto"/>
              </w:rPr>
            </w:pPr>
          </w:p>
        </w:tc>
        <w:tc>
          <w:tcPr>
            <w:tcW w:w="1080" w:type="dxa"/>
            <w:vAlign w:val="bottom"/>
            <w:vMerge w:val="restart"/>
          </w:tcPr>
          <w:p>
            <w:pPr>
              <w:jc w:val="right"/>
              <w:ind w:right="495"/>
              <w:spacing w:after="0"/>
              <w:rPr>
                <w:sz w:val="20"/>
                <w:szCs w:val="20"/>
                <w:color w:val="auto"/>
              </w:rPr>
            </w:pPr>
            <w:r>
              <w:rPr>
                <w:rFonts w:ascii="Arial" w:cs="Arial" w:eastAsia="Arial" w:hAnsi="Arial"/>
                <w:sz w:val="17"/>
                <w:szCs w:val="17"/>
                <w:color w:val="auto"/>
              </w:rPr>
              <w:t>2018</w:t>
            </w:r>
          </w:p>
        </w:tc>
        <w:tc>
          <w:tcPr>
            <w:tcW w:w="280" w:type="dxa"/>
            <w:vAlign w:val="bottom"/>
          </w:tcPr>
          <w:p>
            <w:pPr>
              <w:spacing w:after="0"/>
              <w:rPr>
                <w:sz w:val="16"/>
                <w:szCs w:val="16"/>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gridSpan w:val="2"/>
          </w:tcPr>
          <w:p>
            <w:pPr>
              <w:jc w:val="right"/>
              <w:ind w:right="155"/>
              <w:spacing w:after="0" w:line="183" w:lineRule="exact"/>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Adjusted EBIT</w:t>
            </w:r>
          </w:p>
        </w:tc>
        <w:tc>
          <w:tcPr>
            <w:tcW w:w="4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722</w:t>
            </w:r>
          </w:p>
        </w:tc>
        <w:tc>
          <w:tcPr>
            <w:tcW w:w="2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741</w:t>
            </w:r>
          </w:p>
        </w:tc>
        <w:tc>
          <w:tcPr>
            <w:tcW w:w="2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762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gridSpan w:val="2"/>
          </w:tcPr>
          <w:p>
            <w:pPr>
              <w:spacing w:after="0" w:line="189" w:lineRule="exact"/>
              <w:rPr>
                <w:sz w:val="20"/>
                <w:szCs w:val="20"/>
                <w:color w:val="auto"/>
              </w:rPr>
            </w:pPr>
            <w:r>
              <w:rPr>
                <w:rFonts w:ascii="Arial" w:cs="Arial" w:eastAsia="Arial" w:hAnsi="Arial"/>
                <w:sz w:val="15"/>
                <w:szCs w:val="15"/>
                <w:color w:val="auto"/>
              </w:rPr>
              <w:t xml:space="preserve">+ Rent expense </w:t>
            </w:r>
            <w:r>
              <w:rPr>
                <w:rFonts w:ascii="Arial" w:cs="Arial" w:eastAsia="Arial" w:hAnsi="Arial"/>
                <w:sz w:val="21"/>
                <w:szCs w:val="21"/>
                <w:color w:val="auto"/>
                <w:vertAlign w:val="superscript"/>
              </w:rPr>
              <w:t>(1)</w:t>
            </w:r>
          </w:p>
        </w:tc>
        <w:tc>
          <w:tcPr>
            <w:tcW w:w="400" w:type="dxa"/>
            <w:vAlign w:val="bottom"/>
          </w:tcPr>
          <w:p>
            <w:pPr>
              <w:spacing w:after="0"/>
              <w:rPr>
                <w:sz w:val="16"/>
                <w:szCs w:val="16"/>
                <w:color w:val="auto"/>
              </w:rPr>
            </w:pPr>
          </w:p>
        </w:tc>
        <w:tc>
          <w:tcPr>
            <w:tcW w:w="108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6"/>
                <w:szCs w:val="16"/>
                <w:color w:val="auto"/>
              </w:rPr>
            </w:pPr>
          </w:p>
        </w:tc>
        <w:tc>
          <w:tcPr>
            <w:tcW w:w="108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750</w:t>
            </w:r>
          </w:p>
        </w:tc>
        <w:tc>
          <w:tcPr>
            <w:tcW w:w="280" w:type="dxa"/>
            <w:vAlign w:val="bottom"/>
          </w:tcPr>
          <w:p>
            <w:pPr>
              <w:spacing w:after="0"/>
              <w:rPr>
                <w:sz w:val="16"/>
                <w:szCs w:val="16"/>
                <w:color w:val="auto"/>
              </w:rPr>
            </w:pPr>
          </w:p>
        </w:tc>
        <w:tc>
          <w:tcPr>
            <w:tcW w:w="108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gridSpan w:val="2"/>
            <w:shd w:val="clear" w:color="auto" w:fill="CCEEFF"/>
          </w:tcPr>
          <w:p>
            <w:pPr>
              <w:spacing w:after="0" w:line="189" w:lineRule="exact"/>
              <w:rPr>
                <w:sz w:val="20"/>
                <w:szCs w:val="20"/>
                <w:color w:val="auto"/>
              </w:rPr>
            </w:pPr>
            <w:r>
              <w:rPr>
                <w:rFonts w:ascii="Arial" w:cs="Arial" w:eastAsia="Arial" w:hAnsi="Arial"/>
                <w:sz w:val="15"/>
                <w:szCs w:val="15"/>
                <w:color w:val="auto"/>
              </w:rPr>
              <w:t xml:space="preserve">- Estimated depreciation on capitalized operating leases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(603)</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5"/>
                <w:szCs w:val="15"/>
                <w:color w:val="auto"/>
              </w:rPr>
              <w:t xml:space="preserve">+ Interest component of straight-line rent expense </w:t>
            </w:r>
            <w:r>
              <w:rPr>
                <w:rFonts w:ascii="Arial" w:cs="Arial" w:eastAsia="Arial" w:hAnsi="Arial"/>
                <w:sz w:val="21"/>
                <w:szCs w:val="21"/>
                <w:color w:val="auto"/>
                <w:vertAlign w:val="superscript"/>
              </w:rPr>
              <w:t>(2)</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b w:val="1"/>
                <w:bCs w:val="1"/>
                <w:color w:val="auto"/>
              </w:rPr>
              <w:t>173</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Adjusted net operating profit</w:t>
            </w: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895</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888</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904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5"/>
                <w:szCs w:val="15"/>
                <w:color w:val="auto"/>
              </w:rPr>
              <w:t xml:space="preserve">- Adjusted income tax expense </w:t>
            </w:r>
            <w:r>
              <w:rPr>
                <w:rFonts w:ascii="Arial" w:cs="Arial" w:eastAsia="Arial" w:hAnsi="Arial"/>
                <w:sz w:val="21"/>
                <w:szCs w:val="21"/>
                <w:color w:val="auto"/>
                <w:vertAlign w:val="superscript"/>
              </w:rPr>
              <w:t>(3)</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b w:val="1"/>
                <w:bCs w:val="1"/>
                <w:color w:val="auto"/>
              </w:rPr>
              <w:t>(236)</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(241)</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 Adjusted return after taxes</w:t>
            </w:r>
          </w:p>
        </w:tc>
        <w:tc>
          <w:tcPr>
            <w:tcW w:w="4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659</w:t>
            </w:r>
          </w:p>
        </w:tc>
        <w:tc>
          <w:tcPr>
            <w:tcW w:w="2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647</w:t>
            </w:r>
          </w:p>
        </w:tc>
        <w:tc>
          <w:tcPr>
            <w:tcW w:w="2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2"/>
          </w:tcPr>
          <w:p>
            <w:pPr>
              <w:spacing w:after="0" w:line="170" w:lineRule="exact"/>
              <w:rPr>
                <w:sz w:val="20"/>
                <w:szCs w:val="20"/>
                <w:color w:val="auto"/>
              </w:rPr>
            </w:pPr>
            <w:r>
              <w:rPr>
                <w:rFonts w:ascii="Arial" w:cs="Arial" w:eastAsia="Arial" w:hAnsi="Arial"/>
                <w:sz w:val="13"/>
                <w:szCs w:val="13"/>
                <w:color w:val="auto"/>
              </w:rPr>
              <w:t xml:space="preserve">Average total assets </w:t>
            </w:r>
            <w:r>
              <w:rPr>
                <w:rFonts w:ascii="Arial" w:cs="Arial" w:eastAsia="Arial" w:hAnsi="Arial"/>
                <w:sz w:val="19"/>
                <w:szCs w:val="19"/>
                <w:color w:val="auto"/>
                <w:vertAlign w:val="superscript"/>
              </w:rPr>
              <w:t>(4)</w:t>
            </w:r>
          </w:p>
        </w:tc>
        <w:tc>
          <w:tcPr>
            <w:tcW w:w="400" w:type="dxa"/>
            <w:vAlign w:val="bottom"/>
          </w:tcPr>
          <w:p>
            <w:pPr>
              <w:jc w:val="right"/>
              <w:ind w:right="35"/>
              <w:spacing w:after="0" w:line="170"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175"/>
              <w:spacing w:after="0" w:line="170" w:lineRule="exact"/>
              <w:rPr>
                <w:sz w:val="20"/>
                <w:szCs w:val="20"/>
                <w:color w:val="auto"/>
              </w:rPr>
            </w:pPr>
            <w:r>
              <w:rPr>
                <w:rFonts w:ascii="Arial" w:cs="Arial" w:eastAsia="Arial" w:hAnsi="Arial"/>
                <w:sz w:val="17"/>
                <w:szCs w:val="17"/>
                <w:b w:val="1"/>
                <w:bCs w:val="1"/>
                <w:color w:val="auto"/>
              </w:rPr>
              <w:t>3,755</w:t>
            </w:r>
          </w:p>
        </w:tc>
        <w:tc>
          <w:tcPr>
            <w:tcW w:w="280" w:type="dxa"/>
            <w:vAlign w:val="bottom"/>
          </w:tcPr>
          <w:p>
            <w:pPr>
              <w:jc w:val="right"/>
              <w:ind w:right="55"/>
              <w:spacing w:after="0" w:line="170"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175"/>
              <w:spacing w:after="0" w:line="170" w:lineRule="exact"/>
              <w:rPr>
                <w:sz w:val="20"/>
                <w:szCs w:val="20"/>
                <w:color w:val="auto"/>
              </w:rPr>
            </w:pPr>
            <w:r>
              <w:rPr>
                <w:rFonts w:ascii="Arial" w:cs="Arial" w:eastAsia="Arial" w:hAnsi="Arial"/>
                <w:sz w:val="17"/>
                <w:szCs w:val="17"/>
                <w:color w:val="auto"/>
              </w:rPr>
              <w:t>3,891</w:t>
            </w:r>
          </w:p>
        </w:tc>
        <w:tc>
          <w:tcPr>
            <w:tcW w:w="280" w:type="dxa"/>
            <w:vAlign w:val="bottom"/>
          </w:tcPr>
          <w:p>
            <w:pPr>
              <w:jc w:val="right"/>
              <w:ind w:right="55"/>
              <w:spacing w:after="0" w:line="170"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155"/>
              <w:spacing w:after="0" w:line="170" w:lineRule="exact"/>
              <w:rPr>
                <w:sz w:val="20"/>
                <w:szCs w:val="20"/>
                <w:color w:val="auto"/>
              </w:rPr>
            </w:pPr>
            <w:r>
              <w:rPr>
                <w:rFonts w:ascii="Arial" w:cs="Arial" w:eastAsia="Arial" w:hAnsi="Arial"/>
                <w:sz w:val="17"/>
                <w:szCs w:val="17"/>
                <w:color w:val="auto"/>
              </w:rPr>
              <w:t>3,901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Average cash and cash equivalents</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b w:val="1"/>
                <w:bCs w:val="1"/>
                <w:color w:val="auto"/>
              </w:rPr>
              <w:t>(899)</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(870)</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(948)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gridSpan w:val="2"/>
          </w:tcPr>
          <w:p>
            <w:pPr>
              <w:spacing w:after="0" w:line="189" w:lineRule="exact"/>
              <w:rPr>
                <w:sz w:val="20"/>
                <w:szCs w:val="20"/>
                <w:color w:val="auto"/>
              </w:rPr>
            </w:pPr>
            <w:r>
              <w:rPr>
                <w:rFonts w:ascii="Arial" w:cs="Arial" w:eastAsia="Arial" w:hAnsi="Arial"/>
                <w:sz w:val="17"/>
                <w:szCs w:val="17"/>
                <w:color w:val="auto"/>
              </w:rPr>
              <w:t>- Average non-interest bearing current liabilities</w:t>
            </w:r>
          </w:p>
        </w:tc>
        <w:tc>
          <w:tcPr>
            <w:tcW w:w="400" w:type="dxa"/>
            <w:vAlign w:val="bottom"/>
          </w:tcPr>
          <w:p>
            <w:pPr>
              <w:spacing w:after="0"/>
              <w:rPr>
                <w:sz w:val="16"/>
                <w:szCs w:val="16"/>
                <w:color w:val="auto"/>
              </w:rPr>
            </w:pPr>
          </w:p>
        </w:tc>
        <w:tc>
          <w:tcPr>
            <w:tcW w:w="108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(720)</w:t>
            </w:r>
          </w:p>
        </w:tc>
        <w:tc>
          <w:tcPr>
            <w:tcW w:w="280" w:type="dxa"/>
            <w:vAlign w:val="bottom"/>
          </w:tcPr>
          <w:p>
            <w:pPr>
              <w:spacing w:after="0"/>
              <w:rPr>
                <w:sz w:val="16"/>
                <w:szCs w:val="16"/>
                <w:color w:val="auto"/>
              </w:rPr>
            </w:pPr>
          </w:p>
        </w:tc>
        <w:tc>
          <w:tcPr>
            <w:tcW w:w="10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(690)</w:t>
            </w:r>
          </w:p>
        </w:tc>
        <w:tc>
          <w:tcPr>
            <w:tcW w:w="280" w:type="dxa"/>
            <w:vAlign w:val="bottom"/>
          </w:tcPr>
          <w:p>
            <w:pPr>
              <w:spacing w:after="0"/>
              <w:rPr>
                <w:sz w:val="16"/>
                <w:szCs w:val="16"/>
                <w:color w:val="auto"/>
              </w:rPr>
            </w:pPr>
          </w:p>
        </w:tc>
        <w:tc>
          <w:tcPr>
            <w:tcW w:w="10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Average merchandise inventories</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b w:val="1"/>
                <w:bCs w:val="1"/>
                <w:color w:val="auto"/>
              </w:rPr>
              <w:t>(1,239)</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(1,274)</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(1,293)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40" w:type="dxa"/>
            <w:vAlign w:val="bottom"/>
            <w:gridSpan w:val="2"/>
          </w:tcPr>
          <w:p>
            <w:pPr>
              <w:spacing w:after="0" w:line="181" w:lineRule="exact"/>
              <w:rPr>
                <w:sz w:val="20"/>
                <w:szCs w:val="20"/>
                <w:color w:val="auto"/>
              </w:rPr>
            </w:pPr>
            <w:r>
              <w:rPr>
                <w:rFonts w:ascii="Arial" w:cs="Arial" w:eastAsia="Arial" w:hAnsi="Arial"/>
                <w:sz w:val="17"/>
                <w:szCs w:val="17"/>
                <w:color w:val="auto"/>
              </w:rPr>
              <w:t>+ Average estimated asset base of capitalized operating</w:t>
            </w:r>
          </w:p>
        </w:tc>
        <w:tc>
          <w:tcPr>
            <w:tcW w:w="400" w:type="dxa"/>
            <w:vAlign w:val="bottom"/>
          </w:tcPr>
          <w:p>
            <w:pPr>
              <w:spacing w:after="0"/>
              <w:rPr>
                <w:sz w:val="15"/>
                <w:szCs w:val="15"/>
                <w:color w:val="auto"/>
              </w:rPr>
            </w:pPr>
          </w:p>
        </w:tc>
        <w:tc>
          <w:tcPr>
            <w:tcW w:w="1080" w:type="dxa"/>
            <w:vAlign w:val="bottom"/>
            <w:vMerge w:val="restart"/>
          </w:tcPr>
          <w:p>
            <w:pPr>
              <w:jc w:val="right"/>
              <w:ind w:right="175"/>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40" w:type="dxa"/>
            <w:vAlign w:val="bottom"/>
            <w:gridSpan w:val="2"/>
          </w:tcPr>
          <w:p>
            <w:pPr>
              <w:ind w:left="200"/>
              <w:spacing w:after="0" w:line="197" w:lineRule="exact"/>
              <w:rPr>
                <w:sz w:val="20"/>
                <w:szCs w:val="20"/>
                <w:color w:val="auto"/>
              </w:rPr>
            </w:pPr>
            <w:r>
              <w:rPr>
                <w:rFonts w:ascii="Arial" w:cs="Arial" w:eastAsia="Arial" w:hAnsi="Arial"/>
                <w:sz w:val="15"/>
                <w:szCs w:val="15"/>
                <w:color w:val="auto"/>
              </w:rPr>
              <w:t xml:space="preserve">leases </w:t>
            </w:r>
            <w:r>
              <w:rPr>
                <w:rFonts w:ascii="Arial" w:cs="Arial" w:eastAsia="Arial" w:hAnsi="Arial"/>
                <w:sz w:val="22"/>
                <w:szCs w:val="22"/>
                <w:color w:val="auto"/>
                <w:vertAlign w:val="superscript"/>
              </w:rPr>
              <w:t>(1)</w:t>
            </w:r>
          </w:p>
        </w:tc>
        <w:tc>
          <w:tcPr>
            <w:tcW w:w="4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Arial" w:cs="Arial" w:eastAsia="Arial" w:hAnsi="Arial"/>
                <w:sz w:val="17"/>
                <w:szCs w:val="17"/>
                <w:color w:val="auto"/>
              </w:rPr>
              <w:t>2,989</w:t>
            </w:r>
          </w:p>
        </w:tc>
        <w:tc>
          <w:tcPr>
            <w:tcW w:w="280" w:type="dxa"/>
            <w:vAlign w:val="bottom"/>
          </w:tcPr>
          <w:p>
            <w:pPr>
              <w:spacing w:after="0"/>
              <w:rPr>
                <w:sz w:val="17"/>
                <w:szCs w:val="17"/>
                <w:color w:val="auto"/>
              </w:rPr>
            </w:pPr>
          </w:p>
        </w:tc>
        <w:tc>
          <w:tcPr>
            <w:tcW w:w="1080" w:type="dxa"/>
            <w:vAlign w:val="bottom"/>
          </w:tcPr>
          <w:p>
            <w:pPr>
              <w:jc w:val="right"/>
              <w:ind w:right="155"/>
              <w:spacing w:after="0"/>
              <w:rPr>
                <w:sz w:val="20"/>
                <w:szCs w:val="20"/>
                <w:color w:val="auto"/>
              </w:rPr>
            </w:pPr>
            <w:r>
              <w:rPr>
                <w:rFonts w:ascii="Arial" w:cs="Arial" w:eastAsia="Arial" w:hAnsi="Arial"/>
                <w:sz w:val="17"/>
                <w:szCs w:val="17"/>
                <w:color w:val="auto"/>
              </w:rPr>
              <w:t>2,978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gridSpan w:val="2"/>
            <w:shd w:val="clear" w:color="auto" w:fill="CCEEFF"/>
          </w:tcPr>
          <w:p>
            <w:pPr>
              <w:spacing w:after="0" w:line="189" w:lineRule="exact"/>
              <w:rPr>
                <w:sz w:val="20"/>
                <w:szCs w:val="20"/>
                <w:color w:val="auto"/>
              </w:rPr>
            </w:pPr>
            <w:r>
              <w:rPr>
                <w:rFonts w:ascii="Arial" w:cs="Arial" w:eastAsia="Arial" w:hAnsi="Arial"/>
                <w:sz w:val="15"/>
                <w:szCs w:val="15"/>
                <w:color w:val="auto"/>
              </w:rPr>
              <w:t xml:space="preserve">+ Average right-of-use assets </w:t>
            </w:r>
            <w:r>
              <w:rPr>
                <w:rFonts w:ascii="Arial" w:cs="Arial" w:eastAsia="Arial" w:hAnsi="Arial"/>
                <w:sz w:val="21"/>
                <w:szCs w:val="21"/>
                <w:color w:val="auto"/>
                <w:vertAlign w:val="superscript"/>
              </w:rPr>
              <w:t>(5)</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3,024</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7"/>
                <w:szCs w:val="17"/>
                <w:color w:val="auto"/>
              </w:rPr>
              <w:t>+ 13</w:t>
            </w:r>
            <w:r>
              <w:rPr>
                <w:rFonts w:ascii="MS PGothic" w:cs="MS PGothic" w:eastAsia="MS PGothic" w:hAnsi="MS PGothic"/>
                <w:sz w:val="17"/>
                <w:szCs w:val="17"/>
                <w:color w:val="auto"/>
              </w:rPr>
              <w:t>‑</w:t>
            </w:r>
            <w:r>
              <w:rPr>
                <w:rFonts w:ascii="Arial" w:cs="Arial" w:eastAsia="Arial" w:hAnsi="Arial"/>
                <w:sz w:val="17"/>
                <w:szCs w:val="17"/>
                <w:color w:val="auto"/>
              </w:rPr>
              <w:t>month average merchandise inventories</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1,361</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1,337</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1,413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 Average invested capital</w:t>
            </w:r>
          </w:p>
        </w:tc>
        <w:tc>
          <w:tcPr>
            <w:tcW w:w="4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5,282</w:t>
            </w:r>
          </w:p>
        </w:tc>
        <w:tc>
          <w:tcPr>
            <w:tcW w:w="2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5,383</w:t>
            </w:r>
          </w:p>
        </w:tc>
        <w:tc>
          <w:tcPr>
            <w:tcW w:w="2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5,437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464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7"/>
                <w:szCs w:val="17"/>
                <w:color w:val="auto"/>
              </w:rPr>
              <w:t>ROIC %</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b w:val="1"/>
                <w:bCs w:val="1"/>
                <w:color w:val="auto"/>
              </w:rPr>
              <w:t>12.5 %</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12.0 %</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11.0 %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380" w:right="79" w:hanging="330"/>
        <w:spacing w:after="0" w:line="245" w:lineRule="auto"/>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 2018 and 2017, the determination of the capitalized operating leases and the adjustments to income were calculated on a lease-by-lease basis and represented the best estimate of the asset base that would be recorded for operating leases as if they had been classified as capital or as if the property were purchased. No such adjustments are required for 2019 since leases are accounted for on the Consolidated Balance Sheet after the adoption of the new leasing standard.</w:t>
      </w:r>
    </w:p>
    <w:p>
      <w:pPr>
        <w:spacing w:after="0" w:line="24" w:lineRule="exact"/>
        <w:rPr>
          <w:rFonts w:ascii="Arial" w:cs="Arial" w:eastAsia="Arial" w:hAnsi="Arial"/>
          <w:sz w:val="13"/>
          <w:szCs w:val="13"/>
          <w:color w:val="auto"/>
        </w:rPr>
      </w:pPr>
    </w:p>
    <w:p>
      <w:pPr>
        <w:jc w:val="both"/>
        <w:ind w:left="380" w:right="79" w:hanging="330"/>
        <w:spacing w:after="0" w:line="245" w:lineRule="auto"/>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the add-back to operating income driven by the hypothetical interest expense we would incur if the property under our operating leases were owned or accounted for as finance leases. Calculated using the discount rate for each lease and recorded as a component of rent expense. Operating lease interest is added back to adjusted net operating profit in the ROIC calculation to control for differences in capital structure between us and our competitors.</w:t>
      </w:r>
    </w:p>
    <w:p>
      <w:pPr>
        <w:spacing w:after="0" w:line="10" w:lineRule="exact"/>
        <w:rPr>
          <w:rFonts w:ascii="Arial" w:cs="Arial" w:eastAsia="Arial" w:hAnsi="Arial"/>
          <w:sz w:val="13"/>
          <w:szCs w:val="13"/>
          <w:color w:val="auto"/>
        </w:rPr>
      </w:pPr>
    </w:p>
    <w:p>
      <w:pPr>
        <w:ind w:left="380" w:hanging="330"/>
        <w:spacing w:after="0"/>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adjusted income tax expense represents the marginal tax rate applied to adjusted net operating profit for each of the periods presented.</w:t>
      </w:r>
    </w:p>
    <w:p>
      <w:pPr>
        <w:spacing w:after="0" w:line="39" w:lineRule="exact"/>
        <w:rPr>
          <w:rFonts w:ascii="Arial" w:cs="Arial" w:eastAsia="Arial" w:hAnsi="Arial"/>
          <w:sz w:val="13"/>
          <w:szCs w:val="13"/>
          <w:color w:val="auto"/>
        </w:rPr>
      </w:pPr>
    </w:p>
    <w:p>
      <w:pPr>
        <w:ind w:left="380" w:right="79" w:hanging="330"/>
        <w:spacing w:after="0" w:line="258" w:lineRule="auto"/>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 2019, the amount represents the average total assets for 2019 and 2018, excluding the 2019 right-of-use assets of $2,899 million for comparability to prior periods.</w:t>
      </w:r>
    </w:p>
    <w:p>
      <w:pPr>
        <w:spacing w:after="0" w:line="16" w:lineRule="exact"/>
        <w:rPr>
          <w:rFonts w:ascii="Arial" w:cs="Arial" w:eastAsia="Arial" w:hAnsi="Arial"/>
          <w:sz w:val="13"/>
          <w:szCs w:val="13"/>
          <w:color w:val="auto"/>
        </w:rPr>
      </w:pPr>
    </w:p>
    <w:p>
      <w:pPr>
        <w:ind w:left="380" w:right="79" w:hanging="330"/>
        <w:spacing w:after="0" w:line="258" w:lineRule="auto"/>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 2019, the amount represents the average of the right-of-use assets as of February 1, 2020 and February 3, 2019 (the date of the adoption of the new lease standard) of $2,899 million and $3,148 million, respectively.</w:t>
      </w:r>
    </w:p>
    <w:p>
      <w:pPr>
        <w:spacing w:after="0" w:line="20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31" w:right="1440" w:bottom="1440" w:gutter="0" w:footer="0" w:header="0"/>
        </w:sectPr>
      </w:pPr>
    </w:p>
    <w:bookmarkStart w:id="24" w:name="page25"/>
    <w:bookmarkEnd w:id="24"/>
    <w:tbl>
      <w:tblPr>
        <w:tblLayout w:type="fixed"/>
        <w:tblInd w:w="60" w:type="dxa"/>
        <w:tblCellMar>
          <w:top w:w="0" w:type="dxa"/>
          <w:left w:w="0" w:type="dxa"/>
          <w:bottom w:w="0" w:type="dxa"/>
          <w:right w:w="0" w:type="dxa"/>
        </w:tblCellMar>
      </w:tblPr>
      <w:tr>
        <w:trPr>
          <w:trHeight w:val="225"/>
        </w:trPr>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Overview of Consolidated Results</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2019</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2018</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0" w:type="dxa"/>
            <w:vAlign w:val="bottom"/>
            <w:gridSpan w:val="5"/>
          </w:tcPr>
          <w:p>
            <w:pPr>
              <w:jc w:val="right"/>
              <w:ind w:right="635"/>
              <w:spacing w:after="0" w:line="183" w:lineRule="exact"/>
              <w:rPr>
                <w:sz w:val="20"/>
                <w:szCs w:val="20"/>
                <w:color w:val="auto"/>
              </w:rPr>
            </w:pPr>
            <w:r>
              <w:rPr>
                <w:rFonts w:ascii="Arial" w:cs="Arial" w:eastAsia="Arial" w:hAnsi="Arial"/>
                <w:sz w:val="17"/>
                <w:szCs w:val="17"/>
                <w:color w:val="auto"/>
              </w:rPr>
              <w:t>(in millions, except per share data)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Sales</w:t>
            </w:r>
          </w:p>
        </w:tc>
        <w:tc>
          <w:tcPr>
            <w:tcW w:w="9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8,005</w:t>
            </w:r>
          </w:p>
        </w:tc>
        <w:tc>
          <w:tcPr>
            <w:tcW w:w="3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7,939</w:t>
            </w:r>
          </w:p>
        </w:tc>
        <w:tc>
          <w:tcPr>
            <w:tcW w:w="3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7,782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ind w:left="80"/>
              <w:spacing w:after="0" w:line="189" w:lineRule="exact"/>
              <w:rPr>
                <w:sz w:val="20"/>
                <w:szCs w:val="20"/>
                <w:color w:val="auto"/>
              </w:rPr>
            </w:pPr>
            <w:r>
              <w:rPr>
                <w:rFonts w:ascii="Arial" w:cs="Arial" w:eastAsia="Arial" w:hAnsi="Arial"/>
                <w:sz w:val="17"/>
                <w:szCs w:val="17"/>
                <w:color w:val="auto"/>
              </w:rPr>
              <w:t>Sales per average square foot</w:t>
            </w:r>
          </w:p>
        </w:tc>
        <w:tc>
          <w:tcPr>
            <w:tcW w:w="980" w:type="dxa"/>
            <w:vAlign w:val="bottom"/>
          </w:tcPr>
          <w:p>
            <w:pPr>
              <w:spacing w:after="0"/>
              <w:rPr>
                <w:sz w:val="16"/>
                <w:szCs w:val="16"/>
                <w:color w:val="auto"/>
              </w:rPr>
            </w:pPr>
          </w:p>
        </w:tc>
        <w:tc>
          <w:tcPr>
            <w:tcW w:w="10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510</w:t>
            </w:r>
          </w:p>
        </w:tc>
        <w:tc>
          <w:tcPr>
            <w:tcW w:w="380" w:type="dxa"/>
            <w:vAlign w:val="bottom"/>
          </w:tcPr>
          <w:p>
            <w:pPr>
              <w:spacing w:after="0"/>
              <w:rPr>
                <w:sz w:val="16"/>
                <w:szCs w:val="16"/>
                <w:color w:val="auto"/>
              </w:rPr>
            </w:pPr>
          </w:p>
        </w:tc>
        <w:tc>
          <w:tcPr>
            <w:tcW w:w="10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504</w:t>
            </w: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495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margin</w:t>
            </w:r>
          </w:p>
        </w:tc>
        <w:tc>
          <w:tcPr>
            <w:tcW w:w="9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2,543</w:t>
            </w: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2,528</w:t>
            </w: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980" w:type="dxa"/>
            <w:vAlign w:val="bottom"/>
          </w:tcPr>
          <w:p>
            <w:pPr>
              <w:spacing w:after="0"/>
              <w:rPr>
                <w:sz w:val="16"/>
                <w:szCs w:val="16"/>
                <w:color w:val="auto"/>
              </w:rPr>
            </w:pPr>
          </w:p>
        </w:tc>
        <w:tc>
          <w:tcPr>
            <w:tcW w:w="10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1,650</w:t>
            </w:r>
          </w:p>
        </w:tc>
        <w:tc>
          <w:tcPr>
            <w:tcW w:w="380" w:type="dxa"/>
            <w:vAlign w:val="bottom"/>
          </w:tcPr>
          <w:p>
            <w:pPr>
              <w:spacing w:after="0"/>
              <w:rPr>
                <w:sz w:val="16"/>
                <w:szCs w:val="16"/>
                <w:color w:val="auto"/>
              </w:rPr>
            </w:pPr>
          </w:p>
        </w:tc>
        <w:tc>
          <w:tcPr>
            <w:tcW w:w="10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1,614</w:t>
            </w: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1,501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9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179</w:t>
            </w: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178</w:t>
            </w: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Operating Results</w:t>
            </w:r>
          </w:p>
        </w:tc>
        <w:tc>
          <w:tcPr>
            <w:tcW w:w="9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9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738</w:t>
            </w:r>
          </w:p>
        </w:tc>
        <w:tc>
          <w:tcPr>
            <w:tcW w:w="380" w:type="dxa"/>
            <w:vAlign w:val="bottom"/>
          </w:tcPr>
          <w:p>
            <w:pPr>
              <w:spacing w:after="0"/>
              <w:rPr>
                <w:sz w:val="16"/>
                <w:szCs w:val="16"/>
                <w:color w:val="auto"/>
              </w:rPr>
            </w:pPr>
          </w:p>
        </w:tc>
        <w:tc>
          <w:tcPr>
            <w:tcW w:w="10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789</w:t>
            </w: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810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Other charges</w:t>
            </w:r>
          </w:p>
        </w:tc>
        <w:tc>
          <w:tcPr>
            <w:tcW w:w="9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15</w:t>
            </w: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18</w:t>
            </w: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Less: Corporate expense</w:t>
            </w:r>
          </w:p>
        </w:tc>
        <w:tc>
          <w:tcPr>
            <w:tcW w:w="9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74</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72</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9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649</w:t>
            </w: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699</w:t>
            </w: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color w:val="auto"/>
              </w:rPr>
              <w:t>Interest income, net</w:t>
            </w:r>
          </w:p>
        </w:tc>
        <w:tc>
          <w:tcPr>
            <w:tcW w:w="980" w:type="dxa"/>
            <w:vAlign w:val="bottom"/>
          </w:tcPr>
          <w:p>
            <w:pPr>
              <w:spacing w:after="0"/>
              <w:rPr>
                <w:sz w:val="16"/>
                <w:szCs w:val="16"/>
                <w:color w:val="auto"/>
              </w:rPr>
            </w:pPr>
          </w:p>
        </w:tc>
        <w:tc>
          <w:tcPr>
            <w:tcW w:w="10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11</w:t>
            </w:r>
          </w:p>
        </w:tc>
        <w:tc>
          <w:tcPr>
            <w:tcW w:w="380" w:type="dxa"/>
            <w:vAlign w:val="bottom"/>
          </w:tcPr>
          <w:p>
            <w:pPr>
              <w:spacing w:after="0"/>
              <w:rPr>
                <w:sz w:val="16"/>
                <w:szCs w:val="16"/>
                <w:color w:val="auto"/>
              </w:rPr>
            </w:pPr>
          </w:p>
        </w:tc>
        <w:tc>
          <w:tcPr>
            <w:tcW w:w="10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9</w:t>
            </w: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income, net</w:t>
            </w:r>
          </w:p>
        </w:tc>
        <w:tc>
          <w:tcPr>
            <w:tcW w:w="9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12</w:t>
            </w:r>
          </w:p>
        </w:tc>
        <w:tc>
          <w:tcPr>
            <w:tcW w:w="3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w:t>
            </w:r>
          </w:p>
        </w:tc>
        <w:tc>
          <w:tcPr>
            <w:tcW w:w="3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tcPr>
          <w:p>
            <w:pPr>
              <w:spacing w:after="0" w:line="183" w:lineRule="exact"/>
              <w:rPr>
                <w:sz w:val="20"/>
                <w:szCs w:val="20"/>
                <w:color w:val="auto"/>
              </w:rPr>
            </w:pPr>
            <w:r>
              <w:rPr>
                <w:rFonts w:ascii="Arial" w:cs="Arial" w:eastAsia="Arial" w:hAnsi="Arial"/>
                <w:sz w:val="17"/>
                <w:szCs w:val="17"/>
                <w:color w:val="auto"/>
              </w:rPr>
              <w:t>Income before income taxes</w:t>
            </w:r>
          </w:p>
        </w:tc>
        <w:tc>
          <w:tcPr>
            <w:tcW w:w="980" w:type="dxa"/>
            <w:vAlign w:val="bottom"/>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55"/>
              <w:spacing w:after="0" w:line="183" w:lineRule="exact"/>
              <w:rPr>
                <w:sz w:val="20"/>
                <w:szCs w:val="20"/>
                <w:color w:val="auto"/>
              </w:rPr>
            </w:pPr>
            <w:r>
              <w:rPr>
                <w:rFonts w:ascii="Arial" w:cs="Arial" w:eastAsia="Arial" w:hAnsi="Arial"/>
                <w:sz w:val="17"/>
                <w:szCs w:val="17"/>
                <w:b w:val="1"/>
                <w:bCs w:val="1"/>
                <w:color w:val="auto"/>
              </w:rPr>
              <w:t>672</w:t>
            </w:r>
          </w:p>
        </w:tc>
        <w:tc>
          <w:tcPr>
            <w:tcW w:w="380" w:type="dxa"/>
            <w:vAlign w:val="bottom"/>
          </w:tcPr>
          <w:p>
            <w:pPr>
              <w:spacing w:after="0"/>
              <w:rPr>
                <w:sz w:val="15"/>
                <w:szCs w:val="15"/>
                <w:color w:val="auto"/>
              </w:rPr>
            </w:pPr>
          </w:p>
        </w:tc>
        <w:tc>
          <w:tcPr>
            <w:tcW w:w="1020" w:type="dxa"/>
            <w:vAlign w:val="bottom"/>
          </w:tcPr>
          <w:p>
            <w:pPr>
              <w:jc w:val="right"/>
              <w:ind w:right="55"/>
              <w:spacing w:after="0" w:line="183" w:lineRule="exact"/>
              <w:rPr>
                <w:sz w:val="20"/>
                <w:szCs w:val="20"/>
                <w:color w:val="auto"/>
              </w:rPr>
            </w:pPr>
            <w:r>
              <w:rPr>
                <w:rFonts w:ascii="Arial" w:cs="Arial" w:eastAsia="Arial" w:hAnsi="Arial"/>
                <w:sz w:val="17"/>
                <w:szCs w:val="17"/>
                <w:color w:val="auto"/>
              </w:rPr>
              <w:t>713</w:t>
            </w:r>
          </w:p>
        </w:tc>
        <w:tc>
          <w:tcPr>
            <w:tcW w:w="38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color w:val="auto"/>
              </w:rPr>
              <w:t>Net income</w:t>
            </w:r>
          </w:p>
        </w:tc>
        <w:tc>
          <w:tcPr>
            <w:tcW w:w="9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491</w:t>
            </w:r>
          </w:p>
        </w:tc>
        <w:tc>
          <w:tcPr>
            <w:tcW w:w="3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541</w:t>
            </w:r>
          </w:p>
        </w:tc>
        <w:tc>
          <w:tcPr>
            <w:tcW w:w="3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Diluted earnings per share</w:t>
            </w:r>
          </w:p>
        </w:tc>
        <w:tc>
          <w:tcPr>
            <w:tcW w:w="9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4.50</w:t>
            </w:r>
          </w:p>
        </w:tc>
        <w:tc>
          <w:tcPr>
            <w:tcW w:w="3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4.66</w:t>
            </w:r>
          </w:p>
        </w:tc>
        <w:tc>
          <w:tcPr>
            <w:tcW w:w="3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7"/>
          <w:szCs w:val="17"/>
          <w:color w:val="auto"/>
        </w:rPr>
        <w:t>Highlights of our 2019 financial performance include:</w:t>
      </w:r>
    </w:p>
    <w:p>
      <w:pPr>
        <w:spacing w:after="0" w:line="156" w:lineRule="exact"/>
        <w:rPr>
          <w:sz w:val="20"/>
          <w:szCs w:val="20"/>
          <w:color w:val="auto"/>
        </w:rPr>
      </w:pPr>
    </w:p>
    <w:p>
      <w:pPr>
        <w:jc w:val="both"/>
        <w:ind w:left="720" w:right="79" w:hanging="319"/>
        <w:spacing w:after="0" w:line="23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7"/>
          <w:szCs w:val="17"/>
          <w:color w:val="auto"/>
        </w:rPr>
        <w:t>Sales and comparable-store sales, as noted in the table below, both increased and benefitted from improved assortments compared with the prior year and the continued alignment of our e-commerce and stores businesses. Our customers are able to shop and buy seamlessly between our channels. We worked closely with our strategic vendor partners to deliver exciting and exclusive product offerings and improved our local product assortments.</w:t>
      </w:r>
    </w:p>
    <w:p>
      <w:pPr>
        <w:spacing w:after="0" w:line="154" w:lineRule="exact"/>
        <w:rPr>
          <w:sz w:val="20"/>
          <w:szCs w:val="20"/>
          <w:color w:val="auto"/>
        </w:rPr>
      </w:pPr>
    </w:p>
    <w:tbl>
      <w:tblPr>
        <w:tblLayout w:type="fixed"/>
        <w:tblInd w:w="700" w:type="dxa"/>
        <w:tblCellMar>
          <w:top w:w="0" w:type="dxa"/>
          <w:left w:w="0" w:type="dxa"/>
          <w:bottom w:w="0" w:type="dxa"/>
          <w:right w:w="0" w:type="dxa"/>
        </w:tblCellMar>
      </w:tblPr>
      <w:tr>
        <w:trPr>
          <w:trHeight w:val="215"/>
        </w:trPr>
        <w:tc>
          <w:tcPr>
            <w:tcW w:w="4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2018</w:t>
            </w: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Sales increase</w:t>
            </w:r>
          </w:p>
        </w:tc>
        <w:tc>
          <w:tcPr>
            <w:tcW w:w="1380" w:type="dxa"/>
            <w:vAlign w:val="bottom"/>
            <w:shd w:val="clear" w:color="auto" w:fill="CCEEFF"/>
          </w:tcPr>
          <w:p>
            <w:pPr>
              <w:jc w:val="right"/>
              <w:ind w:right="815"/>
              <w:spacing w:after="0" w:line="183" w:lineRule="exact"/>
              <w:rPr>
                <w:sz w:val="20"/>
                <w:szCs w:val="20"/>
                <w:color w:val="auto"/>
              </w:rPr>
            </w:pPr>
            <w:r>
              <w:rPr>
                <w:rFonts w:ascii="Arial" w:cs="Arial" w:eastAsia="Arial" w:hAnsi="Arial"/>
                <w:sz w:val="17"/>
                <w:szCs w:val="17"/>
                <w:b w:val="1"/>
                <w:bCs w:val="1"/>
                <w:color w:val="auto"/>
              </w:rPr>
              <w:t>0.8 %</w:t>
            </w:r>
          </w:p>
        </w:tc>
        <w:tc>
          <w:tcPr>
            <w:tcW w:w="72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2.0 %</w:t>
            </w: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183"/>
        </w:trPr>
        <w:tc>
          <w:tcPr>
            <w:tcW w:w="4320" w:type="dxa"/>
            <w:vAlign w:val="bottom"/>
          </w:tcPr>
          <w:p>
            <w:pPr>
              <w:spacing w:after="0" w:line="183" w:lineRule="exact"/>
              <w:rPr>
                <w:sz w:val="20"/>
                <w:szCs w:val="20"/>
                <w:color w:val="auto"/>
              </w:rPr>
            </w:pPr>
            <w:r>
              <w:rPr>
                <w:rFonts w:ascii="Arial" w:cs="Arial" w:eastAsia="Arial" w:hAnsi="Arial"/>
                <w:sz w:val="17"/>
                <w:szCs w:val="17"/>
                <w:color w:val="auto"/>
              </w:rPr>
              <w:t>Comparable-store sales increase /</w:t>
            </w:r>
          </w:p>
        </w:tc>
        <w:tc>
          <w:tcPr>
            <w:tcW w:w="1380" w:type="dxa"/>
            <w:vAlign w:val="bottom"/>
            <w:vMerge w:val="restart"/>
          </w:tcPr>
          <w:p>
            <w:pPr>
              <w:jc w:val="right"/>
              <w:ind w:right="815"/>
              <w:spacing w:after="0"/>
              <w:rPr>
                <w:sz w:val="20"/>
                <w:szCs w:val="20"/>
                <w:color w:val="auto"/>
              </w:rPr>
            </w:pPr>
            <w:r>
              <w:rPr>
                <w:rFonts w:ascii="Arial" w:cs="Arial" w:eastAsia="Arial" w:hAnsi="Arial"/>
                <w:sz w:val="17"/>
                <w:szCs w:val="17"/>
                <w:b w:val="1"/>
                <w:bCs w:val="1"/>
                <w:color w:val="auto"/>
              </w:rPr>
              <w:t>2.2 %</w:t>
            </w: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(decrease)</w:t>
            </w:r>
          </w:p>
        </w:tc>
        <w:tc>
          <w:tcPr>
            <w:tcW w:w="13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2.7 %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7"/>
          <w:szCs w:val="17"/>
          <w:color w:val="auto"/>
        </w:rPr>
        <w:t>Footwear sales represented 83 percent of total sales for all periods presented.</w:t>
      </w:r>
    </w:p>
    <w:p>
      <w:pPr>
        <w:jc w:val="both"/>
        <w:ind w:left="720" w:right="79" w:hanging="319"/>
        <w:spacing w:after="0" w:line="22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7"/>
          <w:szCs w:val="17"/>
          <w:color w:val="auto"/>
        </w:rPr>
        <w:t>Our stores and direct-to-customer sales channels experienced overall comparable-sales gains of 1.6 percent and 5.6 percent, respectively. Our direct-to-customers sales channel increased to 16.1 percent of total sales or an increase of 70 basis points as compared with last year.</w:t>
      </w:r>
    </w:p>
    <w:p>
      <w:pPr>
        <w:spacing w:after="0" w:line="1" w:lineRule="exact"/>
        <w:rPr>
          <w:rFonts w:ascii="Arial" w:cs="Arial" w:eastAsia="Arial" w:hAnsi="Arial"/>
          <w:sz w:val="18"/>
          <w:szCs w:val="18"/>
          <w:color w:val="auto"/>
        </w:rPr>
      </w:pPr>
    </w:p>
    <w:p>
      <w:pPr>
        <w:ind w:left="720" w:right="79" w:hanging="319"/>
        <w:spacing w:after="0" w:line="225"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7"/>
          <w:szCs w:val="17"/>
          <w:color w:val="auto"/>
        </w:rPr>
        <w:t>Sales per square foot increased by 1.2 percent to $510 reflecting the productivity of the fleet that resulted from rationalization, such as store closures and changes in store layouts.</w:t>
      </w:r>
    </w:p>
    <w:p>
      <w:pPr>
        <w:jc w:val="both"/>
        <w:ind w:left="720" w:right="79" w:hanging="319"/>
        <w:spacing w:after="0" w:line="22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7"/>
          <w:szCs w:val="17"/>
          <w:color w:val="auto"/>
        </w:rPr>
        <w:t>Sales of our direct-to-customers channel increased by 4.9 percent to $1,285 million, as compared with $1,225 million in 2018. The direct business has been steadily increasing as a percentage of total sales over the last several years. This growth reflects the continued positive customer satisfaction with our various e-commerce enhancements, such as the acceptance of new payment types and improved product availability.</w:t>
      </w:r>
    </w:p>
    <w:p>
      <w:pPr>
        <w:spacing w:after="0" w:line="2" w:lineRule="exact"/>
        <w:rPr>
          <w:rFonts w:ascii="Arial" w:cs="Arial" w:eastAsia="Arial" w:hAnsi="Arial"/>
          <w:sz w:val="18"/>
          <w:szCs w:val="18"/>
          <w:color w:val="auto"/>
        </w:rPr>
      </w:pPr>
    </w:p>
    <w:p>
      <w:pPr>
        <w:jc w:val="both"/>
        <w:ind w:left="720" w:right="79" w:hanging="319"/>
        <w:spacing w:after="0" w:line="22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7"/>
          <w:szCs w:val="17"/>
          <w:color w:val="auto"/>
        </w:rPr>
        <w:t>Gross margin, as a percentage of sales, remained consistent with 2018 at 31.8 percent. This was driven by a decrease in our merchandise margin rate, offset by a lower occupancy and buyers’ compensation rate as compared with the prior year.</w:t>
      </w:r>
    </w:p>
    <w:p>
      <w:pPr>
        <w:spacing w:after="0" w:line="1" w:lineRule="exact"/>
        <w:rPr>
          <w:rFonts w:ascii="Arial" w:cs="Arial" w:eastAsia="Arial" w:hAnsi="Arial"/>
          <w:sz w:val="18"/>
          <w:szCs w:val="18"/>
          <w:color w:val="auto"/>
        </w:rPr>
      </w:pPr>
    </w:p>
    <w:p>
      <w:pPr>
        <w:jc w:val="both"/>
        <w:ind w:left="720" w:right="79" w:hanging="319"/>
        <w:spacing w:after="0" w:line="22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7"/>
          <w:szCs w:val="17"/>
          <w:color w:val="auto"/>
        </w:rPr>
        <w:t>SG&amp;A expenses were 20.6 percent of sales, an increase of 30 basis points as compared with the prior year. The overall increase reflected an increase in costs incurred in connection with our ongoing investment in various technology and infrastructure projects, partially offset by lower incentive compensation expense.</w:t>
      </w:r>
    </w:p>
    <w:p>
      <w:pPr>
        <w:spacing w:after="0" w:line="1" w:lineRule="exact"/>
        <w:rPr>
          <w:rFonts w:ascii="Arial" w:cs="Arial" w:eastAsia="Arial" w:hAnsi="Arial"/>
          <w:sz w:val="18"/>
          <w:szCs w:val="18"/>
          <w:color w:val="auto"/>
        </w:rPr>
      </w:pPr>
    </w:p>
    <w:p>
      <w:pPr>
        <w:jc w:val="both"/>
        <w:ind w:left="720" w:right="79" w:hanging="319"/>
        <w:spacing w:after="0" w:line="22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7"/>
          <w:szCs w:val="17"/>
          <w:color w:val="auto"/>
        </w:rPr>
        <w:t>Net income was $491 million, or $4.50 diluted earnings per share, which represented a decrease from the prior-year period. This decrease reflected higher SG&amp;A and impairment charges as compared to the prior year. Adjusted net income was $538 million, or $4.93 diluted earnings per share, an increase of 4.7 percent from the corresponding prior-year period non-GAAP amount.</w:t>
      </w:r>
    </w:p>
    <w:p>
      <w:pPr>
        <w:spacing w:after="0" w:line="2"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7"/>
          <w:szCs w:val="17"/>
          <w:color w:val="auto"/>
        </w:rPr>
        <w:t>Net income margin decreased to 6.1 percent as compared with 6.8 percent in the prior year. Our adjusted net income margin decreased to 6.7 percent in 2019 as compared to 6.9 percent in the prior year.</w:t>
      </w:r>
    </w:p>
    <w:p>
      <w:pPr>
        <w:spacing w:after="0" w:line="17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7"/>
          <w:szCs w:val="17"/>
          <w:color w:val="auto"/>
        </w:rPr>
        <w:t>Highlights of our financial position for the period ended February 1, 2020 include:</w:t>
      </w:r>
    </w:p>
    <w:p>
      <w:pPr>
        <w:spacing w:after="0" w:line="156" w:lineRule="exact"/>
        <w:rPr>
          <w:sz w:val="20"/>
          <w:szCs w:val="20"/>
          <w:color w:val="auto"/>
        </w:rPr>
      </w:pPr>
    </w:p>
    <w:p>
      <w:pPr>
        <w:ind w:left="720" w:right="79" w:hanging="319"/>
        <w:spacing w:after="0" w:line="225"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7"/>
          <w:szCs w:val="17"/>
          <w:color w:val="auto"/>
        </w:rPr>
        <w:t>We ended the year in a strong financial position. At year end, we had $785 million of cash and cash equivalents, net of debt. Cash and cash equivalents at February 1, 2020 were $907 million.</w:t>
      </w:r>
    </w:p>
    <w:p>
      <w:pPr>
        <w:ind w:left="720" w:right="79" w:hanging="319"/>
        <w:spacing w:after="0" w:line="225"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7"/>
          <w:szCs w:val="17"/>
          <w:color w:val="auto"/>
        </w:rPr>
        <w:t>Net cash provided by operating activities was $696 million as compared with $781 million last year. While this a decline, it still represents a demonstrated ability to generate significant cash.</w:t>
      </w:r>
    </w:p>
    <w:p>
      <w:pPr>
        <w:jc w:val="both"/>
        <w:ind w:left="720" w:right="79" w:hanging="319"/>
        <w:spacing w:after="0" w:line="22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7"/>
          <w:szCs w:val="17"/>
          <w:color w:val="auto"/>
        </w:rPr>
        <w:t>Cash capital expenditures during 2019 totaled $187 million and were primarily directed to the remodeling or relocation of 148 stores, the build-out of 67 new stores, as well as other technology and infrastructure projects.</w:t>
      </w:r>
    </w:p>
    <w:p>
      <w:pPr>
        <w:spacing w:after="0" w:line="1" w:lineRule="exact"/>
        <w:rPr>
          <w:rFonts w:ascii="Arial" w:cs="Arial" w:eastAsia="Arial" w:hAnsi="Arial"/>
          <w:sz w:val="18"/>
          <w:szCs w:val="18"/>
          <w:color w:val="auto"/>
        </w:rPr>
      </w:pPr>
    </w:p>
    <w:p>
      <w:pPr>
        <w:jc w:val="both"/>
        <w:ind w:left="720" w:right="79" w:hanging="319"/>
        <w:spacing w:after="0" w:line="23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7"/>
          <w:szCs w:val="17"/>
          <w:color w:val="auto"/>
        </w:rPr>
        <w:t>We made minority investments of $50 million during 2019. These investments are part of our broader strategic initiatives aimed at strengthening and diversifying our role within the sneaker community. Additionally, we expect that these strategic investments allow us to better adapt to the dynamically evolving consumer and retail landscape by strengthening our capabilities, providing diversification, and gaining greater insights into youth culture. Due to the early stage of these investments, it is expected that some will not be successful. In the fourth quarter, we recorded charges totaling $11 million to reflect insolvency for one of our investments and reduced valuation for another investment, both investments were made during 2018.</w:t>
      </w:r>
    </w:p>
    <w:p>
      <w:pPr>
        <w:jc w:val="both"/>
        <w:ind w:left="720" w:right="79"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7"/>
          <w:szCs w:val="17"/>
          <w:color w:val="auto"/>
        </w:rPr>
        <w:t>During 2019, we returned significant amounts of cash to our shareholders. Dividends totaling $164 million were declared and paid during 2019, and 8.4 million shares were repurchased under our share repurchase program at a cost of $335 million. In February 2020, our Board of Directors approved a dividend increase of 5 percent. These initiatives demonstrate our commitment to delivering meaningful returns to our shareholders.</w:t>
      </w:r>
    </w:p>
    <w:p>
      <w:pPr>
        <w:spacing w:after="0" w:line="323" w:lineRule="exact"/>
        <w:rPr>
          <w:sz w:val="20"/>
          <w:szCs w:val="20"/>
          <w:color w:val="auto"/>
        </w:rPr>
      </w:pPr>
    </w:p>
    <w:p>
      <w:pPr>
        <w:ind w:left="60"/>
        <w:spacing w:after="0"/>
        <w:rPr>
          <w:sz w:val="20"/>
          <w:szCs w:val="20"/>
          <w:color w:val="auto"/>
        </w:rPr>
      </w:pPr>
      <w:r>
        <w:rPr>
          <w:rFonts w:ascii="Arial" w:cs="Arial" w:eastAsia="Arial" w:hAnsi="Arial"/>
          <w:sz w:val="17"/>
          <w:szCs w:val="17"/>
          <w:i w:val="1"/>
          <w:iCs w:val="1"/>
          <w:u w:val="single" w:color="auto"/>
          <w:color w:val="auto"/>
        </w:rPr>
        <w:t>Sales</w:t>
      </w:r>
    </w:p>
    <w:p>
      <w:pPr>
        <w:spacing w:after="0" w:line="187"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All references to comparable-store sales for a given period relate to sales of stores that were open at the period-end and had been open for more than one year. The computation of consolidated comparable-store sales also includes direct-to-customers sales. Stores opened or closed during the period are not included in the comparable-store base; however, stores closed temporarily for relocation or remodeling are included. Computations exclude the effect of foreign currency fluctuations. Comparable-store sales for 2017 does not include the sales from the 53</w:t>
      </w:r>
      <w:r>
        <w:rPr>
          <w:rFonts w:ascii="Arial" w:cs="Arial" w:eastAsia="Arial" w:hAnsi="Arial"/>
          <w:sz w:val="25"/>
          <w:szCs w:val="25"/>
          <w:color w:val="auto"/>
          <w:vertAlign w:val="superscript"/>
        </w:rPr>
        <w:t>rd</w:t>
      </w:r>
      <w:r>
        <w:rPr>
          <w:rFonts w:ascii="Arial" w:cs="Arial" w:eastAsia="Arial" w:hAnsi="Arial"/>
          <w:sz w:val="17"/>
          <w:szCs w:val="17"/>
          <w:color w:val="auto"/>
        </w:rPr>
        <w:t xml:space="preserve"> week.</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information shown below represents certain sales metrics by sales channel:</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2018</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2017</w:t>
            </w:r>
          </w:p>
        </w:tc>
      </w:tr>
      <w:tr>
        <w:trPr>
          <w:trHeight w:val="183"/>
        </w:trPr>
        <w:tc>
          <w:tcPr>
            <w:tcW w:w="36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Stores</w:t>
            </w:r>
          </w:p>
        </w:tc>
        <w:tc>
          <w:tcPr>
            <w:tcW w:w="9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235"/>
              <w:spacing w:after="0" w:line="183" w:lineRule="exact"/>
              <w:rPr>
                <w:sz w:val="20"/>
                <w:szCs w:val="20"/>
                <w:color w:val="auto"/>
              </w:rPr>
            </w:pPr>
            <w:r>
              <w:rPr>
                <w:rFonts w:ascii="Arial" w:cs="Arial" w:eastAsia="Arial" w:hAnsi="Arial"/>
                <w:sz w:val="17"/>
                <w:szCs w:val="17"/>
                <w:color w:val="auto"/>
              </w:rPr>
              <w:t>($ in millions)</w:t>
            </w: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9"/>
        </w:trPr>
        <w:tc>
          <w:tcPr>
            <w:tcW w:w="3620" w:type="dxa"/>
            <w:vAlign w:val="bottom"/>
          </w:tcPr>
          <w:p>
            <w:pPr>
              <w:ind w:left="20"/>
              <w:spacing w:after="0" w:line="189" w:lineRule="exact"/>
              <w:rPr>
                <w:sz w:val="20"/>
                <w:szCs w:val="20"/>
                <w:color w:val="auto"/>
              </w:rPr>
            </w:pPr>
            <w:r>
              <w:rPr>
                <w:rFonts w:ascii="Arial" w:cs="Arial" w:eastAsia="Arial" w:hAnsi="Arial"/>
                <w:sz w:val="17"/>
                <w:szCs w:val="17"/>
                <w:color w:val="auto"/>
              </w:rPr>
              <w:t>Sales</w:t>
            </w:r>
          </w:p>
        </w:tc>
        <w:tc>
          <w:tcPr>
            <w:tcW w:w="9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6,720</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36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6,714</w:t>
            </w:r>
          </w:p>
        </w:tc>
        <w:tc>
          <w:tcPr>
            <w:tcW w:w="3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280" w:type="dxa"/>
            <w:vAlign w:val="bottom"/>
          </w:tcPr>
          <w:p>
            <w:pPr>
              <w:jc w:val="right"/>
              <w:ind w:right="195"/>
              <w:spacing w:after="0" w:line="189" w:lineRule="exact"/>
              <w:rPr>
                <w:sz w:val="20"/>
                <w:szCs w:val="20"/>
                <w:color w:val="auto"/>
              </w:rPr>
            </w:pPr>
            <w:r>
              <w:rPr>
                <w:rFonts w:ascii="Arial" w:cs="Arial" w:eastAsia="Arial" w:hAnsi="Arial"/>
                <w:sz w:val="17"/>
                <w:szCs w:val="17"/>
                <w:color w:val="auto"/>
              </w:rPr>
              <w:t>6,673</w:t>
            </w:r>
          </w:p>
        </w:tc>
      </w:tr>
      <w:tr>
        <w:trPr>
          <w:trHeight w:val="189"/>
        </w:trPr>
        <w:tc>
          <w:tcPr>
            <w:tcW w:w="36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9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6</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41</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(71)</w:t>
            </w:r>
          </w:p>
        </w:tc>
      </w:tr>
      <w:tr>
        <w:trPr>
          <w:trHeight w:val="189"/>
        </w:trPr>
        <w:tc>
          <w:tcPr>
            <w:tcW w:w="362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9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0.1 %</w:t>
            </w: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0.6 %</w:t>
            </w:r>
          </w:p>
        </w:tc>
        <w:tc>
          <w:tcPr>
            <w:tcW w:w="3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(1.1)%</w:t>
            </w:r>
          </w:p>
        </w:tc>
      </w:tr>
      <w:tr>
        <w:trPr>
          <w:trHeight w:val="189"/>
        </w:trPr>
        <w:tc>
          <w:tcPr>
            <w:tcW w:w="36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9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83.9 %</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84.6 %</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85.7 %</w:t>
            </w:r>
          </w:p>
        </w:tc>
      </w:tr>
      <w:tr>
        <w:trPr>
          <w:trHeight w:val="189"/>
        </w:trPr>
        <w:tc>
          <w:tcPr>
            <w:tcW w:w="3620" w:type="dxa"/>
            <w:vAlign w:val="bottom"/>
          </w:tcPr>
          <w:p>
            <w:pPr>
              <w:ind w:left="20"/>
              <w:spacing w:after="0" w:line="189" w:lineRule="exact"/>
              <w:rPr>
                <w:sz w:val="20"/>
                <w:szCs w:val="20"/>
                <w:color w:val="auto"/>
              </w:rPr>
            </w:pPr>
            <w:r>
              <w:rPr>
                <w:rFonts w:ascii="Arial" w:cs="Arial" w:eastAsia="Arial" w:hAnsi="Arial"/>
                <w:sz w:val="17"/>
                <w:szCs w:val="17"/>
                <w:color w:val="auto"/>
              </w:rPr>
              <w:t>Comparable sales increase (decrease)</w:t>
            </w:r>
          </w:p>
        </w:tc>
        <w:tc>
          <w:tcPr>
            <w:tcW w:w="9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1.6 %</w:t>
            </w: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1.1 %</w:t>
            </w:r>
          </w:p>
        </w:tc>
        <w:tc>
          <w:tcPr>
            <w:tcW w:w="3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(4.7)%</w:t>
            </w:r>
          </w:p>
        </w:tc>
      </w:tr>
      <w:tr>
        <w:trPr>
          <w:trHeight w:val="230"/>
        </w:trPr>
        <w:tc>
          <w:tcPr>
            <w:tcW w:w="3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89"/>
        </w:trPr>
        <w:tc>
          <w:tcPr>
            <w:tcW w:w="362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Direct-to-customers</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36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Sales</w:t>
            </w:r>
          </w:p>
        </w:tc>
        <w:tc>
          <w:tcPr>
            <w:tcW w:w="9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1,285</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1,225</w:t>
            </w:r>
          </w:p>
        </w:tc>
        <w:tc>
          <w:tcPr>
            <w:tcW w:w="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1,109</w:t>
            </w:r>
          </w:p>
        </w:tc>
      </w:tr>
      <w:tr>
        <w:trPr>
          <w:trHeight w:val="189"/>
        </w:trPr>
        <w:tc>
          <w:tcPr>
            <w:tcW w:w="362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9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60</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36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116</w:t>
            </w:r>
          </w:p>
        </w:tc>
        <w:tc>
          <w:tcPr>
            <w:tcW w:w="320" w:type="dxa"/>
            <w:vAlign w:val="bottom"/>
          </w:tcPr>
          <w:p>
            <w:pPr>
              <w:spacing w:after="0"/>
              <w:rPr>
                <w:sz w:val="16"/>
                <w:szCs w:val="16"/>
                <w:color w:val="auto"/>
              </w:rPr>
            </w:pPr>
          </w:p>
        </w:tc>
        <w:tc>
          <w:tcPr>
            <w:tcW w:w="1280" w:type="dxa"/>
            <w:vAlign w:val="bottom"/>
          </w:tcPr>
          <w:p>
            <w:pPr>
              <w:jc w:val="right"/>
              <w:ind w:right="195"/>
              <w:spacing w:after="0" w:line="189" w:lineRule="exact"/>
              <w:rPr>
                <w:sz w:val="20"/>
                <w:szCs w:val="20"/>
                <w:color w:val="auto"/>
              </w:rPr>
            </w:pPr>
            <w:r>
              <w:rPr>
                <w:rFonts w:ascii="Arial" w:cs="Arial" w:eastAsia="Arial" w:hAnsi="Arial"/>
                <w:sz w:val="17"/>
                <w:szCs w:val="17"/>
                <w:color w:val="auto"/>
              </w:rPr>
              <w:t>87</w:t>
            </w:r>
          </w:p>
        </w:tc>
      </w:tr>
      <w:tr>
        <w:trPr>
          <w:trHeight w:val="189"/>
        </w:trPr>
        <w:tc>
          <w:tcPr>
            <w:tcW w:w="36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9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4.9 %</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10.5 %</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8.5 %</w:t>
            </w:r>
          </w:p>
        </w:tc>
      </w:tr>
      <w:tr>
        <w:trPr>
          <w:trHeight w:val="189"/>
        </w:trPr>
        <w:tc>
          <w:tcPr>
            <w:tcW w:w="3620" w:type="dxa"/>
            <w:vAlign w:val="bottom"/>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9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16.1 %</w:t>
            </w: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15.4 %</w:t>
            </w:r>
          </w:p>
        </w:tc>
        <w:tc>
          <w:tcPr>
            <w:tcW w:w="3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14.3 %</w:t>
            </w:r>
          </w:p>
        </w:tc>
      </w:tr>
      <w:tr>
        <w:trPr>
          <w:trHeight w:val="189"/>
        </w:trPr>
        <w:tc>
          <w:tcPr>
            <w:tcW w:w="362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Comparable sales increase</w:t>
            </w:r>
          </w:p>
        </w:tc>
        <w:tc>
          <w:tcPr>
            <w:tcW w:w="9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5.6 %</w:t>
            </w:r>
          </w:p>
        </w:tc>
        <w:tc>
          <w:tcPr>
            <w:tcW w:w="1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12.3 %</w:t>
            </w:r>
          </w:p>
        </w:tc>
        <w:tc>
          <w:tcPr>
            <w:tcW w:w="3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6.9 %</w:t>
            </w:r>
          </w:p>
        </w:tc>
      </w:tr>
    </w:tbl>
    <w:p>
      <w:pPr>
        <w:spacing w:after="0" w:line="169"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The following discussion describes the changes in sales by banner on an omni-channel basis, meaning that each banner’s results are inclusive of its store and e-commerce activity, unless noted otherwise.</w:t>
      </w:r>
    </w:p>
    <w:p>
      <w:pPr>
        <w:spacing w:after="0" w:line="158"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In 2019, sales increased by 0.8 percent to $8,005 million from sales of $7,939 million in 2018. Excluding the effect of foreign currency fluctuations, sales decreased by 2.0 percent as compared with 2018.</w:t>
      </w:r>
    </w:p>
    <w:p>
      <w:pPr>
        <w:spacing w:after="0" w:line="14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Comparable-store sales increased by 2.2 percent during 2019, as compared with the corresponding prior-year period. Both of our sales channels generated positive results as compared with the prior year. The overall comparable sales growth was led by our direct-to-customers channel, which increased by 5.6 percent as compared with the prior year. Each of our operating segments generated improved comparable sales, with North America and EMEA increasing by approximately 2 percent, while our smallest operating segment, Asia Pacific, generated comparable sales growth of low double digits.</w:t>
      </w:r>
    </w:p>
    <w:p>
      <w:pPr>
        <w:spacing w:after="0" w:line="16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49" w:right="1440" w:bottom="1440" w:gutter="0" w:footer="0" w:header="0"/>
        </w:sectPr>
      </w:pPr>
    </w:p>
    <w:bookmarkStart w:id="26" w:name="page27"/>
    <w:bookmarkEnd w:id="26"/>
    <w:p>
      <w:pPr>
        <w:jc w:val="both"/>
        <w:ind w:left="60" w:right="59"/>
        <w:spacing w:after="0" w:line="233" w:lineRule="auto"/>
        <w:rPr>
          <w:sz w:val="20"/>
          <w:szCs w:val="20"/>
          <w:color w:val="auto"/>
        </w:rPr>
      </w:pPr>
      <w:r>
        <w:rPr>
          <w:rFonts w:ascii="Arial" w:cs="Arial" w:eastAsia="Arial" w:hAnsi="Arial"/>
          <w:sz w:val="17"/>
          <w:szCs w:val="17"/>
          <w:color w:val="auto"/>
        </w:rPr>
        <w:t xml:space="preserve">In North America, Foot Locker Canada led the results, with a comparable-sales increase in the high-single digits, followed by Champs Sports and Foot Locker U.S. which generated mid-single digit and low-single digit increases, respectively. These increases were partially offset by declines in sales of our Eastbay and Footaction banners, as well as a modest decline in Kids Foot Locker. The decline in Eastbay’s sales was primarily due to softer demand for performance-related products. Footaction’s sales were negatively affected by the lack of product availability of certain key men’s footwear styles. Due to the continued underperformance of Footaction, management conducted an impairment evaluation, see additional discussion under the caption, </w:t>
      </w:r>
      <w:r>
        <w:rPr>
          <w:rFonts w:ascii="Arial" w:cs="Arial" w:eastAsia="Arial" w:hAnsi="Arial"/>
          <w:sz w:val="17"/>
          <w:szCs w:val="17"/>
          <w:i w:val="1"/>
          <w:iCs w:val="1"/>
          <w:color w:val="auto"/>
        </w:rPr>
        <w:t>Division Profit</w:t>
      </w:r>
      <w:r>
        <w:rPr>
          <w:rFonts w:ascii="Arial" w:cs="Arial" w:eastAsia="Arial" w:hAnsi="Arial"/>
          <w:sz w:val="17"/>
          <w:szCs w:val="17"/>
          <w:color w:val="auto"/>
        </w:rPr>
        <w:t>. North America’s sales were also negatively affected by the closure of the SIX:02 banner, as all stores were closed by the end of the third quarter. Kids Foot Locker’s sales were negatively affected by the decline of certain apparel styles. Our EMEA operating segment sales increased low single-digits primarily related to the growth in our e-commerce business for Foot Locker Europe and Sidestep. Asia Pacific generated a low double-digit increase, with e-commerce in Australia continuing to grow as customers enjoy our new payment methods and improved product offerings.</w:t>
      </w:r>
    </w:p>
    <w:p>
      <w:pPr>
        <w:spacing w:after="0" w:line="153"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From a product perspective, footwear sales increased 4 percent on a comparable sales basis, with increases across all wearer segments and was led by sales of women’s and children’s footwear. During the year, we closed our SIX:02 banner to focus on our women’s business through our other banners and the increase in sales of women’s footwear demonstrates the success of our elevated women’s presentation in all our banners. The men’s footwear business experienced growth from sales of classic basketball styles and a modest increase in running styles. Apparel sales decreased across all wearer segments. Within men’s, our branded apparel sales, which represented the largest portion of our apparel sales, improved and was offset by declines in sales of private-label and licensed apparel. The declines represented a concerted effort to focus our assortment on more premium offerings.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820" w:type="dxa"/>
            <w:vAlign w:val="bottom"/>
            <w:gridSpan w:val="2"/>
          </w:tcPr>
          <w:p>
            <w:pPr>
              <w:spacing w:after="0"/>
              <w:rPr>
                <w:sz w:val="20"/>
                <w:szCs w:val="20"/>
                <w:color w:val="auto"/>
              </w:rPr>
            </w:pPr>
            <w:r>
              <w:rPr>
                <w:rFonts w:ascii="Arial" w:cs="Arial" w:eastAsia="Arial" w:hAnsi="Arial"/>
                <w:sz w:val="17"/>
                <w:szCs w:val="17"/>
                <w:i w:val="1"/>
                <w:iCs w:val="1"/>
                <w:color w:val="auto"/>
              </w:rPr>
              <w:t>Gross Margin</w:t>
            </w:r>
          </w:p>
        </w:tc>
        <w:tc>
          <w:tcPr>
            <w:tcW w:w="1600" w:type="dxa"/>
            <w:vAlign w:val="bottom"/>
            <w:vMerge w:val="restart"/>
          </w:tcPr>
          <w:p>
            <w:pPr>
              <w:jc w:val="right"/>
              <w:ind w:right="635"/>
              <w:spacing w:after="0"/>
              <w:rPr>
                <w:sz w:val="20"/>
                <w:szCs w:val="20"/>
                <w:color w:val="auto"/>
              </w:rPr>
            </w:pPr>
            <w:r>
              <w:rPr>
                <w:rFonts w:ascii="Arial" w:cs="Arial" w:eastAsia="Arial" w:hAnsi="Arial"/>
                <w:sz w:val="17"/>
                <w:szCs w:val="17"/>
                <w:b w:val="1"/>
                <w:bCs w:val="1"/>
                <w:color w:val="auto"/>
              </w:rPr>
              <w:t>2019</w:t>
            </w:r>
          </w:p>
        </w:tc>
        <w:tc>
          <w:tcPr>
            <w:tcW w:w="1300" w:type="dxa"/>
            <w:vAlign w:val="bottom"/>
            <w:vMerge w:val="restart"/>
          </w:tcPr>
          <w:p>
            <w:pPr>
              <w:jc w:val="right"/>
              <w:ind w:right="615"/>
              <w:spacing w:after="0"/>
              <w:rPr>
                <w:sz w:val="20"/>
                <w:szCs w:val="20"/>
                <w:color w:val="auto"/>
              </w:rPr>
            </w:pPr>
            <w:r>
              <w:rPr>
                <w:rFonts w:ascii="Arial" w:cs="Arial" w:eastAsia="Arial" w:hAnsi="Arial"/>
                <w:sz w:val="17"/>
                <w:szCs w:val="17"/>
                <w:color w:val="auto"/>
              </w:rPr>
              <w:t>2018</w:t>
            </w:r>
          </w:p>
        </w:tc>
        <w:tc>
          <w:tcPr>
            <w:tcW w:w="1180" w:type="dxa"/>
            <w:vAlign w:val="bottom"/>
            <w:vMerge w:val="restart"/>
          </w:tcPr>
          <w:p>
            <w:pPr>
              <w:jc w:val="right"/>
              <w:ind w:right="49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210"/>
        </w:trPr>
        <w:tc>
          <w:tcPr>
            <w:tcW w:w="1020" w:type="dxa"/>
            <w:vAlign w:val="bottom"/>
            <w:tcBorders>
              <w:top w:val="single" w:sz="8" w:color="auto"/>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8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Gross margin rate</w:t>
            </w:r>
          </w:p>
        </w:tc>
        <w:tc>
          <w:tcPr>
            <w:tcW w:w="160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31.8 %</w:t>
            </w:r>
          </w:p>
        </w:tc>
        <w:tc>
          <w:tcPr>
            <w:tcW w:w="130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31.8 %</w:t>
            </w:r>
          </w:p>
        </w:tc>
        <w:tc>
          <w:tcPr>
            <w:tcW w:w="1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31.6 %</w:t>
            </w:r>
          </w:p>
        </w:tc>
        <w:tc>
          <w:tcPr>
            <w:tcW w:w="0" w:type="dxa"/>
            <w:vAlign w:val="bottom"/>
          </w:tcPr>
          <w:p>
            <w:pPr>
              <w:spacing w:after="0"/>
              <w:rPr>
                <w:sz w:val="1"/>
                <w:szCs w:val="1"/>
                <w:color w:val="auto"/>
              </w:rPr>
            </w:pPr>
          </w:p>
        </w:tc>
      </w:tr>
      <w:tr>
        <w:trPr>
          <w:trHeight w:val="189"/>
        </w:trPr>
        <w:tc>
          <w:tcPr>
            <w:tcW w:w="4820" w:type="dxa"/>
            <w:vAlign w:val="bottom"/>
            <w:gridSpan w:val="2"/>
          </w:tcPr>
          <w:p>
            <w:pPr>
              <w:spacing w:after="0" w:line="189" w:lineRule="exact"/>
              <w:rPr>
                <w:sz w:val="20"/>
                <w:szCs w:val="20"/>
                <w:color w:val="auto"/>
              </w:rPr>
            </w:pPr>
            <w:r>
              <w:rPr>
                <w:rFonts w:ascii="Arial" w:cs="Arial" w:eastAsia="Arial" w:hAnsi="Arial"/>
                <w:sz w:val="17"/>
                <w:szCs w:val="17"/>
                <w:color w:val="auto"/>
              </w:rPr>
              <w:t>Basis point increase in the gross margin rate</w:t>
            </w:r>
          </w:p>
        </w:tc>
        <w:tc>
          <w:tcPr>
            <w:tcW w:w="1600" w:type="dxa"/>
            <w:vAlign w:val="bottom"/>
          </w:tcPr>
          <w:p>
            <w:pPr>
              <w:jc w:val="right"/>
              <w:ind w:right="355"/>
              <w:spacing w:after="0" w:line="189" w:lineRule="exact"/>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335"/>
              <w:spacing w:after="0" w:line="189" w:lineRule="exact"/>
              <w:rPr>
                <w:sz w:val="20"/>
                <w:szCs w:val="20"/>
                <w:color w:val="auto"/>
              </w:rPr>
            </w:pPr>
            <w:r>
              <w:rPr>
                <w:rFonts w:ascii="Arial" w:cs="Arial" w:eastAsia="Arial" w:hAnsi="Arial"/>
                <w:sz w:val="17"/>
                <w:szCs w:val="17"/>
                <w:color w:val="auto"/>
              </w:rPr>
              <w:t>20</w:t>
            </w:r>
          </w:p>
        </w:tc>
        <w:tc>
          <w:tcPr>
            <w:tcW w:w="118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189"/>
        </w:trPr>
        <w:tc>
          <w:tcPr>
            <w:tcW w:w="48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Components of the change-</w:t>
            </w:r>
          </w:p>
        </w:tc>
        <w:tc>
          <w:tcPr>
            <w:tcW w:w="16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Merchandise margin rate improvement / (decline)</w:t>
            </w:r>
          </w:p>
        </w:tc>
        <w:tc>
          <w:tcPr>
            <w:tcW w:w="1600" w:type="dxa"/>
            <w:vAlign w:val="bottom"/>
          </w:tcPr>
          <w:p>
            <w:pPr>
              <w:jc w:val="right"/>
              <w:ind w:right="295"/>
              <w:spacing w:after="0" w:line="189" w:lineRule="exact"/>
              <w:rPr>
                <w:sz w:val="20"/>
                <w:szCs w:val="20"/>
                <w:color w:val="auto"/>
              </w:rPr>
            </w:pPr>
            <w:r>
              <w:rPr>
                <w:rFonts w:ascii="Arial" w:cs="Arial" w:eastAsia="Arial" w:hAnsi="Arial"/>
                <w:sz w:val="17"/>
                <w:szCs w:val="17"/>
                <w:b w:val="1"/>
                <w:bCs w:val="1"/>
                <w:color w:val="auto"/>
              </w:rPr>
              <w:t>(30)</w:t>
            </w:r>
          </w:p>
        </w:tc>
        <w:tc>
          <w:tcPr>
            <w:tcW w:w="1300" w:type="dxa"/>
            <w:vAlign w:val="bottom"/>
          </w:tcPr>
          <w:p>
            <w:pPr>
              <w:jc w:val="right"/>
              <w:ind w:right="335"/>
              <w:spacing w:after="0" w:line="189" w:lineRule="exact"/>
              <w:rPr>
                <w:sz w:val="20"/>
                <w:szCs w:val="20"/>
                <w:color w:val="auto"/>
              </w:rPr>
            </w:pPr>
            <w:r>
              <w:rPr>
                <w:rFonts w:ascii="Arial" w:cs="Arial" w:eastAsia="Arial" w:hAnsi="Arial"/>
                <w:sz w:val="17"/>
                <w:szCs w:val="17"/>
                <w:color w:val="auto"/>
              </w:rPr>
              <w:t>30</w:t>
            </w:r>
          </w:p>
        </w:tc>
        <w:tc>
          <w:tcPr>
            <w:tcW w:w="118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183"/>
        </w:trPr>
        <w:tc>
          <w:tcPr>
            <w:tcW w:w="482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7"/>
                <w:szCs w:val="17"/>
                <w:color w:val="auto"/>
              </w:rPr>
              <w:t>Lower / (higher) occupancy and buyers’ compensation</w:t>
            </w:r>
          </w:p>
        </w:tc>
        <w:tc>
          <w:tcPr>
            <w:tcW w:w="1600" w:type="dxa"/>
            <w:vAlign w:val="bottom"/>
            <w:vMerge w:val="restart"/>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30</w:t>
            </w:r>
          </w:p>
        </w:tc>
        <w:tc>
          <w:tcPr>
            <w:tcW w:w="1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7"/>
                <w:szCs w:val="17"/>
                <w:color w:val="auto"/>
              </w:rPr>
              <w:t>expense rate</w:t>
            </w:r>
          </w:p>
        </w:tc>
        <w:tc>
          <w:tcPr>
            <w:tcW w:w="160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rPr>
              <w:t>(10)</w:t>
            </w:r>
          </w:p>
        </w:tc>
        <w:tc>
          <w:tcPr>
            <w:tcW w:w="11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spacing w:after="0" w:line="16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Overall, the gross margin rate remained consistent with the prior year at 31.8 percent. Within this, the merchandise margin rate declined reflecting, in part, higher freight costs due to a higher penetration of sales from our direct-to-customer channel as well as lower gross margin related to our apparel business due to a more promotional marketplace. The change in the gross margin rate also reflected an improvement in the occupancy and buyers’ compensation rate of 30 basis points due to increased sales and continued focus on rent reductions.</w:t>
      </w:r>
    </w:p>
    <w:p>
      <w:pPr>
        <w:spacing w:after="0" w:line="12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400" w:type="dxa"/>
            <w:vAlign w:val="bottom"/>
            <w:gridSpan w:val="2"/>
          </w:tcPr>
          <w:p>
            <w:pPr>
              <w:spacing w:after="0"/>
              <w:rPr>
                <w:sz w:val="20"/>
                <w:szCs w:val="20"/>
                <w:color w:val="auto"/>
              </w:rPr>
            </w:pPr>
            <w:r>
              <w:rPr>
                <w:rFonts w:ascii="Arial" w:cs="Arial" w:eastAsia="Arial" w:hAnsi="Arial"/>
                <w:sz w:val="17"/>
                <w:szCs w:val="17"/>
                <w:i w:val="1"/>
                <w:iCs w:val="1"/>
                <w:color w:val="auto"/>
              </w:rPr>
              <w:t>Selling, General and Administrative Expenses (SG&amp;A)</w:t>
            </w:r>
          </w:p>
        </w:tc>
        <w:tc>
          <w:tcPr>
            <w:tcW w:w="540" w:type="dxa"/>
            <w:vAlign w:val="bottom"/>
          </w:tcPr>
          <w:p>
            <w:pPr>
              <w:spacing w:after="0"/>
              <w:rPr>
                <w:sz w:val="16"/>
                <w:szCs w:val="16"/>
                <w:color w:val="auto"/>
              </w:rPr>
            </w:pPr>
          </w:p>
        </w:tc>
        <w:tc>
          <w:tcPr>
            <w:tcW w:w="1120" w:type="dxa"/>
            <w:vAlign w:val="bottom"/>
            <w:vMerge w:val="restart"/>
          </w:tcPr>
          <w:p>
            <w:pPr>
              <w:jc w:val="right"/>
              <w:ind w:right="515"/>
              <w:spacing w:after="0"/>
              <w:rPr>
                <w:sz w:val="20"/>
                <w:szCs w:val="20"/>
                <w:color w:val="auto"/>
              </w:rPr>
            </w:pPr>
            <w:r>
              <w:rPr>
                <w:rFonts w:ascii="Arial" w:cs="Arial" w:eastAsia="Arial" w:hAnsi="Arial"/>
                <w:sz w:val="17"/>
                <w:szCs w:val="17"/>
                <w:b w:val="1"/>
                <w:bCs w:val="1"/>
                <w:color w:val="auto"/>
              </w:rPr>
              <w:t>2019</w:t>
            </w:r>
          </w:p>
        </w:tc>
        <w:tc>
          <w:tcPr>
            <w:tcW w:w="320" w:type="dxa"/>
            <w:vAlign w:val="bottom"/>
          </w:tcPr>
          <w:p>
            <w:pPr>
              <w:spacing w:after="0"/>
              <w:rPr>
                <w:sz w:val="16"/>
                <w:szCs w:val="16"/>
                <w:color w:val="auto"/>
              </w:rPr>
            </w:pPr>
          </w:p>
        </w:tc>
        <w:tc>
          <w:tcPr>
            <w:tcW w:w="1100" w:type="dxa"/>
            <w:vAlign w:val="bottom"/>
            <w:vMerge w:val="restart"/>
          </w:tcPr>
          <w:p>
            <w:pPr>
              <w:jc w:val="right"/>
              <w:ind w:right="515"/>
              <w:spacing w:after="0"/>
              <w:rPr>
                <w:sz w:val="20"/>
                <w:szCs w:val="20"/>
                <w:color w:val="auto"/>
              </w:rPr>
            </w:pPr>
            <w:r>
              <w:rPr>
                <w:rFonts w:ascii="Arial" w:cs="Arial" w:eastAsia="Arial" w:hAnsi="Arial"/>
                <w:sz w:val="17"/>
                <w:szCs w:val="17"/>
                <w:color w:val="auto"/>
              </w:rPr>
              <w:t>2018</w:t>
            </w:r>
          </w:p>
        </w:tc>
        <w:tc>
          <w:tcPr>
            <w:tcW w:w="300" w:type="dxa"/>
            <w:vAlign w:val="bottom"/>
          </w:tcPr>
          <w:p>
            <w:pPr>
              <w:spacing w:after="0"/>
              <w:rPr>
                <w:sz w:val="16"/>
                <w:szCs w:val="16"/>
                <w:color w:val="auto"/>
              </w:rPr>
            </w:pPr>
          </w:p>
        </w:tc>
        <w:tc>
          <w:tcPr>
            <w:tcW w:w="1120" w:type="dxa"/>
            <w:vAlign w:val="bottom"/>
            <w:vMerge w:val="restart"/>
          </w:tcPr>
          <w:p>
            <w:pPr>
              <w:jc w:val="right"/>
              <w:ind w:right="51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210"/>
        </w:trPr>
        <w:tc>
          <w:tcPr>
            <w:tcW w:w="410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Pr>
          <w:p>
            <w:pPr>
              <w:jc w:val="right"/>
              <w:ind w:right="195"/>
              <w:spacing w:after="0" w:line="183" w:lineRule="exact"/>
              <w:rPr>
                <w:sz w:val="20"/>
                <w:szCs w:val="20"/>
                <w:color w:val="auto"/>
              </w:rPr>
            </w:pPr>
            <w:r>
              <w:rPr>
                <w:rFonts w:ascii="Arial" w:cs="Arial" w:eastAsia="Arial" w:hAnsi="Arial"/>
                <w:sz w:val="17"/>
                <w:szCs w:val="17"/>
                <w:color w:val="auto"/>
                <w:w w:val="99"/>
              </w:rPr>
              <w:t>in millions)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SG&amp;A</w:t>
            </w:r>
          </w:p>
        </w:tc>
        <w:tc>
          <w:tcPr>
            <w:tcW w:w="5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1,650</w:t>
            </w:r>
          </w:p>
        </w:tc>
        <w:tc>
          <w:tcPr>
            <w:tcW w:w="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1,614</w:t>
            </w:r>
          </w:p>
        </w:tc>
        <w:tc>
          <w:tcPr>
            <w:tcW w:w="3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1,501</w:t>
            </w:r>
          </w:p>
        </w:tc>
        <w:tc>
          <w:tcPr>
            <w:tcW w:w="0" w:type="dxa"/>
            <w:vAlign w:val="bottom"/>
          </w:tcPr>
          <w:p>
            <w:pPr>
              <w:spacing w:after="0"/>
              <w:rPr>
                <w:sz w:val="1"/>
                <w:szCs w:val="1"/>
                <w:color w:val="auto"/>
              </w:rPr>
            </w:pPr>
          </w:p>
        </w:tc>
      </w:tr>
      <w:tr>
        <w:trPr>
          <w:trHeight w:val="189"/>
        </w:trPr>
        <w:tc>
          <w:tcPr>
            <w:tcW w:w="4400" w:type="dxa"/>
            <w:vAlign w:val="bottom"/>
            <w:gridSpan w:val="2"/>
          </w:tcPr>
          <w:p>
            <w:pPr>
              <w:spacing w:after="0" w:line="189" w:lineRule="exact"/>
              <w:rPr>
                <w:sz w:val="20"/>
                <w:szCs w:val="20"/>
                <w:color w:val="auto"/>
              </w:rPr>
            </w:pPr>
            <w:r>
              <w:rPr>
                <w:rFonts w:ascii="Arial" w:cs="Arial" w:eastAsia="Arial" w:hAnsi="Arial"/>
                <w:sz w:val="17"/>
                <w:szCs w:val="17"/>
                <w:color w:val="auto"/>
              </w:rPr>
              <w:t>$ Change</w:t>
            </w:r>
          </w:p>
        </w:tc>
        <w:tc>
          <w:tcPr>
            <w:tcW w:w="5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36</w:t>
            </w:r>
          </w:p>
        </w:tc>
        <w:tc>
          <w:tcPr>
            <w:tcW w:w="3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10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113</w:t>
            </w:r>
          </w:p>
        </w:tc>
        <w:tc>
          <w:tcPr>
            <w:tcW w:w="300" w:type="dxa"/>
            <w:vAlign w:val="bottom"/>
          </w:tcPr>
          <w:p>
            <w:pPr>
              <w:spacing w:after="0"/>
              <w:rPr>
                <w:sz w:val="16"/>
                <w:szCs w:val="16"/>
                <w:color w:val="auto"/>
              </w:rPr>
            </w:pPr>
          </w:p>
        </w:tc>
        <w:tc>
          <w:tcPr>
            <w:tcW w:w="112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2.2 %</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7.5 %</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SG&amp;A as a percentage of sales</w:t>
            </w: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20.6 %</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20.3 %</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19.3 %</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SG&amp;A increased by $36 million or 2.2 percent in 2019, as compared with the prior year. As a percentage of sales, the SG&amp;A rate increased by 30 basis points as compared with 2018. The overall increase represented an increase in costs incurred in connection with our ongoing investment in various technology and infrastructure projects, partially offset by lower incentive compensation expense of $18 million. Excluding the effect of foreign currency fluctuations, SG&amp;A increased by $57 million and 3.5 percent as compared with the prior year.</w:t>
      </w:r>
    </w:p>
    <w:p>
      <w:pPr>
        <w:spacing w:after="0" w:line="177"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49" w:right="1440" w:bottom="1440" w:gutter="0" w:footer="0" w:header="0"/>
        </w:sectPr>
      </w:pPr>
    </w:p>
    <w:bookmarkStart w:id="27" w:name="page28"/>
    <w:bookmarkEnd w:id="27"/>
    <w:tbl>
      <w:tblPr>
        <w:tblLayout w:type="fixed"/>
        <w:tblInd w:w="60" w:type="dxa"/>
        <w:tblCellMar>
          <w:top w:w="0" w:type="dxa"/>
          <w:left w:w="0" w:type="dxa"/>
          <w:bottom w:w="0" w:type="dxa"/>
          <w:right w:w="0" w:type="dxa"/>
        </w:tblCellMar>
      </w:tblPr>
      <w:tr>
        <w:trPr>
          <w:trHeight w:val="195"/>
        </w:trPr>
        <w:tc>
          <w:tcPr>
            <w:tcW w:w="3480" w:type="dxa"/>
            <w:vAlign w:val="bottom"/>
            <w:gridSpan w:val="2"/>
          </w:tcPr>
          <w:p>
            <w:pPr>
              <w:spacing w:after="0"/>
              <w:rPr>
                <w:sz w:val="20"/>
                <w:szCs w:val="20"/>
                <w:color w:val="auto"/>
              </w:rPr>
            </w:pPr>
            <w:r>
              <w:rPr>
                <w:rFonts w:ascii="Arial" w:cs="Arial" w:eastAsia="Arial" w:hAnsi="Arial"/>
                <w:sz w:val="17"/>
                <w:szCs w:val="17"/>
                <w:i w:val="1"/>
                <w:iCs w:val="1"/>
                <w:color w:val="auto"/>
              </w:rPr>
              <w:t>Depreciation and Amortization</w:t>
            </w:r>
          </w:p>
        </w:tc>
        <w:tc>
          <w:tcPr>
            <w:tcW w:w="1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2019</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restart"/>
          </w:tcPr>
          <w:p>
            <w:pPr>
              <w:jc w:val="right"/>
              <w:ind w:right="495"/>
              <w:spacing w:after="0"/>
              <w:rPr>
                <w:sz w:val="20"/>
                <w:szCs w:val="20"/>
                <w:color w:val="auto"/>
              </w:rPr>
            </w:pPr>
            <w:r>
              <w:rPr>
                <w:rFonts w:ascii="Arial" w:cs="Arial" w:eastAsia="Arial" w:hAnsi="Arial"/>
                <w:sz w:val="17"/>
                <w:szCs w:val="17"/>
                <w:color w:val="auto"/>
              </w:rPr>
              <w:t>2018</w:t>
            </w:r>
          </w:p>
        </w:tc>
        <w:tc>
          <w:tcPr>
            <w:tcW w:w="300" w:type="dxa"/>
            <w:vAlign w:val="bottom"/>
          </w:tcPr>
          <w:p>
            <w:pPr>
              <w:spacing w:after="0"/>
              <w:rPr>
                <w:sz w:val="16"/>
                <w:szCs w:val="16"/>
                <w:color w:val="auto"/>
              </w:rPr>
            </w:pPr>
          </w:p>
        </w:tc>
        <w:tc>
          <w:tcPr>
            <w:tcW w:w="1180" w:type="dxa"/>
            <w:vAlign w:val="bottom"/>
            <w:vMerge w:val="restart"/>
          </w:tcPr>
          <w:p>
            <w:pPr>
              <w:jc w:val="right"/>
              <w:ind w:right="57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209"/>
        </w:trPr>
        <w:tc>
          <w:tcPr>
            <w:tcW w:w="2280" w:type="dxa"/>
            <w:vAlign w:val="bottom"/>
            <w:tcBorders>
              <w:top w:val="single" w:sz="8" w:color="auto"/>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Pr>
          <w:p>
            <w:pPr>
              <w:jc w:val="right"/>
              <w:ind w:right="175"/>
              <w:spacing w:after="0" w:line="183" w:lineRule="exact"/>
              <w:rPr>
                <w:sz w:val="20"/>
                <w:szCs w:val="20"/>
                <w:color w:val="auto"/>
              </w:rPr>
            </w:pPr>
            <w:r>
              <w:rPr>
                <w:rFonts w:ascii="Arial" w:cs="Arial" w:eastAsia="Arial" w:hAnsi="Arial"/>
                <w:sz w:val="17"/>
                <w:szCs w:val="17"/>
                <w:color w:val="auto"/>
              </w:rPr>
              <w:t>in millions)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1980" w:type="dxa"/>
            <w:vAlign w:val="bottom"/>
            <w:shd w:val="clear" w:color="auto" w:fill="CCEEFF"/>
          </w:tcPr>
          <w:p>
            <w:pPr>
              <w:jc w:val="right"/>
              <w:ind w:right="615"/>
              <w:spacing w:after="0" w:line="189" w:lineRule="exact"/>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w w:val="98"/>
              </w:rPr>
              <w:t>179</w:t>
            </w:r>
          </w:p>
        </w:tc>
        <w:tc>
          <w:tcPr>
            <w:tcW w:w="3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178</w:t>
            </w:r>
          </w:p>
        </w:tc>
        <w:tc>
          <w:tcPr>
            <w:tcW w:w="3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189"/>
        </w:trPr>
        <w:tc>
          <w:tcPr>
            <w:tcW w:w="3480" w:type="dxa"/>
            <w:vAlign w:val="bottom"/>
            <w:gridSpan w:val="2"/>
          </w:tcPr>
          <w:p>
            <w:pPr>
              <w:spacing w:after="0" w:line="189" w:lineRule="exact"/>
              <w:rPr>
                <w:sz w:val="20"/>
                <w:szCs w:val="20"/>
                <w:color w:val="auto"/>
              </w:rPr>
            </w:pPr>
            <w:r>
              <w:rPr>
                <w:rFonts w:ascii="Arial" w:cs="Arial" w:eastAsia="Arial" w:hAnsi="Arial"/>
                <w:sz w:val="17"/>
                <w:szCs w:val="17"/>
                <w:color w:val="auto"/>
              </w:rPr>
              <w:t>$ Change</w:t>
            </w:r>
          </w:p>
        </w:tc>
        <w:tc>
          <w:tcPr>
            <w:tcW w:w="1980" w:type="dxa"/>
            <w:vAlign w:val="bottom"/>
          </w:tcPr>
          <w:p>
            <w:pPr>
              <w:jc w:val="right"/>
              <w:ind w:right="615"/>
              <w:spacing w:after="0" w:line="189" w:lineRule="exact"/>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w:t>
            </w:r>
          </w:p>
        </w:tc>
        <w:tc>
          <w:tcPr>
            <w:tcW w:w="3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0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5</w:t>
            </w:r>
          </w:p>
        </w:tc>
        <w:tc>
          <w:tcPr>
            <w:tcW w:w="300" w:type="dxa"/>
            <w:vAlign w:val="bottom"/>
          </w:tcPr>
          <w:p>
            <w:pPr>
              <w:spacing w:after="0"/>
              <w:rPr>
                <w:sz w:val="16"/>
                <w:szCs w:val="16"/>
                <w:color w:val="auto"/>
              </w:rPr>
            </w:pPr>
          </w:p>
        </w:tc>
        <w:tc>
          <w:tcPr>
            <w:tcW w:w="118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34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19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0.6 %</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2.9 %</w:t>
            </w: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9.5 %</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Depreciation and amortization increased by $1 million in 2019 as compared with 2018. The effect of foreign currency fluctuations on depreciation and amortization for the current year was not significant.</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7"/>
          <w:szCs w:val="17"/>
          <w:i w:val="1"/>
          <w:iCs w:val="1"/>
          <w:u w:val="single" w:color="auto"/>
          <w:color w:val="auto"/>
        </w:rPr>
        <w:t>Division Profit</w:t>
      </w:r>
    </w:p>
    <w:p>
      <w:pPr>
        <w:spacing w:after="0" w:line="201"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Division profit was $738 million or 9.2 percent, as a percentage of sales. This compares with $789 million, or 9.9 percent, for last year. Division profit for 2019 included non-cash impairment charges of $37 million related to the write-down of store fixtures, leasehold, and right-of-use assets related to Footaction, certain other underperforming stores, and a vacant store that had been previously subleased. Also during the current year, we recorded $13 million of lease termination costs related to the closure our SIX:02 stores. In 2018, impairment charges were $19 million and related to SIX:02, Runners Point, and Sidestep. Excluding the effect of the impairment charges and lease termination costs from both years, our division profit decreased by 40 basis points. Both sales channels generated improved results, however gross margin declined in our direct-to-customers channel due to higher freight costs. Operating expenses grew at a faster rate than sales thereby reducing division profit.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7"/>
          <w:szCs w:val="17"/>
          <w:i w:val="1"/>
          <w:iCs w:val="1"/>
          <w:u w:val="single" w:color="auto"/>
          <w:color w:val="auto"/>
        </w:rPr>
        <w:t>Other Charges</w:t>
      </w:r>
    </w:p>
    <w:p>
      <w:pPr>
        <w:spacing w:after="0" w:line="18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 xml:space="preserve">During 2019 we recorded charges totaling $15 million. During the fourth quarter we recorded non-cash charges of $11 million related to the write-down of two minority investments. Additionally, we incurred $4 million related to the pension matter. See Note 3, </w:t>
      </w:r>
      <w:r>
        <w:rPr>
          <w:rFonts w:ascii="Arial" w:cs="Arial" w:eastAsia="Arial" w:hAnsi="Arial"/>
          <w:sz w:val="17"/>
          <w:szCs w:val="17"/>
          <w:i w:val="1"/>
          <w:iCs w:val="1"/>
          <w:color w:val="auto"/>
        </w:rPr>
        <w:t>Impairment and Other Charges</w:t>
      </w:r>
      <w:r>
        <w:rPr>
          <w:rFonts w:ascii="Arial" w:cs="Arial" w:eastAsia="Arial" w:hAnsi="Arial"/>
          <w:sz w:val="17"/>
          <w:szCs w:val="17"/>
          <w:color w:val="auto"/>
        </w:rPr>
        <w:t xml:space="preserve"> for additional information.</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480" w:type="dxa"/>
            <w:vAlign w:val="bottom"/>
            <w:gridSpan w:val="2"/>
          </w:tcPr>
          <w:p>
            <w:pPr>
              <w:ind w:left="20"/>
              <w:spacing w:after="0"/>
              <w:rPr>
                <w:sz w:val="20"/>
                <w:szCs w:val="20"/>
                <w:color w:val="auto"/>
              </w:rPr>
            </w:pPr>
            <w:r>
              <w:rPr>
                <w:rFonts w:ascii="Arial" w:cs="Arial" w:eastAsia="Arial" w:hAnsi="Arial"/>
                <w:sz w:val="17"/>
                <w:szCs w:val="17"/>
                <w:i w:val="1"/>
                <w:iCs w:val="1"/>
                <w:color w:val="auto"/>
                <w:w w:val="98"/>
              </w:rPr>
              <w:t>Corporate Expense</w:t>
            </w:r>
          </w:p>
        </w:tc>
        <w:tc>
          <w:tcPr>
            <w:tcW w:w="3620" w:type="dxa"/>
            <w:vAlign w:val="bottom"/>
          </w:tcPr>
          <w:p>
            <w:pPr>
              <w:spacing w:after="0"/>
              <w:rPr>
                <w:sz w:val="16"/>
                <w:szCs w:val="16"/>
                <w:color w:val="auto"/>
              </w:rPr>
            </w:pPr>
          </w:p>
        </w:tc>
        <w:tc>
          <w:tcPr>
            <w:tcW w:w="104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6"/>
                <w:szCs w:val="16"/>
                <w:color w:val="auto"/>
              </w:rPr>
            </w:pPr>
          </w:p>
        </w:tc>
        <w:tc>
          <w:tcPr>
            <w:tcW w:w="1200" w:type="dxa"/>
            <w:vAlign w:val="bottom"/>
            <w:vMerge w:val="restart"/>
          </w:tcPr>
          <w:p>
            <w:pPr>
              <w:jc w:val="right"/>
              <w:ind w:right="415"/>
              <w:spacing w:after="0"/>
              <w:rPr>
                <w:sz w:val="20"/>
                <w:szCs w:val="20"/>
                <w:color w:val="auto"/>
              </w:rPr>
            </w:pPr>
            <w:r>
              <w:rPr>
                <w:rFonts w:ascii="Arial" w:cs="Arial" w:eastAsia="Arial" w:hAnsi="Arial"/>
                <w:sz w:val="17"/>
                <w:szCs w:val="17"/>
                <w:color w:val="auto"/>
              </w:rPr>
              <w:t>2018</w:t>
            </w:r>
          </w:p>
        </w:tc>
        <w:tc>
          <w:tcPr>
            <w:tcW w:w="380" w:type="dxa"/>
            <w:vAlign w:val="bottom"/>
          </w:tcPr>
          <w:p>
            <w:pPr>
              <w:spacing w:after="0"/>
              <w:rPr>
                <w:sz w:val="16"/>
                <w:szCs w:val="16"/>
                <w:color w:val="auto"/>
              </w:rPr>
            </w:pPr>
          </w:p>
        </w:tc>
        <w:tc>
          <w:tcPr>
            <w:tcW w:w="960" w:type="dxa"/>
            <w:vAlign w:val="bottom"/>
            <w:vMerge w:val="restart"/>
          </w:tcPr>
          <w:p>
            <w:pPr>
              <w:jc w:val="right"/>
              <w:ind w:right="33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95"/>
              <w:spacing w:after="0" w:line="183" w:lineRule="exact"/>
              <w:rPr>
                <w:sz w:val="20"/>
                <w:szCs w:val="20"/>
                <w:color w:val="auto"/>
              </w:rPr>
            </w:pPr>
            <w:r>
              <w:rPr>
                <w:rFonts w:ascii="Arial" w:cs="Arial" w:eastAsia="Arial" w:hAnsi="Arial"/>
                <w:sz w:val="17"/>
                <w:szCs w:val="17"/>
                <w:color w:val="auto"/>
                <w:w w:val="99"/>
              </w:rPr>
              <w:t>($ in millions)</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w w:val="99"/>
              </w:rPr>
              <w:t>Corporate expense</w:t>
            </w:r>
          </w:p>
        </w:tc>
        <w:tc>
          <w:tcPr>
            <w:tcW w:w="36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74</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72</w:t>
            </w:r>
          </w:p>
        </w:tc>
        <w:tc>
          <w:tcPr>
            <w:tcW w:w="3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89"/>
        </w:trPr>
        <w:tc>
          <w:tcPr>
            <w:tcW w:w="1480" w:type="dxa"/>
            <w:vAlign w:val="bottom"/>
            <w:tcBorders>
              <w:bottom w:val="single" w:sz="8" w:color="auto"/>
            </w:tcBorders>
            <w:gridSpan w:val="2"/>
          </w:tcPr>
          <w:p>
            <w:pPr>
              <w:ind w:left="20"/>
              <w:spacing w:after="0" w:line="189" w:lineRule="exact"/>
              <w:rPr>
                <w:sz w:val="20"/>
                <w:szCs w:val="20"/>
                <w:color w:val="auto"/>
              </w:rPr>
            </w:pPr>
            <w:r>
              <w:rPr>
                <w:rFonts w:ascii="Arial" w:cs="Arial" w:eastAsia="Arial" w:hAnsi="Arial"/>
                <w:sz w:val="17"/>
                <w:szCs w:val="17"/>
                <w:color w:val="auto"/>
              </w:rPr>
              <w:t>$ Change</w:t>
            </w:r>
          </w:p>
        </w:tc>
        <w:tc>
          <w:tcPr>
            <w:tcW w:w="36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24</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Corporate expense consists of unallocated general and administrative expenses as well as depreciation and amortization related to our corporate headquarters, centrally managed departments, unallocated insurance and benefit programs, certain foreign exchange transaction gains and losses, and other items. Depreciation and amortization included in corporate expense was $19 million, $18 million, and $16 million in 2019, 2018, and 2017, respectively.</w:t>
      </w:r>
    </w:p>
    <w:p>
      <w:pPr>
        <w:spacing w:after="0" w:line="15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allocation of corporate expense to the operating divisions is adjusted annually based upon an internal study; accordingly, the allocation increased by $32 million in 2019, thus reducing corporate expense. Excluding the corporate allocation change, corporate expense increased by $34 million as compared with 2018. This increase was primarily due to technology spending related to our various technology initiatives. Additionally, we incurred additional professional fees partially offset by lower incentive compensation expense.</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140" w:type="dxa"/>
            <w:vAlign w:val="bottom"/>
            <w:gridSpan w:val="3"/>
          </w:tcPr>
          <w:p>
            <w:pPr>
              <w:spacing w:after="0"/>
              <w:rPr>
                <w:sz w:val="20"/>
                <w:szCs w:val="20"/>
                <w:color w:val="auto"/>
              </w:rPr>
            </w:pPr>
            <w:r>
              <w:rPr>
                <w:rFonts w:ascii="Arial" w:cs="Arial" w:eastAsia="Arial" w:hAnsi="Arial"/>
                <w:sz w:val="17"/>
                <w:szCs w:val="17"/>
                <w:i w:val="1"/>
                <w:iCs w:val="1"/>
                <w:color w:val="auto"/>
              </w:rPr>
              <w:t>Interest Income, net</w:t>
            </w:r>
          </w:p>
        </w:tc>
        <w:tc>
          <w:tcPr>
            <w:tcW w:w="780" w:type="dxa"/>
            <w:vAlign w:val="bottom"/>
          </w:tcPr>
          <w:p>
            <w:pPr>
              <w:spacing w:after="0"/>
              <w:rPr>
                <w:sz w:val="16"/>
                <w:szCs w:val="16"/>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320" w:type="dxa"/>
            <w:vAlign w:val="bottom"/>
          </w:tcPr>
          <w:p>
            <w:pPr>
              <w:spacing w:after="0"/>
              <w:rPr>
                <w:sz w:val="16"/>
                <w:szCs w:val="16"/>
                <w:color w:val="auto"/>
              </w:rPr>
            </w:pPr>
          </w:p>
        </w:tc>
        <w:tc>
          <w:tcPr>
            <w:tcW w:w="1120" w:type="dxa"/>
            <w:vAlign w:val="bottom"/>
            <w:vMerge w:val="restart"/>
          </w:tcPr>
          <w:p>
            <w:pPr>
              <w:jc w:val="right"/>
              <w:ind w:right="515"/>
              <w:spacing w:after="0"/>
              <w:rPr>
                <w:sz w:val="20"/>
                <w:szCs w:val="20"/>
                <w:color w:val="auto"/>
              </w:rPr>
            </w:pPr>
            <w:r>
              <w:rPr>
                <w:rFonts w:ascii="Arial" w:cs="Arial" w:eastAsia="Arial" w:hAnsi="Arial"/>
                <w:sz w:val="17"/>
                <w:szCs w:val="17"/>
                <w:color w:val="auto"/>
              </w:rPr>
              <w:t>2018</w:t>
            </w:r>
          </w:p>
        </w:tc>
        <w:tc>
          <w:tcPr>
            <w:tcW w:w="300" w:type="dxa"/>
            <w:vAlign w:val="bottom"/>
          </w:tcPr>
          <w:p>
            <w:pPr>
              <w:spacing w:after="0"/>
              <w:rPr>
                <w:sz w:val="16"/>
                <w:szCs w:val="16"/>
                <w:color w:val="auto"/>
              </w:rPr>
            </w:pPr>
          </w:p>
        </w:tc>
        <w:tc>
          <w:tcPr>
            <w:tcW w:w="920" w:type="dxa"/>
            <w:vAlign w:val="bottom"/>
            <w:vMerge w:val="restart"/>
          </w:tcPr>
          <w:p>
            <w:pPr>
              <w:jc w:val="right"/>
              <w:ind w:right="315"/>
              <w:spacing w:after="0"/>
              <w:rPr>
                <w:sz w:val="20"/>
                <w:szCs w:val="20"/>
                <w:color w:val="auto"/>
              </w:rPr>
            </w:pPr>
            <w:r>
              <w:rPr>
                <w:rFonts w:ascii="Arial" w:cs="Arial" w:eastAsia="Arial" w:hAnsi="Arial"/>
                <w:sz w:val="17"/>
                <w:szCs w:val="17"/>
                <w:color w:val="auto"/>
              </w:rPr>
              <w:t>2017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Pr>
          <w:p>
            <w:pPr>
              <w:jc w:val="right"/>
              <w:ind w:right="195"/>
              <w:spacing w:after="0" w:line="183" w:lineRule="exact"/>
              <w:rPr>
                <w:sz w:val="20"/>
                <w:szCs w:val="20"/>
                <w:color w:val="auto"/>
              </w:rPr>
            </w:pPr>
            <w:r>
              <w:rPr>
                <w:rFonts w:ascii="Arial" w:cs="Arial" w:eastAsia="Arial" w:hAnsi="Arial"/>
                <w:sz w:val="17"/>
                <w:szCs w:val="17"/>
                <w:color w:val="auto"/>
              </w:rPr>
              <w:t>in millions)</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Interest expense</w:t>
            </w:r>
          </w:p>
        </w:tc>
        <w:tc>
          <w:tcPr>
            <w:tcW w:w="7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(10)</w:t>
            </w:r>
          </w:p>
        </w:tc>
        <w:tc>
          <w:tcPr>
            <w:tcW w:w="3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(11)</w:t>
            </w:r>
          </w:p>
        </w:tc>
        <w:tc>
          <w:tcPr>
            <w:tcW w:w="3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Interest income</w:t>
            </w:r>
          </w:p>
        </w:tc>
        <w:tc>
          <w:tcPr>
            <w:tcW w:w="7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b w:val="1"/>
                <w:bCs w:val="1"/>
                <w:color w:val="auto"/>
              </w:rPr>
              <w:t>21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20</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2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Interest income, net</w:t>
            </w:r>
          </w:p>
        </w:tc>
        <w:tc>
          <w:tcPr>
            <w:tcW w:w="7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11</w:t>
            </w:r>
          </w:p>
        </w:tc>
        <w:tc>
          <w:tcPr>
            <w:tcW w:w="3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9</w:t>
            </w:r>
          </w:p>
        </w:tc>
        <w:tc>
          <w:tcPr>
            <w:tcW w:w="3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4120" w:type="dxa"/>
            <w:vAlign w:val="bottom"/>
            <w:tcBorders>
              <w:top w:val="single" w:sz="8" w:color="auto"/>
              <w:bottom w:val="single" w:sz="8" w:color="auto"/>
            </w:tcBorders>
            <w:gridSpan w:val="2"/>
          </w:tcPr>
          <w:p>
            <w:pPr>
              <w:spacing w:after="0" w:line="170" w:lineRule="exact"/>
              <w:rPr>
                <w:sz w:val="20"/>
                <w:szCs w:val="20"/>
                <w:color w:val="auto"/>
              </w:rPr>
            </w:pPr>
            <w:r>
              <w:rPr>
                <w:rFonts w:ascii="Arial" w:cs="Arial" w:eastAsia="Arial" w:hAnsi="Arial"/>
                <w:sz w:val="17"/>
                <w:szCs w:val="17"/>
                <w:color w:val="auto"/>
              </w:rPr>
              <w:t>Weighted-average interest rate (excluding fees)</w:t>
            </w:r>
          </w:p>
        </w:tc>
        <w:tc>
          <w:tcPr>
            <w:tcW w:w="7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b w:val="1"/>
                <w:bCs w:val="1"/>
                <w:color w:val="auto"/>
              </w:rPr>
              <w:t>6.9 %</w:t>
            </w: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7.0 %</w:t>
            </w:r>
          </w:p>
        </w:tc>
        <w:tc>
          <w:tcPr>
            <w:tcW w:w="3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7.3</w:t>
            </w: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0" w:right="79"/>
        <w:spacing w:after="0" w:line="232" w:lineRule="auto"/>
        <w:rPr>
          <w:sz w:val="20"/>
          <w:szCs w:val="20"/>
          <w:color w:val="auto"/>
        </w:rPr>
      </w:pPr>
      <w:r>
        <w:rPr>
          <w:rFonts w:ascii="Arial" w:cs="Arial" w:eastAsia="Arial" w:hAnsi="Arial"/>
          <w:sz w:val="17"/>
          <w:szCs w:val="17"/>
          <w:color w:val="auto"/>
        </w:rPr>
        <w:t>The changes during 2019 primarily relate to the amounts earned as interest income. Interest income increased by $2 million in 2019 as compared with 2018. The increase represented increased income due to higher average interest rates on our cash investments. We did not have any short-term borrowings, other than small amounts related to capital leases, for any of the periods presented.</w:t>
      </w:r>
    </w:p>
    <w:p>
      <w:pPr>
        <w:ind w:left="7020"/>
        <w:spacing w:after="0"/>
        <w:rPr>
          <w:sz w:val="20"/>
          <w:szCs w:val="20"/>
          <w:color w:val="auto"/>
        </w:rPr>
      </w:pPr>
      <w:r>
        <w:rPr>
          <w:rFonts w:ascii="Arial" w:cs="Arial" w:eastAsia="Arial" w:hAnsi="Arial"/>
          <w:sz w:val="17"/>
          <w:szCs w:val="17"/>
          <w:color w:val="auto"/>
        </w:rPr>
        <w:t>2019 Form 10-K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2" w:right="1440" w:bottom="1440" w:gutter="0" w:footer="0" w:header="0"/>
        </w:sectPr>
      </w:pPr>
    </w:p>
    <w:bookmarkStart w:id="28" w:name="page29"/>
    <w:bookmarkEnd w:id="28"/>
    <w:tbl>
      <w:tblPr>
        <w:tblLayout w:type="fixed"/>
        <w:tblInd w:w="40" w:type="dxa"/>
        <w:tblCellMar>
          <w:top w:w="0" w:type="dxa"/>
          <w:left w:w="0" w:type="dxa"/>
          <w:bottom w:w="0" w:type="dxa"/>
          <w:right w:w="0" w:type="dxa"/>
        </w:tblCellMar>
      </w:tblPr>
      <w:tr>
        <w:trPr>
          <w:trHeight w:val="195"/>
        </w:trPr>
        <w:tc>
          <w:tcPr>
            <w:tcW w:w="3020" w:type="dxa"/>
            <w:vAlign w:val="bottom"/>
            <w:gridSpan w:val="3"/>
          </w:tcPr>
          <w:p>
            <w:pPr>
              <w:ind w:left="20"/>
              <w:spacing w:after="0"/>
              <w:rPr>
                <w:sz w:val="20"/>
                <w:szCs w:val="20"/>
                <w:color w:val="auto"/>
              </w:rPr>
            </w:pPr>
            <w:r>
              <w:rPr>
                <w:rFonts w:ascii="Arial" w:cs="Arial" w:eastAsia="Arial" w:hAnsi="Arial"/>
                <w:sz w:val="17"/>
                <w:szCs w:val="17"/>
                <w:i w:val="1"/>
                <w:iCs w:val="1"/>
                <w:color w:val="auto"/>
              </w:rPr>
              <w:t>Other Income, net</w:t>
            </w:r>
          </w:p>
        </w:tc>
        <w:tc>
          <w:tcPr>
            <w:tcW w:w="1880" w:type="dxa"/>
            <w:vAlign w:val="bottom"/>
          </w:tcPr>
          <w:p>
            <w:pPr>
              <w:spacing w:after="0"/>
              <w:rPr>
                <w:sz w:val="16"/>
                <w:szCs w:val="16"/>
                <w:color w:val="auto"/>
              </w:rPr>
            </w:pPr>
          </w:p>
        </w:tc>
        <w:tc>
          <w:tcPr>
            <w:tcW w:w="1100" w:type="dxa"/>
            <w:vAlign w:val="bottom"/>
            <w:vMerge w:val="restart"/>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320" w:type="dxa"/>
            <w:vAlign w:val="bottom"/>
          </w:tcPr>
          <w:p>
            <w:pPr>
              <w:spacing w:after="0"/>
              <w:rPr>
                <w:sz w:val="16"/>
                <w:szCs w:val="16"/>
                <w:color w:val="auto"/>
              </w:rPr>
            </w:pPr>
          </w:p>
        </w:tc>
        <w:tc>
          <w:tcPr>
            <w:tcW w:w="1100" w:type="dxa"/>
            <w:vAlign w:val="bottom"/>
            <w:vMerge w:val="restart"/>
          </w:tcPr>
          <w:p>
            <w:pPr>
              <w:jc w:val="right"/>
              <w:ind w:right="515"/>
              <w:spacing w:after="0"/>
              <w:rPr>
                <w:sz w:val="20"/>
                <w:szCs w:val="20"/>
                <w:color w:val="auto"/>
              </w:rPr>
            </w:pPr>
            <w:r>
              <w:rPr>
                <w:rFonts w:ascii="Arial" w:cs="Arial" w:eastAsia="Arial" w:hAnsi="Arial"/>
                <w:sz w:val="17"/>
                <w:szCs w:val="17"/>
                <w:b w:val="1"/>
                <w:bCs w:val="1"/>
                <w:color w:val="auto"/>
              </w:rPr>
              <w:t>2018</w:t>
            </w:r>
          </w:p>
        </w:tc>
        <w:tc>
          <w:tcPr>
            <w:tcW w:w="300" w:type="dxa"/>
            <w:vAlign w:val="bottom"/>
          </w:tcPr>
          <w:p>
            <w:pPr>
              <w:spacing w:after="0"/>
              <w:rPr>
                <w:sz w:val="16"/>
                <w:szCs w:val="16"/>
                <w:color w:val="auto"/>
              </w:rPr>
            </w:pPr>
          </w:p>
        </w:tc>
        <w:tc>
          <w:tcPr>
            <w:tcW w:w="118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Pr>
          <w:p>
            <w:pPr>
              <w:jc w:val="right"/>
              <w:ind w:right="195"/>
              <w:spacing w:after="0" w:line="183" w:lineRule="exact"/>
              <w:rPr>
                <w:sz w:val="20"/>
                <w:szCs w:val="20"/>
                <w:color w:val="auto"/>
              </w:rPr>
            </w:pPr>
            <w:r>
              <w:rPr>
                <w:rFonts w:ascii="Arial" w:cs="Arial" w:eastAsia="Arial" w:hAnsi="Arial"/>
                <w:sz w:val="17"/>
                <w:szCs w:val="17"/>
                <w:color w:val="auto"/>
                <w:w w:val="99"/>
              </w:rPr>
              <w:t>in millions)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Other income, net</w:t>
            </w:r>
          </w:p>
        </w:tc>
        <w:tc>
          <w:tcPr>
            <w:tcW w:w="18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12</w:t>
            </w:r>
          </w:p>
        </w:tc>
        <w:tc>
          <w:tcPr>
            <w:tcW w:w="3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5</w:t>
            </w:r>
          </w:p>
        </w:tc>
        <w:tc>
          <w:tcPr>
            <w:tcW w:w="3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302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 Change</w:t>
            </w:r>
          </w:p>
        </w:tc>
        <w:tc>
          <w:tcPr>
            <w:tcW w:w="18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7</w:t>
            </w:r>
          </w:p>
        </w:tc>
        <w:tc>
          <w:tcPr>
            <w:tcW w:w="3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0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3020" w:type="dxa"/>
            <w:vAlign w:val="bottom"/>
            <w:tcBorders>
              <w:bottom w:val="single" w:sz="8" w:color="auto"/>
            </w:tcBorders>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18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140.0 %</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 %</w:t>
            </w: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Other income, net includes non-operating items, including franchise royalty income, changes in fair value, premiums paid, realized gains and losses associated with foreign currency option contracts, changes in the market value of our available-for-sale security, our share of earnings or losses related to our equity method investment, and net benefit expense related to our pension and postretirement programs excluding the service cost component.</w:t>
      </w:r>
    </w:p>
    <w:p>
      <w:pPr>
        <w:spacing w:after="0" w:line="16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Other income, net for the year ended February 1, 2020 primarily represented $8 million of royalty income; a $4 million gain associated with the acquisition of a Canadian distribution center lease and related assets from the partial exchange of a note that had been previously written down to zero; a $2 million gain related to the sale of a building; and a $1 million gain on our available-for-sale security; partially offset by a $2 million of net benefit expense relating to our pension and post retirement programs; and a $1 million loss related to our equity method investment.</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7"/>
          <w:szCs w:val="17"/>
          <w:i w:val="1"/>
          <w:iCs w:val="1"/>
          <w:u w:val="single" w:color="auto"/>
          <w:color w:val="auto"/>
        </w:rPr>
        <w:t>Income Taxes</w:t>
      </w:r>
    </w:p>
    <w:p>
      <w:pPr>
        <w:spacing w:after="0" w:line="18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Our effective tax rate for 2019 was 27.0 percent, as compared with 24.1 percent in 2018. The increase was primarily due to discrete events, including the effects of the U.S. tax reform, which was enacted on December 22, 2017, informally known as the Tax Cuts and Jobs Act (the “Tax Act”).</w:t>
      </w:r>
    </w:p>
    <w:p>
      <w:pPr>
        <w:spacing w:after="0" w:line="17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 xml:space="preserve">In connection with the finalization of our accounting for the Tax Act, in 2019 we recorded a charge for $2 million representing an adjustment to U.S. tax on foreign income and in 2018 we recorded a $28 million benefit. See also Note 17, </w:t>
      </w:r>
      <w:r>
        <w:rPr>
          <w:rFonts w:ascii="Arial" w:cs="Arial" w:eastAsia="Arial" w:hAnsi="Arial"/>
          <w:sz w:val="17"/>
          <w:szCs w:val="17"/>
          <w:i w:val="1"/>
          <w:iCs w:val="1"/>
          <w:color w:val="auto"/>
        </w:rPr>
        <w:t>Income Taxes</w:t>
      </w:r>
      <w:r>
        <w:rPr>
          <w:rFonts w:ascii="Arial" w:cs="Arial" w:eastAsia="Arial" w:hAnsi="Arial"/>
          <w:sz w:val="17"/>
          <w:szCs w:val="17"/>
          <w:color w:val="auto"/>
        </w:rPr>
        <w:t>, under “Item 8. Consolidated Financial Statements and Supplementary Data” for more information.</w:t>
      </w:r>
    </w:p>
    <w:p>
      <w:pPr>
        <w:spacing w:after="0" w:line="176"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During the fourth quarters of 2019 and 2018, we recorded a tax benefit of $2 million and a tax expense of $4 million, respectively, in connection with tax law changes in the Netherlands.</w:t>
      </w:r>
    </w:p>
    <w:p>
      <w:pPr>
        <w:spacing w:after="0" w:line="171"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In 2019, we established a valuation allowance of $2 million to offset the deferred tax benefit of certain foreign tax losses.</w:t>
      </w:r>
    </w:p>
    <w:p>
      <w:pPr>
        <w:spacing w:after="0" w:line="17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regularly assess the adequacy of provisions for income tax contingencies in accordance with the applicable authoritative guidance on accounting for income taxes. As a result, reserves for unrecognized tax benefits may be adjusted due to new facts and developments, such as changes to interpretations of relevant tax law, assessments from taxing authorities, settlements with taxing authorities, and lapses of statutes of limitations. The changes in the tax reserves were not significant in 2019. The effective tax rate for 2018 includes reserve releases totaling $5 million due to audit settlements and lapses of statutes of limitations.</w:t>
      </w:r>
    </w:p>
    <w:p>
      <w:pPr>
        <w:spacing w:after="0" w:line="148"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Excluding the above-mentioned discrete items, the effective tax rate for 2019 increased slightly as compared with 2018, due to mix of income earned in various jurisdictions.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Liquidity and Capital Resources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i w:val="1"/>
          <w:iCs w:val="1"/>
          <w:u w:val="single" w:color="auto"/>
          <w:color w:val="auto"/>
        </w:rPr>
        <w:t>Liquidity</w:t>
      </w:r>
    </w:p>
    <w:p>
      <w:pPr>
        <w:spacing w:after="0" w:line="18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Our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We generally finance real estate with operating leases. We believe our cash, cash equivalents, future cash flow from operations, and amounts available under our credit agreement will be adequate to fund these requirements. On March 19, 2020, in order to increase our cash position and help preserve our financial flexibility, we have drawn $330 million of our credit facility. This is a precautionary measure in light of current uncertainty in the global markets resulting from the COVID-19 pandemic.</w:t>
      </w:r>
    </w:p>
    <w:p>
      <w:pPr>
        <w:spacing w:after="0" w:line="200" w:lineRule="exact"/>
        <w:rPr>
          <w:sz w:val="20"/>
          <w:szCs w:val="20"/>
          <w:color w:val="auto"/>
        </w:rPr>
      </w:pPr>
    </w:p>
    <w:p>
      <w:pPr>
        <w:spacing w:after="0" w:line="31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2" w:right="1440" w:bottom="1440" w:gutter="0" w:footer="0" w:header="0"/>
        </w:sectPr>
      </w:pPr>
    </w:p>
    <w:bookmarkStart w:id="29" w:name="page30"/>
    <w:bookmarkEnd w:id="29"/>
    <w:p>
      <w:pPr>
        <w:jc w:val="both"/>
        <w:ind w:left="60" w:right="59"/>
        <w:spacing w:after="0" w:line="235" w:lineRule="auto"/>
        <w:rPr>
          <w:sz w:val="20"/>
          <w:szCs w:val="20"/>
          <w:color w:val="auto"/>
        </w:rPr>
      </w:pPr>
      <w:r>
        <w:rPr>
          <w:rFonts w:ascii="Arial" w:cs="Arial" w:eastAsia="Arial" w:hAnsi="Arial"/>
          <w:sz w:val="17"/>
          <w:szCs w:val="17"/>
          <w:color w:val="auto"/>
        </w:rPr>
        <w:t>The Company may also from time to time repurchase its common stock or seek to retire or purchase outstanding debt through open market purchases, privately negotiated transactions, or otherwise. Such repurchases and retirement of debt, if any, will depend on prevailing market conditions, liquidity requirements, contractual restrictions, and other factors. The amounts involved may be material. As of February 1, 2020, approximately $867 million remained available under our current $1.2 billion share repurchase program.</w:t>
      </w:r>
    </w:p>
    <w:p>
      <w:pPr>
        <w:spacing w:after="0" w:line="150"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On February 19, 2020, the Board of Directors declared a quarterly dividend of $0.40 per share to be paid on May 2, 2020, representing a 5 percent increase over the previous quarterly per share amount.</w:t>
      </w:r>
    </w:p>
    <w:p>
      <w:pPr>
        <w:spacing w:after="0" w:line="15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Any material adverse change in customer demand, fashion trends, competitive market forces, or customer acceptance of our merchandise mix and retail locations, uncertainties related to the effect of competitive products and pricing, our reliance on a few key suppliers for a significant portion of our merchandise purchases and risks associated with global product sourcing, economic conditions worldwide, the effects of currency fluctuations, uncertainties caused by COVID-19, as well as other factors listed under the heading “Disclosure Regarding Forward-Looking Statements,” could affect our ability to continue to fund our liquidity needs from business operations.</w:t>
      </w:r>
    </w:p>
    <w:p>
      <w:pPr>
        <w:spacing w:after="0" w:line="16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Maintaining access to merchandise that we consider appropriate for our business may be subject to the policies and practices of our key suppliers. Therefore, we believe that it is critical to continue to maintain satisfactory relationships with these key suppliers. We purchased approximately 91 percent and 90 percent of our merchandise from our top five suppliers in 2019 and 2018, respectively, and expect to continue to obtain a significant percentage of our athletic product from these suppliers in future periods. Approximately 71 percent and 66 percent was purchased from one supplier, Nike, Inc., in 2019 and 2018, respectively.</w:t>
      </w:r>
    </w:p>
    <w:p>
      <w:pPr>
        <w:spacing w:after="0" w:line="148"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Planned capital expenditures in 2020 are $271 million, with additional lease acquisition costs related to our operations in Europe of $4 million. However, due to the current events related to COVID-19, we are currently reevaluating our total capital spending plans. Included in the planned amount is $148 million dedicated to elevating our customers’ in-store experience through continued relocation and remodels in major cities and key markets. It includes the remodeling or expansion of approximately 125 existing stores, as well as the planned opening of approximately 65 new stores, including the continued expansion of our community-based “power” store format, which provides a pinnacle retail experience that delivers connected customer interactions through service, experience, product, and a sense of community. Capital spending for our expansion in Asia is also included. The capital plan for 2020 also includes $123 million for digital and other investments, including additional enhancements to our mobile and web platforms, expanding data analytics capabilities, and supply chain initiatives. We have the ability to revise and reschedule much of the anticipated capital expenditure program should our financial position require it.</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940" w:type="dxa"/>
            <w:vAlign w:val="bottom"/>
            <w:gridSpan w:val="2"/>
          </w:tcPr>
          <w:p>
            <w:pPr>
              <w:spacing w:after="0"/>
              <w:rPr>
                <w:sz w:val="20"/>
                <w:szCs w:val="20"/>
                <w:color w:val="auto"/>
              </w:rPr>
            </w:pPr>
            <w:r>
              <w:rPr>
                <w:rFonts w:ascii="Arial" w:cs="Arial" w:eastAsia="Arial" w:hAnsi="Arial"/>
                <w:sz w:val="17"/>
                <w:szCs w:val="17"/>
                <w:i w:val="1"/>
                <w:iCs w:val="1"/>
                <w:color w:val="auto"/>
              </w:rPr>
              <w:t>Operating Activities</w:t>
            </w:r>
          </w:p>
        </w:tc>
        <w:tc>
          <w:tcPr>
            <w:tcW w:w="1120" w:type="dxa"/>
            <w:vAlign w:val="bottom"/>
          </w:tcPr>
          <w:p>
            <w:pPr>
              <w:spacing w:after="0"/>
              <w:rPr>
                <w:sz w:val="16"/>
                <w:szCs w:val="16"/>
                <w:color w:val="auto"/>
              </w:rPr>
            </w:pPr>
          </w:p>
        </w:tc>
        <w:tc>
          <w:tcPr>
            <w:tcW w:w="1060" w:type="dxa"/>
            <w:vAlign w:val="bottom"/>
            <w:vMerge w:val="restart"/>
          </w:tcPr>
          <w:p>
            <w:pPr>
              <w:jc w:val="right"/>
              <w:ind w:right="435"/>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6"/>
                <w:szCs w:val="16"/>
                <w:color w:val="auto"/>
              </w:rPr>
            </w:pPr>
          </w:p>
        </w:tc>
        <w:tc>
          <w:tcPr>
            <w:tcW w:w="1220" w:type="dxa"/>
            <w:vAlign w:val="bottom"/>
            <w:vMerge w:val="restart"/>
          </w:tcPr>
          <w:p>
            <w:pPr>
              <w:jc w:val="right"/>
              <w:ind w:right="435"/>
              <w:spacing w:after="0"/>
              <w:rPr>
                <w:sz w:val="20"/>
                <w:szCs w:val="20"/>
                <w:color w:val="auto"/>
              </w:rPr>
            </w:pPr>
            <w:r>
              <w:rPr>
                <w:rFonts w:ascii="Arial" w:cs="Arial" w:eastAsia="Arial" w:hAnsi="Arial"/>
                <w:sz w:val="17"/>
                <w:szCs w:val="17"/>
                <w:color w:val="auto"/>
              </w:rPr>
              <w:t>2018</w:t>
            </w:r>
          </w:p>
        </w:tc>
        <w:tc>
          <w:tcPr>
            <w:tcW w:w="360" w:type="dxa"/>
            <w:vAlign w:val="bottom"/>
          </w:tcPr>
          <w:p>
            <w:pPr>
              <w:spacing w:after="0"/>
              <w:rPr>
                <w:sz w:val="16"/>
                <w:szCs w:val="16"/>
                <w:color w:val="auto"/>
              </w:rPr>
            </w:pPr>
          </w:p>
        </w:tc>
        <w:tc>
          <w:tcPr>
            <w:tcW w:w="980" w:type="dxa"/>
            <w:vAlign w:val="bottom"/>
            <w:vMerge w:val="restart"/>
          </w:tcPr>
          <w:p>
            <w:pPr>
              <w:jc w:val="right"/>
              <w:ind w:right="35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210"/>
        </w:trPr>
        <w:tc>
          <w:tcPr>
            <w:tcW w:w="1460" w:type="dxa"/>
            <w:vAlign w:val="bottom"/>
            <w:tcBorders>
              <w:top w:val="single" w:sz="8" w:color="auto"/>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115"/>
              <w:spacing w:after="0" w:line="183" w:lineRule="exact"/>
              <w:rPr>
                <w:sz w:val="20"/>
                <w:szCs w:val="20"/>
                <w:color w:val="auto"/>
              </w:rPr>
            </w:pPr>
            <w:r>
              <w:rPr>
                <w:rFonts w:ascii="Arial" w:cs="Arial" w:eastAsia="Arial" w:hAnsi="Arial"/>
                <w:sz w:val="17"/>
                <w:szCs w:val="17"/>
                <w:color w:val="auto"/>
                <w:w w:val="99"/>
              </w:rPr>
              <w:t>($ in millions)</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operating activities</w:t>
            </w: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696</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781</w:t>
            </w:r>
          </w:p>
        </w:tc>
        <w:tc>
          <w:tcPr>
            <w:tcW w:w="3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189"/>
        </w:trPr>
        <w:tc>
          <w:tcPr>
            <w:tcW w:w="394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 Change</w:t>
            </w:r>
          </w:p>
        </w:tc>
        <w:tc>
          <w:tcPr>
            <w:tcW w:w="11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(85)</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(32)</w:t>
            </w:r>
          </w:p>
        </w:tc>
        <w:tc>
          <w:tcPr>
            <w:tcW w:w="3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amount provided by operating activities reflects income adjusted for non-cash items and working capital changes. Adjustments to net income for non-cash items include non-cash impairment charges, non-cash gains, depreciation and amortization, deferred income taxes, and share-based compensation expense.</w:t>
      </w:r>
    </w:p>
    <w:p>
      <w:pPr>
        <w:spacing w:after="0" w:line="16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decline in cash provided by operating activities in 2019 compared with the prior year reflected a decrease to net income and lower inflows associated with changes in working capital. During 2019, we contributed $55 million to our U.S. qualified pension plan, as compared with $128 million in 2018. The amounts and timing of pension contributions are dependent on several factors, including asset performance.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7"/>
          <w:szCs w:val="17"/>
          <w:color w:val="auto"/>
        </w:rPr>
        <w:t>Cash paid for income taxes was $201 million, $184 million, and $237 million for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49" w:right="1440" w:bottom="1440" w:gutter="0" w:footer="0" w:header="0"/>
        </w:sectPr>
      </w:pPr>
    </w:p>
    <w:bookmarkStart w:id="30" w:name="page31"/>
    <w:bookmarkEnd w:id="30"/>
    <w:tbl>
      <w:tblPr>
        <w:tblLayout w:type="fixed"/>
        <w:tblInd w:w="60" w:type="dxa"/>
        <w:tblCellMar>
          <w:top w:w="0" w:type="dxa"/>
          <w:left w:w="0" w:type="dxa"/>
          <w:bottom w:w="0" w:type="dxa"/>
          <w:right w:w="0" w:type="dxa"/>
        </w:tblCellMar>
      </w:tblPr>
      <w:tr>
        <w:trPr>
          <w:trHeight w:val="195"/>
        </w:trPr>
        <w:tc>
          <w:tcPr>
            <w:tcW w:w="3740" w:type="dxa"/>
            <w:vAlign w:val="bottom"/>
            <w:gridSpan w:val="2"/>
          </w:tcPr>
          <w:p>
            <w:pPr>
              <w:spacing w:after="0"/>
              <w:rPr>
                <w:sz w:val="20"/>
                <w:szCs w:val="20"/>
                <w:color w:val="auto"/>
              </w:rPr>
            </w:pPr>
            <w:r>
              <w:rPr>
                <w:rFonts w:ascii="Arial" w:cs="Arial" w:eastAsia="Arial" w:hAnsi="Arial"/>
                <w:sz w:val="17"/>
                <w:szCs w:val="17"/>
                <w:i w:val="1"/>
                <w:iCs w:val="1"/>
                <w:color w:val="auto"/>
              </w:rPr>
              <w:t>Investing Activities</w:t>
            </w:r>
          </w:p>
        </w:tc>
        <w:tc>
          <w:tcPr>
            <w:tcW w:w="1320" w:type="dxa"/>
            <w:vAlign w:val="bottom"/>
          </w:tcPr>
          <w:p>
            <w:pPr>
              <w:spacing w:after="0"/>
              <w:rPr>
                <w:sz w:val="16"/>
                <w:szCs w:val="16"/>
                <w:color w:val="auto"/>
              </w:rPr>
            </w:pPr>
          </w:p>
        </w:tc>
        <w:tc>
          <w:tcPr>
            <w:tcW w:w="1060" w:type="dxa"/>
            <w:vAlign w:val="bottom"/>
            <w:vMerge w:val="restart"/>
          </w:tcPr>
          <w:p>
            <w:pPr>
              <w:jc w:val="right"/>
              <w:ind w:right="435"/>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6"/>
                <w:szCs w:val="16"/>
                <w:color w:val="auto"/>
              </w:rPr>
            </w:pPr>
          </w:p>
        </w:tc>
        <w:tc>
          <w:tcPr>
            <w:tcW w:w="1220" w:type="dxa"/>
            <w:vAlign w:val="bottom"/>
            <w:vMerge w:val="restart"/>
          </w:tcPr>
          <w:p>
            <w:pPr>
              <w:jc w:val="right"/>
              <w:ind w:right="435"/>
              <w:spacing w:after="0"/>
              <w:rPr>
                <w:sz w:val="20"/>
                <w:szCs w:val="20"/>
                <w:color w:val="auto"/>
              </w:rPr>
            </w:pPr>
            <w:r>
              <w:rPr>
                <w:rFonts w:ascii="Arial" w:cs="Arial" w:eastAsia="Arial" w:hAnsi="Arial"/>
                <w:sz w:val="17"/>
                <w:szCs w:val="17"/>
                <w:color w:val="auto"/>
              </w:rPr>
              <w:t>2018</w:t>
            </w:r>
          </w:p>
        </w:tc>
        <w:tc>
          <w:tcPr>
            <w:tcW w:w="360" w:type="dxa"/>
            <w:vAlign w:val="bottom"/>
          </w:tcPr>
          <w:p>
            <w:pPr>
              <w:spacing w:after="0"/>
              <w:rPr>
                <w:sz w:val="16"/>
                <w:szCs w:val="16"/>
                <w:color w:val="auto"/>
              </w:rPr>
            </w:pPr>
          </w:p>
        </w:tc>
        <w:tc>
          <w:tcPr>
            <w:tcW w:w="980" w:type="dxa"/>
            <w:vAlign w:val="bottom"/>
            <w:vMerge w:val="restart"/>
          </w:tcPr>
          <w:p>
            <w:pPr>
              <w:jc w:val="right"/>
              <w:ind w:right="35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209"/>
        </w:trPr>
        <w:tc>
          <w:tcPr>
            <w:tcW w:w="1400" w:type="dxa"/>
            <w:vAlign w:val="bottom"/>
            <w:tcBorders>
              <w:top w:val="single" w:sz="8" w:color="auto"/>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115"/>
              <w:spacing w:after="0" w:line="183" w:lineRule="exact"/>
              <w:rPr>
                <w:sz w:val="20"/>
                <w:szCs w:val="20"/>
                <w:color w:val="auto"/>
              </w:rPr>
            </w:pPr>
            <w:r>
              <w:rPr>
                <w:rFonts w:ascii="Arial" w:cs="Arial" w:eastAsia="Arial" w:hAnsi="Arial"/>
                <w:sz w:val="17"/>
                <w:szCs w:val="17"/>
                <w:color w:val="auto"/>
                <w:w w:val="99"/>
              </w:rPr>
              <w:t>($ in millions)</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13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235</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274</w:t>
            </w:r>
          </w:p>
        </w:tc>
        <w:tc>
          <w:tcPr>
            <w:tcW w:w="3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189"/>
        </w:trPr>
        <w:tc>
          <w:tcPr>
            <w:tcW w:w="374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 Change</w:t>
            </w:r>
          </w:p>
        </w:tc>
        <w:tc>
          <w:tcPr>
            <w:tcW w:w="13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(39)</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(15)</w:t>
            </w:r>
          </w:p>
        </w:tc>
        <w:tc>
          <w:tcPr>
            <w:tcW w:w="3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Capital expenditures in 2019 of $187 million was consistent with the prior year. During 2019, we completed the remodeling or relocation of 148 existing stores and opened 67 new stores.</w:t>
      </w:r>
    </w:p>
    <w:p>
      <w:pPr>
        <w:spacing w:after="0" w:line="14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Investing activities for 2019 included $50 million related to various minority investments as compared with $89 million in 2018. Also included in 2019 is $2 million related to the sale of a building. Investing activities for 2018 included $2 million received in insurance proceeds for fixed assets from an insurance claim relating to Hurricane Maria.</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760" w:type="dxa"/>
            <w:vAlign w:val="bottom"/>
            <w:gridSpan w:val="2"/>
          </w:tcPr>
          <w:p>
            <w:pPr>
              <w:spacing w:after="0"/>
              <w:rPr>
                <w:sz w:val="20"/>
                <w:szCs w:val="20"/>
                <w:color w:val="auto"/>
              </w:rPr>
            </w:pPr>
            <w:r>
              <w:rPr>
                <w:rFonts w:ascii="Arial" w:cs="Arial" w:eastAsia="Arial" w:hAnsi="Arial"/>
                <w:sz w:val="17"/>
                <w:szCs w:val="17"/>
                <w:i w:val="1"/>
                <w:iCs w:val="1"/>
                <w:color w:val="auto"/>
              </w:rPr>
              <w:t>Financing Activities</w:t>
            </w:r>
          </w:p>
        </w:tc>
        <w:tc>
          <w:tcPr>
            <w:tcW w:w="1300" w:type="dxa"/>
            <w:vAlign w:val="bottom"/>
          </w:tcPr>
          <w:p>
            <w:pPr>
              <w:spacing w:after="0"/>
              <w:rPr>
                <w:sz w:val="16"/>
                <w:szCs w:val="16"/>
                <w:color w:val="auto"/>
              </w:rPr>
            </w:pPr>
          </w:p>
        </w:tc>
        <w:tc>
          <w:tcPr>
            <w:tcW w:w="1060" w:type="dxa"/>
            <w:vAlign w:val="bottom"/>
            <w:vMerge w:val="restart"/>
          </w:tcPr>
          <w:p>
            <w:pPr>
              <w:jc w:val="right"/>
              <w:ind w:right="435"/>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6"/>
                <w:szCs w:val="16"/>
                <w:color w:val="auto"/>
              </w:rPr>
            </w:pPr>
          </w:p>
        </w:tc>
        <w:tc>
          <w:tcPr>
            <w:tcW w:w="1220" w:type="dxa"/>
            <w:vAlign w:val="bottom"/>
            <w:vMerge w:val="restart"/>
          </w:tcPr>
          <w:p>
            <w:pPr>
              <w:jc w:val="right"/>
              <w:ind w:right="435"/>
              <w:spacing w:after="0"/>
              <w:rPr>
                <w:sz w:val="20"/>
                <w:szCs w:val="20"/>
                <w:color w:val="auto"/>
              </w:rPr>
            </w:pPr>
            <w:r>
              <w:rPr>
                <w:rFonts w:ascii="Arial" w:cs="Arial" w:eastAsia="Arial" w:hAnsi="Arial"/>
                <w:sz w:val="17"/>
                <w:szCs w:val="17"/>
                <w:color w:val="auto"/>
              </w:rPr>
              <w:t>2018</w:t>
            </w:r>
          </w:p>
        </w:tc>
        <w:tc>
          <w:tcPr>
            <w:tcW w:w="360" w:type="dxa"/>
            <w:vAlign w:val="bottom"/>
          </w:tcPr>
          <w:p>
            <w:pPr>
              <w:spacing w:after="0"/>
              <w:rPr>
                <w:sz w:val="16"/>
                <w:szCs w:val="16"/>
                <w:color w:val="auto"/>
              </w:rPr>
            </w:pPr>
          </w:p>
        </w:tc>
        <w:tc>
          <w:tcPr>
            <w:tcW w:w="980" w:type="dxa"/>
            <w:vAlign w:val="bottom"/>
            <w:vMerge w:val="restart"/>
          </w:tcPr>
          <w:p>
            <w:pPr>
              <w:jc w:val="right"/>
              <w:ind w:right="35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209"/>
        </w:trPr>
        <w:tc>
          <w:tcPr>
            <w:tcW w:w="1460" w:type="dxa"/>
            <w:vAlign w:val="bottom"/>
            <w:tcBorders>
              <w:top w:val="single" w:sz="8" w:color="auto"/>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115"/>
              <w:spacing w:after="0" w:line="183" w:lineRule="exact"/>
              <w:rPr>
                <w:sz w:val="20"/>
                <w:szCs w:val="20"/>
                <w:color w:val="auto"/>
              </w:rPr>
            </w:pPr>
            <w:r>
              <w:rPr>
                <w:rFonts w:ascii="Arial" w:cs="Arial" w:eastAsia="Arial" w:hAnsi="Arial"/>
                <w:sz w:val="17"/>
                <w:szCs w:val="17"/>
                <w:color w:val="auto"/>
                <w:w w:val="99"/>
              </w:rPr>
              <w:t>($ in millions)</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Net cash used in financing activities</w:t>
            </w:r>
          </w:p>
        </w:tc>
        <w:tc>
          <w:tcPr>
            <w:tcW w:w="13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493</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527</w:t>
            </w:r>
          </w:p>
        </w:tc>
        <w:tc>
          <w:tcPr>
            <w:tcW w:w="3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616</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 Change</w:t>
            </w:r>
          </w:p>
        </w:tc>
        <w:tc>
          <w:tcPr>
            <w:tcW w:w="13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(34)</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(89)</w:t>
            </w:r>
          </w:p>
        </w:tc>
        <w:tc>
          <w:tcPr>
            <w:tcW w:w="3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Cash used in financing activities consisted primarily of our return to shareholders initiatives, including our share repurchase program and cash dividend payments, as follows:</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6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2018</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2017</w:t>
            </w:r>
          </w:p>
        </w:tc>
      </w:tr>
      <w:tr>
        <w:trPr>
          <w:trHeight w:val="183"/>
        </w:trPr>
        <w:tc>
          <w:tcPr>
            <w:tcW w:w="3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75"/>
              <w:spacing w:after="0" w:line="183" w:lineRule="exact"/>
              <w:rPr>
                <w:sz w:val="20"/>
                <w:szCs w:val="20"/>
                <w:color w:val="auto"/>
              </w:rPr>
            </w:pPr>
            <w:r>
              <w:rPr>
                <w:rFonts w:ascii="Arial" w:cs="Arial" w:eastAsia="Arial" w:hAnsi="Arial"/>
                <w:sz w:val="17"/>
                <w:szCs w:val="17"/>
                <w:color w:val="auto"/>
              </w:rPr>
              <w:t>in millions)</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3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 repurchases</w:t>
            </w:r>
          </w:p>
        </w:tc>
        <w:tc>
          <w:tcPr>
            <w:tcW w:w="14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335</w:t>
            </w:r>
          </w:p>
        </w:tc>
        <w:tc>
          <w:tcPr>
            <w:tcW w:w="4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375</w:t>
            </w:r>
          </w:p>
        </w:tc>
        <w:tc>
          <w:tcPr>
            <w:tcW w:w="4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467</w:t>
            </w:r>
          </w:p>
        </w:tc>
      </w:tr>
      <w:tr>
        <w:trPr>
          <w:trHeight w:val="189"/>
        </w:trPr>
        <w:tc>
          <w:tcPr>
            <w:tcW w:w="36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Dividends paid on common stock</w:t>
            </w:r>
          </w:p>
        </w:tc>
        <w:tc>
          <w:tcPr>
            <w:tcW w:w="1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164</w:t>
            </w: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158</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157</w:t>
            </w:r>
          </w:p>
        </w:tc>
      </w:tr>
      <w:tr>
        <w:trPr>
          <w:trHeight w:val="183"/>
        </w:trPr>
        <w:tc>
          <w:tcPr>
            <w:tcW w:w="36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returned to shareholders</w:t>
            </w:r>
          </w:p>
        </w:tc>
        <w:tc>
          <w:tcPr>
            <w:tcW w:w="14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499</w:t>
            </w:r>
          </w:p>
        </w:tc>
        <w:tc>
          <w:tcPr>
            <w:tcW w:w="4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533</w:t>
            </w:r>
          </w:p>
        </w:tc>
        <w:tc>
          <w:tcPr>
            <w:tcW w:w="40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624</w:t>
            </w: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During 2019, we repurchased 8,374,523 shares of our common stock under our share repurchase programs. Additionally, we declared and paid dividends representing a quarterly rate of $0.38 per share in 2019. During 2019, we paid $2 million to satisfy tax withholding obligations relating to the vesting of share-based equity awards. Offsetting the amounts above were proceeds received from the issuance of common stock and treasury stock in connection with the employee stock programs of $8 million for 2019.</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u w:val="single" w:color="auto"/>
          <w:color w:val="auto"/>
        </w:rPr>
        <w:t>Free Cash Flow (non-GAAP measure)</w:t>
      </w:r>
    </w:p>
    <w:p>
      <w:pPr>
        <w:spacing w:after="0" w:line="17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In addition to net cash provided by operating activities, we use free cash flow as a useful measure of performance and as an indication of our financial strength and our ability to generate cash. We define free cash flow as net cash provided by operating activities less capital expenditures (which is classified as an investing activity). We believe the presentation of free cash flow is relevant and useful for investors because it allows investors to evaluate the cash generated from underlying operations in a manner similar to the method used by management. Free cash flow is not defined under U.S. GAAP. Therefore, it should not be considered a substitute for income or cash flow data prepared in accordance with U.S. GAAP and may not be comparable to similarly titled measures used by other companies. It should not be inferred that the entire free cash flow amount is available for discretionary expenditures.</w:t>
      </w:r>
    </w:p>
    <w:p>
      <w:pPr>
        <w:spacing w:after="0" w:line="16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The following table presents a reconciliation of net cash flow provided by operating activities, the most directly comparable U.S. GAAP financial measure, to free cash flow.</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2018</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2017</w:t>
            </w:r>
          </w:p>
        </w:tc>
      </w:tr>
      <w:tr>
        <w:trPr>
          <w:trHeight w:val="183"/>
        </w:trPr>
        <w:tc>
          <w:tcPr>
            <w:tcW w:w="3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135"/>
              <w:spacing w:after="0" w:line="183" w:lineRule="exact"/>
              <w:rPr>
                <w:sz w:val="20"/>
                <w:szCs w:val="20"/>
                <w:color w:val="auto"/>
              </w:rPr>
            </w:pPr>
            <w:r>
              <w:rPr>
                <w:rFonts w:ascii="Arial" w:cs="Arial" w:eastAsia="Arial" w:hAnsi="Arial"/>
                <w:sz w:val="17"/>
                <w:szCs w:val="17"/>
                <w:color w:val="auto"/>
                <w:w w:val="99"/>
              </w:rPr>
              <w:t>in millions)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9"/>
        </w:trPr>
        <w:tc>
          <w:tcPr>
            <w:tcW w:w="3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cash provided by operating activities</w:t>
            </w:r>
          </w:p>
        </w:tc>
        <w:tc>
          <w:tcPr>
            <w:tcW w:w="11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696</w:t>
            </w:r>
          </w:p>
        </w:tc>
        <w:tc>
          <w:tcPr>
            <w:tcW w:w="4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781</w:t>
            </w:r>
          </w:p>
        </w:tc>
        <w:tc>
          <w:tcPr>
            <w:tcW w:w="3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813</w:t>
            </w:r>
          </w:p>
        </w:tc>
      </w:tr>
      <w:tr>
        <w:trPr>
          <w:trHeight w:val="189"/>
        </w:trPr>
        <w:tc>
          <w:tcPr>
            <w:tcW w:w="39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Capital expenditures</w:t>
            </w:r>
          </w:p>
        </w:tc>
        <w:tc>
          <w:tcPr>
            <w:tcW w:w="1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(187)</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(187)</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(274)</w:t>
            </w:r>
          </w:p>
        </w:tc>
      </w:tr>
      <w:tr>
        <w:trPr>
          <w:trHeight w:val="182"/>
        </w:trPr>
        <w:tc>
          <w:tcPr>
            <w:tcW w:w="39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Free cash flow</w:t>
            </w:r>
          </w:p>
        </w:tc>
        <w:tc>
          <w:tcPr>
            <w:tcW w:w="11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509</w:t>
            </w:r>
          </w:p>
        </w:tc>
        <w:tc>
          <w:tcPr>
            <w:tcW w:w="4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594</w:t>
            </w:r>
          </w:p>
        </w:tc>
        <w:tc>
          <w:tcPr>
            <w:tcW w:w="3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539</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2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7"/>
          <w:szCs w:val="17"/>
          <w:b w:val="1"/>
          <w:bCs w:val="1"/>
          <w:color w:val="auto"/>
        </w:rPr>
        <w:t>Capital Structure</w:t>
      </w:r>
    </w:p>
    <w:p>
      <w:pPr>
        <w:spacing w:after="0" w:line="176" w:lineRule="exact"/>
        <w:rPr>
          <w:sz w:val="20"/>
          <w:szCs w:val="20"/>
          <w:color w:val="auto"/>
        </w:rPr>
      </w:pPr>
    </w:p>
    <w:p>
      <w:pPr>
        <w:jc w:val="both"/>
        <w:ind w:left="60" w:right="59"/>
        <w:spacing w:after="0" w:line="232" w:lineRule="auto"/>
        <w:rPr>
          <w:sz w:val="20"/>
          <w:szCs w:val="20"/>
          <w:color w:val="auto"/>
        </w:rPr>
      </w:pPr>
      <w:r>
        <w:rPr>
          <w:rFonts w:ascii="Arial" w:cs="Arial" w:eastAsia="Arial" w:hAnsi="Arial"/>
          <w:sz w:val="17"/>
          <w:szCs w:val="17"/>
          <w:color w:val="auto"/>
        </w:rPr>
        <w:t>On May 19, 2016, we entered into a credit agreement with our banks (“2016 Credit Agreement”). The 2016 Credit Agreement provides for a $400 million asset-based revolving credit facility maturing on May 19, 2021. During the term of the 2016 Credit Agreement, we may also increase the commitments by up to $200 million, subject to customary conditions. Interest is determined, at our option, by the federal funds rate plus a margin of 0.125 percent to 0.375 percent, or a Eurodollar rate, determined by reference to LIBOR, plus a margin of 1.125 percent to</w:t>
      </w:r>
    </w:p>
    <w:p>
      <w:pPr>
        <w:jc w:val="both"/>
        <w:ind w:left="60" w:right="79"/>
        <w:spacing w:after="0" w:line="243" w:lineRule="auto"/>
        <w:rPr>
          <w:sz w:val="20"/>
          <w:szCs w:val="20"/>
          <w:color w:val="auto"/>
        </w:rPr>
      </w:pPr>
      <w:r>
        <w:rPr>
          <w:rFonts w:ascii="Arial" w:cs="Arial" w:eastAsia="Arial" w:hAnsi="Arial"/>
          <w:sz w:val="17"/>
          <w:szCs w:val="17"/>
          <w:color w:val="auto"/>
        </w:rPr>
        <w:t>1.375 percent depending on availability under the 2016 Credit Agreement. In addition, we are paying a commitment fee of 0.20 percent per annum on the unused portion of the commitments.</w:t>
      </w:r>
    </w:p>
    <w:p>
      <w:pPr>
        <w:spacing w:after="0" w:line="158"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The 2016 Credit Agreement provides for a security interest in certain of our domestic store assets, including inventory assets, accounts receivable, cash deposits, and certain insurance proceeds. We are not required to comply with any financial covenants unless certain events of default have occurred and are continuing, or if availability under the 2016 Credit Agreement does not exceed the greater of $40 million and 10 percent of the Loan Cap (as defined in the 2016 Credit Agreement). There are no restrictions relating to the payment of dividends and share repurchases as long as no default or event of default has occurred and the aggregate principal amount of unused commitments under the 2016 Credit Agreement is not less than 15 percent of the lesser of the aggregate amount of the commitments and the Borrowing Base, determined as of the preceding fiscal month and on a proforma basis for the following six fiscal months.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i w:val="1"/>
          <w:iCs w:val="1"/>
          <w:u w:val="single" w:color="auto"/>
          <w:color w:val="auto"/>
        </w:rPr>
        <w:t>Credit Rating</w:t>
      </w:r>
    </w:p>
    <w:p>
      <w:pPr>
        <w:spacing w:after="0" w:line="187"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As of March 27, 2020, our corporate credit ratings from Standard &amp; Poor’s and Moody’s Investors Service are BB+ and Ba1, respectively. In addition, Moody’s Investors Service has rated our senior unsecured notes Ba2.</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7"/>
          <w:szCs w:val="17"/>
          <w:i w:val="1"/>
          <w:iCs w:val="1"/>
          <w:u w:val="single" w:color="auto"/>
          <w:color w:val="auto"/>
        </w:rPr>
        <w:t>Debt Capitalization and Equity (non-GAAP Measure)</w:t>
      </w:r>
    </w:p>
    <w:p>
      <w:pPr>
        <w:spacing w:after="0" w:line="18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Historically for purposes of calculating debt to total capitalization, we included the present value of operating lease commitments in total net debt and therefore it was considered a non-GAAP financial measure. Operating leases are the primary financing vehicle used to fund store expansion and, therefore, we believed that the inclusion of the present value of operating leases in total debt was useful to our investors, credit constituencies, and rating agencies. In 2019, we adopted the new lease accounting standard which requires leases to be recorded on the balance sheet.</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60" w:type="dxa"/>
            <w:vAlign w:val="bottom"/>
            <w:gridSpan w:val="3"/>
          </w:tcPr>
          <w:p>
            <w:pPr>
              <w:jc w:val="right"/>
              <w:ind w:right="795"/>
              <w:spacing w:after="0" w:line="183" w:lineRule="exact"/>
              <w:rPr>
                <w:sz w:val="20"/>
                <w:szCs w:val="20"/>
                <w:color w:val="auto"/>
              </w:rPr>
            </w:pPr>
            <w:r>
              <w:rPr>
                <w:rFonts w:ascii="Arial" w:cs="Arial" w:eastAsia="Arial" w:hAnsi="Arial"/>
                <w:sz w:val="17"/>
                <w:szCs w:val="17"/>
                <w:color w:val="auto"/>
              </w:rPr>
              <w:t>($ in millions)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Long-term debt</w:t>
            </w:r>
          </w:p>
        </w:tc>
        <w:tc>
          <w:tcPr>
            <w:tcW w:w="5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122</w:t>
            </w:r>
          </w:p>
        </w:tc>
        <w:tc>
          <w:tcPr>
            <w:tcW w:w="2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tcPr>
          <w:p>
            <w:pPr>
              <w:spacing w:after="0" w:line="189" w:lineRule="exact"/>
              <w:rPr>
                <w:sz w:val="20"/>
                <w:szCs w:val="20"/>
                <w:color w:val="auto"/>
              </w:rPr>
            </w:pPr>
            <w:r>
              <w:rPr>
                <w:rFonts w:ascii="Arial" w:cs="Arial" w:eastAsia="Arial" w:hAnsi="Arial"/>
                <w:sz w:val="17"/>
                <w:szCs w:val="17"/>
                <w:color w:val="auto"/>
              </w:rPr>
              <w:t>Operating lease liability</w:t>
            </w:r>
          </w:p>
        </w:tc>
        <w:tc>
          <w:tcPr>
            <w:tcW w:w="540" w:type="dxa"/>
            <w:vAlign w:val="bottom"/>
          </w:tcPr>
          <w:p>
            <w:pPr>
              <w:spacing w:after="0"/>
              <w:rPr>
                <w:sz w:val="16"/>
                <w:szCs w:val="16"/>
                <w:color w:val="auto"/>
              </w:rPr>
            </w:pPr>
          </w:p>
        </w:tc>
        <w:tc>
          <w:tcPr>
            <w:tcW w:w="106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3,196</w:t>
            </w:r>
          </w:p>
        </w:tc>
        <w:tc>
          <w:tcPr>
            <w:tcW w:w="280" w:type="dxa"/>
            <w:vAlign w:val="bottom"/>
          </w:tcPr>
          <w:p>
            <w:pPr>
              <w:spacing w:after="0"/>
              <w:rPr>
                <w:sz w:val="16"/>
                <w:szCs w:val="16"/>
                <w:color w:val="auto"/>
              </w:rPr>
            </w:pPr>
          </w:p>
        </w:tc>
        <w:tc>
          <w:tcPr>
            <w:tcW w:w="102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5"/>
                <w:szCs w:val="15"/>
                <w:color w:val="auto"/>
              </w:rPr>
              <w:t xml:space="preserve">Present value of operating leases </w:t>
            </w:r>
            <w:r>
              <w:rPr>
                <w:rFonts w:ascii="Arial" w:cs="Arial" w:eastAsia="Arial" w:hAnsi="Arial"/>
                <w:sz w:val="21"/>
                <w:szCs w:val="21"/>
                <w:color w:val="auto"/>
                <w:vertAlign w:val="superscript"/>
              </w:rPr>
              <w:t>(1)</w:t>
            </w:r>
          </w:p>
        </w:tc>
        <w:tc>
          <w:tcPr>
            <w:tcW w:w="5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3,447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80" w:type="dxa"/>
            <w:vAlign w:val="bottom"/>
          </w:tcPr>
          <w:p>
            <w:pPr>
              <w:ind w:left="80"/>
              <w:spacing w:after="0" w:line="183" w:lineRule="exact"/>
              <w:rPr>
                <w:sz w:val="20"/>
                <w:szCs w:val="20"/>
                <w:color w:val="auto"/>
              </w:rPr>
            </w:pPr>
            <w:r>
              <w:rPr>
                <w:rFonts w:ascii="Arial" w:cs="Arial" w:eastAsia="Arial" w:hAnsi="Arial"/>
                <w:sz w:val="17"/>
                <w:szCs w:val="17"/>
                <w:color w:val="auto"/>
              </w:rPr>
              <w:t>Total debt including the present value of operating leases</w:t>
            </w:r>
          </w:p>
        </w:tc>
        <w:tc>
          <w:tcPr>
            <w:tcW w:w="540" w:type="dxa"/>
            <w:vAlign w:val="bottom"/>
          </w:tcPr>
          <w:p>
            <w:pPr>
              <w:spacing w:after="0"/>
              <w:rPr>
                <w:sz w:val="15"/>
                <w:szCs w:val="15"/>
                <w:color w:val="auto"/>
              </w:rPr>
            </w:pPr>
          </w:p>
        </w:tc>
        <w:tc>
          <w:tcPr>
            <w:tcW w:w="1060" w:type="dxa"/>
            <w:vAlign w:val="bottom"/>
          </w:tcPr>
          <w:p>
            <w:pPr>
              <w:jc w:val="right"/>
              <w:ind w:right="175"/>
              <w:spacing w:after="0" w:line="183" w:lineRule="exact"/>
              <w:rPr>
                <w:sz w:val="20"/>
                <w:szCs w:val="20"/>
                <w:color w:val="auto"/>
              </w:rPr>
            </w:pPr>
            <w:r>
              <w:rPr>
                <w:rFonts w:ascii="Arial" w:cs="Arial" w:eastAsia="Arial" w:hAnsi="Arial"/>
                <w:sz w:val="17"/>
                <w:szCs w:val="17"/>
                <w:b w:val="1"/>
                <w:bCs w:val="1"/>
                <w:color w:val="auto"/>
              </w:rPr>
              <w:t>3,318</w:t>
            </w:r>
          </w:p>
        </w:tc>
        <w:tc>
          <w:tcPr>
            <w:tcW w:w="280" w:type="dxa"/>
            <w:vAlign w:val="bottom"/>
          </w:tcPr>
          <w:p>
            <w:pPr>
              <w:spacing w:after="0"/>
              <w:rPr>
                <w:sz w:val="15"/>
                <w:szCs w:val="15"/>
                <w:color w:val="auto"/>
              </w:rPr>
            </w:pPr>
          </w:p>
        </w:tc>
        <w:tc>
          <w:tcPr>
            <w:tcW w:w="1020" w:type="dxa"/>
            <w:vAlign w:val="bottom"/>
          </w:tcPr>
          <w:p>
            <w:pPr>
              <w:jc w:val="right"/>
              <w:ind w:right="135"/>
              <w:spacing w:after="0" w:line="183" w:lineRule="exact"/>
              <w:rPr>
                <w:sz w:val="20"/>
                <w:szCs w:val="20"/>
                <w:color w:val="auto"/>
              </w:rPr>
            </w:pPr>
            <w:r>
              <w:rPr>
                <w:rFonts w:ascii="Arial" w:cs="Arial" w:eastAsia="Arial" w:hAnsi="Arial"/>
                <w:sz w:val="17"/>
                <w:szCs w:val="17"/>
                <w:color w:val="auto"/>
              </w:rPr>
              <w:t>3,571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w:t>
            </w:r>
          </w:p>
        </w:tc>
        <w:tc>
          <w:tcPr>
            <w:tcW w:w="5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Cash and cash equivalents</w:t>
            </w: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b w:val="1"/>
                <w:bCs w:val="1"/>
                <w:color w:val="auto"/>
              </w:rPr>
              <w:t>907</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80" w:type="dxa"/>
            <w:vAlign w:val="bottom"/>
            <w:shd w:val="clear" w:color="auto" w:fill="CCEEFF"/>
          </w:tcPr>
          <w:p>
            <w:pPr>
              <w:ind w:left="80"/>
              <w:spacing w:after="0" w:line="183" w:lineRule="exact"/>
              <w:rPr>
                <w:sz w:val="20"/>
                <w:szCs w:val="20"/>
                <w:color w:val="auto"/>
              </w:rPr>
            </w:pPr>
            <w:r>
              <w:rPr>
                <w:rFonts w:ascii="Arial" w:cs="Arial" w:eastAsia="Arial" w:hAnsi="Arial"/>
                <w:sz w:val="17"/>
                <w:szCs w:val="17"/>
                <w:color w:val="auto"/>
              </w:rPr>
              <w:t>Total net debt including the present value of operating leases</w:t>
            </w: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2,411</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2,680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Shareholders’ equity</w:t>
            </w: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b w:val="1"/>
                <w:bCs w:val="1"/>
                <w:color w:val="auto"/>
              </w:rPr>
              <w:t>2,473</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color w:val="auto"/>
              </w:rPr>
              <w:t>2,506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capitalization</w:t>
            </w:r>
          </w:p>
        </w:tc>
        <w:tc>
          <w:tcPr>
            <w:tcW w:w="5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4,884</w:t>
            </w:r>
          </w:p>
        </w:tc>
        <w:tc>
          <w:tcPr>
            <w:tcW w:w="2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5,186</w:t>
            </w:r>
          </w:p>
        </w:tc>
        <w:tc>
          <w:tcPr>
            <w:tcW w:w="0" w:type="dxa"/>
            <w:vAlign w:val="bottom"/>
          </w:tcPr>
          <w:p>
            <w:pPr>
              <w:spacing w:after="0"/>
              <w:rPr>
                <w:sz w:val="1"/>
                <w:szCs w:val="1"/>
                <w:color w:val="auto"/>
              </w:rPr>
            </w:pPr>
          </w:p>
        </w:tc>
      </w:tr>
      <w:tr>
        <w:trPr>
          <w:trHeight w:val="20"/>
        </w:trPr>
        <w:tc>
          <w:tcPr>
            <w:tcW w:w="6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980" w:type="dxa"/>
            <w:vAlign w:val="bottom"/>
            <w:tcBorders>
              <w:top w:val="single" w:sz="8" w:color="auto"/>
            </w:tcBorders>
          </w:tcPr>
          <w:p>
            <w:pPr>
              <w:spacing w:after="0" w:line="170" w:lineRule="exact"/>
              <w:rPr>
                <w:sz w:val="20"/>
                <w:szCs w:val="20"/>
                <w:color w:val="auto"/>
              </w:rPr>
            </w:pPr>
            <w:r>
              <w:rPr>
                <w:rFonts w:ascii="Arial" w:cs="Arial" w:eastAsia="Arial" w:hAnsi="Arial"/>
                <w:sz w:val="17"/>
                <w:szCs w:val="17"/>
                <w:color w:val="auto"/>
              </w:rPr>
              <w:t>Total net debt capitalization percent</w:t>
            </w:r>
          </w:p>
        </w:tc>
        <w:tc>
          <w:tcPr>
            <w:tcW w:w="5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b w:val="1"/>
                <w:bCs w:val="1"/>
                <w:color w:val="auto"/>
              </w:rPr>
              <w:t>— %</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 net debt capitalization percent including the present value of operating</w:t>
            </w:r>
          </w:p>
        </w:tc>
        <w:tc>
          <w:tcPr>
            <w:tcW w:w="5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49.4 %</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leases</w:t>
            </w:r>
          </w:p>
        </w:tc>
        <w:tc>
          <w:tcPr>
            <w:tcW w:w="5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80" w:right="79" w:hanging="330"/>
        <w:spacing w:after="0" w:line="258" w:lineRule="auto"/>
        <w:tabs>
          <w:tab w:leader="none" w:pos="3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determination of the capitalized operating leases prior to the adoption of the new lease accounting standard was calculated on a lease-by-lease basis and represented the best estimate of the lease liability using various discount rates ranging from 1.7 percent to 14.5 percent.</w:t>
      </w:r>
    </w:p>
    <w:p>
      <w:pPr>
        <w:spacing w:after="0" w:line="13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Including the present value of operating leases, net debt capitalization percent decreased by 230 basis points in 2019, primarily reflecting shorter average lease terms, additional stores that are operating on a month-to-month basis, additional stores paying variable rents, and foreign exchange fluctuations.</w:t>
      </w:r>
    </w:p>
    <w:p>
      <w:pPr>
        <w:spacing w:after="0" w:line="200" w:lineRule="exact"/>
        <w:rPr>
          <w:sz w:val="20"/>
          <w:szCs w:val="20"/>
          <w:color w:val="auto"/>
        </w:rPr>
      </w:pPr>
    </w:p>
    <w:p>
      <w:pPr>
        <w:spacing w:after="0" w:line="32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76" w:lineRule="exact"/>
        <w:rPr>
          <w:sz w:val="20"/>
          <w:szCs w:val="20"/>
          <w:color w:val="auto"/>
        </w:rPr>
      </w:pPr>
    </w:p>
    <w:p>
      <w:pPr>
        <w:ind w:left="60" w:right="59"/>
        <w:spacing w:after="0" w:line="243" w:lineRule="auto"/>
        <w:rPr>
          <w:sz w:val="20"/>
          <w:szCs w:val="20"/>
          <w:color w:val="auto"/>
        </w:rPr>
      </w:pPr>
      <w:r>
        <w:rPr>
          <w:rFonts w:ascii="Arial" w:cs="Arial" w:eastAsia="Arial" w:hAnsi="Arial"/>
          <w:sz w:val="17"/>
          <w:szCs w:val="17"/>
          <w:color w:val="auto"/>
        </w:rPr>
        <w:t>The following tables represent the scheduled maturities of our contractual cash obligations and other commercial commitments at February 1, 2020:</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40"/>
              <w:spacing w:after="0"/>
              <w:rPr>
                <w:sz w:val="20"/>
                <w:szCs w:val="20"/>
                <w:color w:val="auto"/>
              </w:rPr>
            </w:pPr>
            <w:r>
              <w:rPr>
                <w:rFonts w:ascii="Arial" w:cs="Arial" w:eastAsia="Arial" w:hAnsi="Arial"/>
                <w:sz w:val="17"/>
                <w:szCs w:val="17"/>
                <w:b w:val="1"/>
                <w:bCs w:val="1"/>
                <w:color w:val="auto"/>
              </w:rPr>
              <w:t>Payments Due by Fiscal Period</w:t>
            </w:r>
          </w:p>
        </w:tc>
        <w:tc>
          <w:tcPr>
            <w:tcW w:w="860" w:type="dxa"/>
            <w:vAlign w:val="bottom"/>
            <w:tcBorders>
              <w:bottom w:val="single" w:sz="8" w:color="auto"/>
            </w:tcBorders>
          </w:tcPr>
          <w:p>
            <w:pPr>
              <w:spacing w:after="0"/>
              <w:rPr>
                <w:sz w:val="18"/>
                <w:szCs w:val="18"/>
                <w:color w:val="auto"/>
              </w:rPr>
            </w:pPr>
          </w:p>
        </w:tc>
      </w:tr>
      <w:tr>
        <w:trPr>
          <w:trHeight w:val="156"/>
        </w:trPr>
        <w:tc>
          <w:tcPr>
            <w:tcW w:w="2900" w:type="dxa"/>
            <w:vAlign w:val="bottom"/>
          </w:tcPr>
          <w:p>
            <w:pPr>
              <w:ind w:left="20"/>
              <w:spacing w:after="0" w:line="156" w:lineRule="exact"/>
              <w:rPr>
                <w:sz w:val="20"/>
                <w:szCs w:val="20"/>
                <w:color w:val="auto"/>
              </w:rPr>
            </w:pPr>
            <w:r>
              <w:rPr>
                <w:rFonts w:ascii="Arial" w:cs="Arial" w:eastAsia="Arial" w:hAnsi="Arial"/>
                <w:sz w:val="17"/>
                <w:szCs w:val="17"/>
                <w:b w:val="1"/>
                <w:bCs w:val="1"/>
                <w:color w:val="auto"/>
              </w:rPr>
              <w:t>Contractual Cash</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5"/>
              <w:spacing w:after="0" w:line="156" w:lineRule="exact"/>
              <w:rPr>
                <w:sz w:val="20"/>
                <w:szCs w:val="20"/>
                <w:color w:val="auto"/>
              </w:rPr>
            </w:pPr>
            <w:r>
              <w:rPr>
                <w:rFonts w:ascii="Arial" w:cs="Arial" w:eastAsia="Arial" w:hAnsi="Arial"/>
                <w:sz w:val="17"/>
                <w:szCs w:val="17"/>
                <w:b w:val="1"/>
                <w:bCs w:val="1"/>
                <w:color w:val="auto"/>
                <w:w w:val="98"/>
              </w:rPr>
              <w:t>2025 and</w:t>
            </w:r>
          </w:p>
        </w:tc>
      </w:tr>
      <w:tr>
        <w:trPr>
          <w:trHeight w:val="215"/>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Obligations</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Total</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2020</w:t>
            </w:r>
          </w:p>
        </w:tc>
        <w:tc>
          <w:tcPr>
            <w:tcW w:w="130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b w:val="1"/>
                <w:bCs w:val="1"/>
                <w:color w:val="auto"/>
              </w:rPr>
              <w:t>2021-2022</w:t>
            </w:r>
          </w:p>
        </w:tc>
        <w:tc>
          <w:tcPr>
            <w:tcW w:w="114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7"/>
                <w:szCs w:val="17"/>
                <w:b w:val="1"/>
                <w:bCs w:val="1"/>
                <w:color w:val="auto"/>
              </w:rPr>
              <w:t>2023-2024</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Beyond</w:t>
            </w:r>
          </w:p>
        </w:tc>
      </w:tr>
      <w:tr>
        <w:trPr>
          <w:trHeight w:val="183"/>
        </w:trPr>
        <w:tc>
          <w:tcPr>
            <w:tcW w:w="2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gridSpan w:val="2"/>
          </w:tcPr>
          <w:p>
            <w:pPr>
              <w:ind w:left="220"/>
              <w:spacing w:after="0" w:line="183" w:lineRule="exact"/>
              <w:rPr>
                <w:sz w:val="20"/>
                <w:szCs w:val="20"/>
                <w:color w:val="auto"/>
              </w:rPr>
            </w:pPr>
            <w:r>
              <w:rPr>
                <w:rFonts w:ascii="Arial" w:cs="Arial" w:eastAsia="Arial" w:hAnsi="Arial"/>
                <w:sz w:val="17"/>
                <w:szCs w:val="17"/>
                <w:color w:val="auto"/>
              </w:rPr>
              <w:t>($ in millions)</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9"/>
        </w:trPr>
        <w:tc>
          <w:tcPr>
            <w:tcW w:w="2900" w:type="dxa"/>
            <w:vAlign w:val="bottom"/>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Long-term debt </w:t>
            </w:r>
            <w:r>
              <w:rPr>
                <w:rFonts w:ascii="Arial" w:cs="Arial" w:eastAsia="Arial" w:hAnsi="Arial"/>
                <w:sz w:val="21"/>
                <w:szCs w:val="21"/>
                <w:color w:val="auto"/>
                <w:vertAlign w:val="superscript"/>
              </w:rPr>
              <w:t>(1)</w:t>
            </w:r>
          </w:p>
        </w:tc>
        <w:tc>
          <w:tcPr>
            <w:tcW w:w="5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140</w:t>
            </w: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w:t>
            </w:r>
          </w:p>
        </w:tc>
        <w:tc>
          <w:tcPr>
            <w:tcW w:w="52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129</w:t>
            </w:r>
          </w:p>
        </w:tc>
        <w:tc>
          <w:tcPr>
            <w:tcW w:w="46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900" w:type="dxa"/>
            <w:vAlign w:val="bottom"/>
          </w:tcPr>
          <w:p>
            <w:pPr>
              <w:ind w:left="20"/>
              <w:spacing w:after="0" w:line="189" w:lineRule="exact"/>
              <w:rPr>
                <w:sz w:val="20"/>
                <w:szCs w:val="20"/>
                <w:color w:val="auto"/>
              </w:rPr>
            </w:pPr>
            <w:r>
              <w:rPr>
                <w:rFonts w:ascii="Arial" w:cs="Arial" w:eastAsia="Arial" w:hAnsi="Arial"/>
                <w:sz w:val="15"/>
                <w:szCs w:val="15"/>
                <w:color w:val="auto"/>
              </w:rPr>
              <w:t xml:space="preserve">Operating leases </w:t>
            </w:r>
            <w:r>
              <w:rPr>
                <w:rFonts w:ascii="Arial" w:cs="Arial" w:eastAsia="Arial" w:hAnsi="Arial"/>
                <w:sz w:val="21"/>
                <w:szCs w:val="21"/>
                <w:color w:val="auto"/>
                <w:vertAlign w:val="superscript"/>
              </w:rPr>
              <w:t>(2)</w:t>
            </w:r>
          </w:p>
        </w:tc>
        <w:tc>
          <w:tcPr>
            <w:tcW w:w="560" w:type="dxa"/>
            <w:vAlign w:val="bottom"/>
          </w:tcPr>
          <w:p>
            <w:pPr>
              <w:spacing w:after="0"/>
              <w:rPr>
                <w:sz w:val="16"/>
                <w:szCs w:val="16"/>
                <w:color w:val="auto"/>
              </w:rPr>
            </w:pPr>
          </w:p>
        </w:tc>
        <w:tc>
          <w:tcPr>
            <w:tcW w:w="8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3,889</w:t>
            </w:r>
          </w:p>
        </w:tc>
        <w:tc>
          <w:tcPr>
            <w:tcW w:w="3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673</w:t>
            </w:r>
          </w:p>
        </w:tc>
        <w:tc>
          <w:tcPr>
            <w:tcW w:w="520" w:type="dxa"/>
            <w:vAlign w:val="bottom"/>
          </w:tcPr>
          <w:p>
            <w:pPr>
              <w:spacing w:after="0"/>
              <w:rPr>
                <w:sz w:val="16"/>
                <w:szCs w:val="16"/>
                <w:color w:val="auto"/>
              </w:rPr>
            </w:pPr>
          </w:p>
        </w:tc>
        <w:tc>
          <w:tcPr>
            <w:tcW w:w="7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1,185</w:t>
            </w:r>
          </w:p>
        </w:tc>
        <w:tc>
          <w:tcPr>
            <w:tcW w:w="460" w:type="dxa"/>
            <w:vAlign w:val="bottom"/>
          </w:tcPr>
          <w:p>
            <w:pPr>
              <w:spacing w:after="0"/>
              <w:rPr>
                <w:sz w:val="16"/>
                <w:szCs w:val="16"/>
                <w:color w:val="auto"/>
              </w:rPr>
            </w:pPr>
          </w:p>
        </w:tc>
        <w:tc>
          <w:tcPr>
            <w:tcW w:w="6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902</w:t>
            </w: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1,129</w:t>
            </w:r>
          </w:p>
        </w:tc>
      </w:tr>
      <w:tr>
        <w:trPr>
          <w:trHeight w:val="189"/>
        </w:trPr>
        <w:tc>
          <w:tcPr>
            <w:tcW w:w="29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Other long-term liabilities </w:t>
            </w:r>
            <w:r>
              <w:rPr>
                <w:rFonts w:ascii="Arial" w:cs="Arial" w:eastAsia="Arial" w:hAnsi="Arial"/>
                <w:sz w:val="21"/>
                <w:szCs w:val="21"/>
                <w:color w:val="auto"/>
                <w:vertAlign w:val="superscript"/>
              </w:rPr>
              <w:t>(3)</w:t>
            </w:r>
          </w:p>
        </w:tc>
        <w:tc>
          <w:tcPr>
            <w:tcW w:w="5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10</w:t>
            </w:r>
          </w:p>
        </w:tc>
        <w:tc>
          <w:tcPr>
            <w:tcW w:w="3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5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3"/>
        </w:trPr>
        <w:tc>
          <w:tcPr>
            <w:tcW w:w="29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contractual cash obligations</w:t>
            </w:r>
          </w:p>
        </w:tc>
        <w:tc>
          <w:tcPr>
            <w:tcW w:w="5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4,039</w:t>
            </w:r>
          </w:p>
        </w:tc>
        <w:tc>
          <w:tcPr>
            <w:tcW w:w="3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691</w:t>
            </w:r>
          </w:p>
        </w:tc>
        <w:tc>
          <w:tcPr>
            <w:tcW w:w="52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1,314</w:t>
            </w:r>
          </w:p>
        </w:tc>
        <w:tc>
          <w:tcPr>
            <w:tcW w:w="46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905</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1,129</w:t>
            </w: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80" w:right="79" w:hanging="330"/>
        <w:spacing w:after="0" w:line="238" w:lineRule="auto"/>
        <w:tabs>
          <w:tab w:leader="none" w:pos="3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 xml:space="preserve">The amounts presented above represent the contractual maturities of our long-term debt, including interest; however, it excludes the unamortized gain of the interest rate swap of $6 million. Additional information is included in the </w:t>
      </w:r>
      <w:r>
        <w:rPr>
          <w:rFonts w:ascii="Arial" w:cs="Arial" w:eastAsia="Arial" w:hAnsi="Arial"/>
          <w:sz w:val="13"/>
          <w:szCs w:val="13"/>
          <w:i w:val="1"/>
          <w:iCs w:val="1"/>
          <w:color w:val="auto"/>
        </w:rPr>
        <w:t>Long-Term Debt</w:t>
      </w:r>
      <w:r>
        <w:rPr>
          <w:rFonts w:ascii="Arial" w:cs="Arial" w:eastAsia="Arial" w:hAnsi="Arial"/>
          <w:sz w:val="13"/>
          <w:szCs w:val="13"/>
          <w:color w:val="auto"/>
        </w:rPr>
        <w:t xml:space="preserve"> note under “Item 8. Consolidated Financial Statements and Supplementary Data.”</w:t>
      </w:r>
    </w:p>
    <w:p>
      <w:pPr>
        <w:jc w:val="both"/>
        <w:ind w:left="380" w:right="79" w:hanging="330"/>
        <w:spacing w:after="0" w:line="238" w:lineRule="auto"/>
        <w:tabs>
          <w:tab w:leader="none" w:pos="3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amounts presented represent the future minimum lease payments under non-cancellable operating leases. Amounts do not include $35 million of minimum future payments for leases which have not yet commenced. In addition to minimum rent, certain of our leases require the payment of additional costs for insurance, maintenance, percentage rent, and other costs. These additional amounts are excluded from the table of contractual commitments as the amounts are variable and the timing and/or amounts of such payments are unknown.</w:t>
      </w:r>
    </w:p>
    <w:p>
      <w:pPr>
        <w:spacing w:after="0" w:line="1" w:lineRule="exact"/>
        <w:rPr>
          <w:rFonts w:ascii="Arial" w:cs="Arial" w:eastAsia="Arial" w:hAnsi="Arial"/>
          <w:sz w:val="13"/>
          <w:szCs w:val="13"/>
          <w:color w:val="auto"/>
        </w:rPr>
      </w:pPr>
    </w:p>
    <w:p>
      <w:pPr>
        <w:jc w:val="both"/>
        <w:ind w:left="380" w:right="79" w:hanging="330"/>
        <w:spacing w:after="0" w:line="245" w:lineRule="auto"/>
        <w:tabs>
          <w:tab w:leader="none" w:pos="3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Other liabilities in the Consolidated Balance Sheet at February 1, 2020 primarily comprise income taxes, workers’ compensation and general liability reserves, and various other accruals. Other than these liabilities, other amounts (including our unrecognized tax benefits of $45 million) have been excluded from the table above as the timing and/or amount of any cash payment is uncertain. Remaining amounts for which the timing is known have not been included as they are minimal and not useful to the presentation.</w:t>
      </w: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40"/>
              <w:spacing w:after="0"/>
              <w:rPr>
                <w:sz w:val="20"/>
                <w:szCs w:val="20"/>
                <w:color w:val="auto"/>
              </w:rPr>
            </w:pPr>
            <w:r>
              <w:rPr>
                <w:rFonts w:ascii="Arial" w:cs="Arial" w:eastAsia="Arial" w:hAnsi="Arial"/>
                <w:sz w:val="17"/>
                <w:szCs w:val="17"/>
                <w:b w:val="1"/>
                <w:bCs w:val="1"/>
                <w:color w:val="auto"/>
              </w:rPr>
              <w:t>Payments Due by Fiscal Period</w:t>
            </w:r>
          </w:p>
        </w:tc>
        <w:tc>
          <w:tcPr>
            <w:tcW w:w="880" w:type="dxa"/>
            <w:vAlign w:val="bottom"/>
            <w:tcBorders>
              <w:bottom w:val="single" w:sz="8" w:color="auto"/>
            </w:tcBorders>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line="156" w:lineRule="exact"/>
              <w:rPr>
                <w:sz w:val="20"/>
                <w:szCs w:val="20"/>
                <w:color w:val="auto"/>
              </w:rPr>
            </w:pPr>
            <w:r>
              <w:rPr>
                <w:rFonts w:ascii="Arial" w:cs="Arial" w:eastAsia="Arial" w:hAnsi="Arial"/>
                <w:sz w:val="17"/>
                <w:szCs w:val="17"/>
                <w:b w:val="1"/>
                <w:bCs w:val="1"/>
                <w:color w:val="auto"/>
              </w:rPr>
              <w:t>Other Commercial</w:t>
            </w: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center"/>
              <w:ind w:right="35"/>
              <w:spacing w:after="0" w:line="156" w:lineRule="exact"/>
              <w:rPr>
                <w:sz w:val="20"/>
                <w:szCs w:val="20"/>
                <w:color w:val="auto"/>
              </w:rPr>
            </w:pPr>
            <w:r>
              <w:rPr>
                <w:rFonts w:ascii="Arial" w:cs="Arial" w:eastAsia="Arial" w:hAnsi="Arial"/>
                <w:sz w:val="17"/>
                <w:szCs w:val="17"/>
                <w:b w:val="1"/>
                <w:bCs w:val="1"/>
                <w:color w:val="auto"/>
                <w:w w:val="98"/>
              </w:rPr>
              <w:t>2025 and</w:t>
            </w:r>
          </w:p>
        </w:tc>
      </w:tr>
      <w:tr>
        <w:trPr>
          <w:trHeight w:val="215"/>
        </w:trPr>
        <w:tc>
          <w:tcPr>
            <w:tcW w:w="3020" w:type="dxa"/>
            <w:vAlign w:val="bottom"/>
            <w:gridSpan w:val="2"/>
          </w:tcPr>
          <w:p>
            <w:pPr>
              <w:spacing w:after="0"/>
              <w:rPr>
                <w:sz w:val="20"/>
                <w:szCs w:val="20"/>
                <w:color w:val="auto"/>
              </w:rPr>
            </w:pPr>
            <w:r>
              <w:rPr>
                <w:rFonts w:ascii="Arial" w:cs="Arial" w:eastAsia="Arial" w:hAnsi="Arial"/>
                <w:sz w:val="17"/>
                <w:szCs w:val="17"/>
                <w:b w:val="1"/>
                <w:bCs w:val="1"/>
                <w:color w:val="auto"/>
              </w:rPr>
              <w:t>Commitments</w:t>
            </w:r>
          </w:p>
        </w:tc>
        <w:tc>
          <w:tcPr>
            <w:tcW w:w="420" w:type="dxa"/>
            <w:vAlign w:val="bottom"/>
          </w:tcPr>
          <w:p>
            <w:pPr>
              <w:spacing w:after="0"/>
              <w:rPr>
                <w:sz w:val="18"/>
                <w:szCs w:val="18"/>
                <w:color w:val="auto"/>
              </w:rPr>
            </w:pPr>
          </w:p>
        </w:tc>
        <w:tc>
          <w:tcPr>
            <w:tcW w:w="840" w:type="dxa"/>
            <w:vAlign w:val="bottom"/>
          </w:tcPr>
          <w:p>
            <w:pPr>
              <w:jc w:val="right"/>
              <w:ind w:right="275"/>
              <w:spacing w:after="0"/>
              <w:rPr>
                <w:sz w:val="20"/>
                <w:szCs w:val="20"/>
                <w:color w:val="auto"/>
              </w:rPr>
            </w:pPr>
            <w:r>
              <w:rPr>
                <w:rFonts w:ascii="Arial" w:cs="Arial" w:eastAsia="Arial" w:hAnsi="Arial"/>
                <w:sz w:val="17"/>
                <w:szCs w:val="17"/>
                <w:b w:val="1"/>
                <w:bCs w:val="1"/>
                <w:color w:val="auto"/>
              </w:rPr>
              <w:t>Total</w:t>
            </w:r>
          </w:p>
        </w:tc>
        <w:tc>
          <w:tcPr>
            <w:tcW w:w="32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7"/>
                <w:szCs w:val="17"/>
                <w:b w:val="1"/>
                <w:bCs w:val="1"/>
                <w:color w:val="auto"/>
              </w:rPr>
              <w:t>2020</w:t>
            </w:r>
          </w:p>
        </w:tc>
        <w:tc>
          <w:tcPr>
            <w:tcW w:w="1320" w:type="dxa"/>
            <w:vAlign w:val="bottom"/>
            <w:gridSpan w:val="2"/>
          </w:tcPr>
          <w:p>
            <w:pPr>
              <w:jc w:val="right"/>
              <w:ind w:right="115"/>
              <w:spacing w:after="0"/>
              <w:rPr>
                <w:sz w:val="20"/>
                <w:szCs w:val="20"/>
                <w:color w:val="auto"/>
              </w:rPr>
            </w:pPr>
            <w:r>
              <w:rPr>
                <w:rFonts w:ascii="Arial" w:cs="Arial" w:eastAsia="Arial" w:hAnsi="Arial"/>
                <w:sz w:val="17"/>
                <w:szCs w:val="17"/>
                <w:b w:val="1"/>
                <w:bCs w:val="1"/>
                <w:color w:val="auto"/>
              </w:rPr>
              <w:t>2021-2022</w:t>
            </w:r>
          </w:p>
        </w:tc>
        <w:tc>
          <w:tcPr>
            <w:tcW w:w="1120" w:type="dxa"/>
            <w:vAlign w:val="bottom"/>
            <w:gridSpan w:val="2"/>
          </w:tcPr>
          <w:p>
            <w:pPr>
              <w:jc w:val="right"/>
              <w:ind w:right="75"/>
              <w:spacing w:after="0"/>
              <w:rPr>
                <w:sz w:val="20"/>
                <w:szCs w:val="20"/>
                <w:color w:val="auto"/>
              </w:rPr>
            </w:pPr>
            <w:r>
              <w:rPr>
                <w:rFonts w:ascii="Arial" w:cs="Arial" w:eastAsia="Arial" w:hAnsi="Arial"/>
                <w:sz w:val="17"/>
                <w:szCs w:val="17"/>
                <w:b w:val="1"/>
                <w:bCs w:val="1"/>
                <w:color w:val="auto"/>
              </w:rPr>
              <w:t>2023-2024</w:t>
            </w:r>
          </w:p>
        </w:tc>
        <w:tc>
          <w:tcPr>
            <w:tcW w:w="240" w:type="dxa"/>
            <w:vAlign w:val="bottom"/>
          </w:tcPr>
          <w:p>
            <w:pPr>
              <w:spacing w:after="0"/>
              <w:rPr>
                <w:sz w:val="18"/>
                <w:szCs w:val="18"/>
                <w:color w:val="auto"/>
              </w:rPr>
            </w:pPr>
          </w:p>
        </w:tc>
        <w:tc>
          <w:tcPr>
            <w:tcW w:w="880" w:type="dxa"/>
            <w:vAlign w:val="bottom"/>
          </w:tcPr>
          <w:p>
            <w:pPr>
              <w:jc w:val="center"/>
              <w:ind w:right="35"/>
              <w:spacing w:after="0"/>
              <w:rPr>
                <w:sz w:val="20"/>
                <w:szCs w:val="20"/>
                <w:color w:val="auto"/>
              </w:rPr>
            </w:pPr>
            <w:r>
              <w:rPr>
                <w:rFonts w:ascii="Arial" w:cs="Arial" w:eastAsia="Arial" w:hAnsi="Arial"/>
                <w:sz w:val="17"/>
                <w:szCs w:val="17"/>
                <w:b w:val="1"/>
                <w:bCs w:val="1"/>
                <w:color w:val="auto"/>
              </w:rPr>
              <w:t>Beyond</w:t>
            </w:r>
          </w:p>
        </w:tc>
      </w:tr>
      <w:tr>
        <w:trPr>
          <w:trHeight w:val="183"/>
        </w:trPr>
        <w:tc>
          <w:tcPr>
            <w:tcW w:w="20" w:type="dxa"/>
            <w:vAlign w:val="bottom"/>
          </w:tcPr>
          <w:p>
            <w:pPr>
              <w:spacing w:after="0"/>
              <w:rPr>
                <w:sz w:val="15"/>
                <w:szCs w:val="15"/>
                <w:color w:val="auto"/>
              </w:rPr>
            </w:pPr>
          </w:p>
        </w:tc>
        <w:tc>
          <w:tcPr>
            <w:tcW w:w="30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220"/>
              <w:spacing w:after="0" w:line="183" w:lineRule="exact"/>
              <w:rPr>
                <w:sz w:val="20"/>
                <w:szCs w:val="20"/>
                <w:color w:val="auto"/>
              </w:rPr>
            </w:pPr>
            <w:r>
              <w:rPr>
                <w:rFonts w:ascii="Arial" w:cs="Arial" w:eastAsia="Arial" w:hAnsi="Arial"/>
                <w:sz w:val="17"/>
                <w:szCs w:val="17"/>
                <w:color w:val="auto"/>
              </w:rPr>
              <w:t>($ in millions)</w:t>
            </w:r>
          </w:p>
        </w:tc>
        <w:tc>
          <w:tcPr>
            <w:tcW w:w="4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00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Purchase commitments </w:t>
            </w:r>
            <w:r>
              <w:rPr>
                <w:rFonts w:ascii="Arial" w:cs="Arial" w:eastAsia="Arial" w:hAnsi="Arial"/>
                <w:sz w:val="21"/>
                <w:szCs w:val="21"/>
                <w:color w:val="auto"/>
                <w:vertAlign w:val="superscript"/>
              </w:rPr>
              <w:t>(1)</w:t>
            </w:r>
          </w:p>
        </w:tc>
        <w:tc>
          <w:tcPr>
            <w:tcW w:w="4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2,598</w:t>
            </w: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2,598</w:t>
            </w:r>
          </w:p>
        </w:tc>
        <w:tc>
          <w:tcPr>
            <w:tcW w:w="5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ind w:left="640"/>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3000" w:type="dxa"/>
            <w:vAlign w:val="bottom"/>
            <w:tcBorders>
              <w:bottom w:val="single" w:sz="8" w:color="auto"/>
            </w:tcBorders>
          </w:tcPr>
          <w:p>
            <w:pPr>
              <w:spacing w:after="0" w:line="189"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1"/>
                <w:szCs w:val="21"/>
                <w:color w:val="auto"/>
                <w:vertAlign w:val="superscript"/>
              </w:rPr>
              <w:t>(2)</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369</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143</w:t>
            </w:r>
          </w:p>
        </w:tc>
        <w:tc>
          <w:tcPr>
            <w:tcW w:w="5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205</w:t>
            </w: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21</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40"/>
              <w:spacing w:after="0" w:line="189" w:lineRule="exact"/>
              <w:rPr>
                <w:sz w:val="20"/>
                <w:szCs w:val="20"/>
                <w:color w:val="auto"/>
              </w:rPr>
            </w:pPr>
            <w:r>
              <w:rPr>
                <w:rFonts w:ascii="Arial" w:cs="Arial" w:eastAsia="Arial" w:hAnsi="Arial"/>
                <w:sz w:val="17"/>
                <w:szCs w:val="17"/>
                <w:color w:val="auto"/>
              </w:rPr>
              <w:t>—</w:t>
            </w:r>
          </w:p>
        </w:tc>
      </w:tr>
      <w:tr>
        <w:trPr>
          <w:trHeight w:val="183"/>
        </w:trPr>
        <w:tc>
          <w:tcPr>
            <w:tcW w:w="20" w:type="dxa"/>
            <w:vAlign w:val="bottom"/>
          </w:tcPr>
          <w:p>
            <w:pPr>
              <w:spacing w:after="0"/>
              <w:rPr>
                <w:sz w:val="15"/>
                <w:szCs w:val="15"/>
                <w:color w:val="auto"/>
              </w:rPr>
            </w:pPr>
          </w:p>
        </w:tc>
        <w:tc>
          <w:tcPr>
            <w:tcW w:w="30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other commercial commitments</w:t>
            </w:r>
          </w:p>
        </w:tc>
        <w:tc>
          <w:tcPr>
            <w:tcW w:w="4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2,967</w:t>
            </w:r>
          </w:p>
        </w:tc>
        <w:tc>
          <w:tcPr>
            <w:tcW w:w="3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2,741</w:t>
            </w:r>
          </w:p>
        </w:tc>
        <w:tc>
          <w:tcPr>
            <w:tcW w:w="580" w:type="dxa"/>
            <w:vAlign w:val="bottom"/>
            <w:tcBorders>
              <w:bottom w:val="single" w:sz="8" w:color="auto"/>
            </w:tcBorders>
            <w:shd w:val="clear" w:color="auto" w:fill="CCEEFF"/>
          </w:tcPr>
          <w:p>
            <w:pPr>
              <w:ind w:left="240"/>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205</w:t>
            </w:r>
          </w:p>
        </w:tc>
        <w:tc>
          <w:tcPr>
            <w:tcW w:w="480" w:type="dxa"/>
            <w:vAlign w:val="bottom"/>
            <w:tcBorders>
              <w:bottom w:val="single" w:sz="8" w:color="auto"/>
            </w:tcBorders>
            <w:shd w:val="clear" w:color="auto" w:fill="CCEEFF"/>
          </w:tcPr>
          <w:p>
            <w:pPr>
              <w:jc w:val="right"/>
              <w:ind w:right="235"/>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21</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ind w:left="640"/>
              <w:spacing w:after="0" w:line="183" w:lineRule="exact"/>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80" w:right="79" w:hanging="330"/>
        <w:spacing w:after="0" w:line="248" w:lineRule="auto"/>
        <w:tabs>
          <w:tab w:leader="none" w:pos="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open purchase orders, as well as other commitments for merchandise purchases, at February 1, 2020. We are obligated under the terms of purchase orders; however, we are generally able to renegotiate the timing and quantity of these orders with certain suppliers in response to shifts in consumer preferences or other factors.</w:t>
      </w:r>
    </w:p>
    <w:p>
      <w:pPr>
        <w:spacing w:after="0" w:line="9" w:lineRule="exact"/>
        <w:rPr>
          <w:rFonts w:ascii="Arial" w:cs="Arial" w:eastAsia="Arial" w:hAnsi="Arial"/>
          <w:sz w:val="13"/>
          <w:szCs w:val="13"/>
          <w:color w:val="auto"/>
        </w:rPr>
      </w:pPr>
    </w:p>
    <w:p>
      <w:pPr>
        <w:ind w:left="380" w:hanging="330"/>
        <w:spacing w:after="0"/>
        <w:tabs>
          <w:tab w:leader="none" w:pos="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payments required by non-merchandise purchase agreements.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Off-Balance Sheet Arrangements</w:t>
      </w:r>
    </w:p>
    <w:p>
      <w:pPr>
        <w:spacing w:after="0" w:line="1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We have not entered into any transactions with unconsolidated entities that expose the Company to material continuing risks, contingent liabilities, or any other obligation under a variable interest in an unconsolidated entity. Also, our financial policies prohibit the use of derivatives for which there is no underlying exposure.</w:t>
      </w:r>
    </w:p>
    <w:p>
      <w:pPr>
        <w:spacing w:after="0" w:line="13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In connection with the sale of various businesses and assets, we may be obligated for certain lease commitments transferred to third parties and pursuant to certain normal representations, warranties, or indemnifications entered into with the purchasers of such businesses or assets. Although the maximum potential amounts for such obligations cannot be readily determined, we believe that the resolution of such contingencies will not significantly affect our consolidated financial position, liquidity, or results of operations. We also operate certain stores for which lease agreements are in the process of being negotiated with landlords. Although there is no contractual commitment to make these payments, it is likely that leases will be executed.</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Critical Accounting Policies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 xml:space="preserve">Our responsibility for integrity and objectivity in the preparation and presentation of the financial statements requires application of appropriate accounting policies. Generally, our accounting policies and methods are those specifically required by U.S. GAAP. Included in the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note in “Item 8. Consolidated Financial Statements and Supplementary Data” is a summary of the most significant accounting policies. In some cases, we are required to calculate amounts based on estimates for matters that are inherently uncertain. We believe the following to be the most critical of those accounting policies that necessitate subjective judgments.</w:t>
      </w:r>
    </w:p>
    <w:p>
      <w:pPr>
        <w:spacing w:after="0" w:line="134"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7"/>
          <w:szCs w:val="17"/>
          <w:i w:val="1"/>
          <w:iCs w:val="1"/>
          <w:u w:val="single" w:color="auto"/>
          <w:color w:val="auto"/>
        </w:rPr>
        <w:t>Merchandise Inventories and Cost of Sales</w:t>
      </w:r>
    </w:p>
    <w:p>
      <w:pPr>
        <w:spacing w:after="0" w:line="160" w:lineRule="exact"/>
        <w:rPr>
          <w:sz w:val="20"/>
          <w:szCs w:val="20"/>
          <w:color w:val="auto"/>
        </w:rPr>
      </w:pPr>
    </w:p>
    <w:p>
      <w:pPr>
        <w:jc w:val="both"/>
        <w:ind w:left="60" w:right="79"/>
        <w:spacing w:after="0" w:line="235" w:lineRule="auto"/>
        <w:rPr>
          <w:sz w:val="20"/>
          <w:szCs w:val="20"/>
          <w:color w:val="auto"/>
        </w:rPr>
      </w:pPr>
      <w:r>
        <w:rPr>
          <w:rFonts w:ascii="Arial" w:cs="Arial" w:eastAsia="Arial" w:hAnsi="Arial"/>
          <w:sz w:val="17"/>
          <w:szCs w:val="17"/>
          <w:color w:val="auto"/>
        </w:rPr>
        <w:t>Merchandise inventories for our stores are valued at the lower of cost or market using the retail inventory method (“RIM”). The RIM is used by retail companies to value inventories at cost and calculate gross margins due to its practicality. Under the RIM, cost is determined by applying a cost-to-retail percentage across groupings of similar items, known as departments. The cost-to-retail percentage is applied to ending inventory at its current owned retail valuation to determine the cost of ending inventory on a department basis.</w:t>
      </w:r>
    </w:p>
    <w:p>
      <w:pPr>
        <w:spacing w:after="0" w:line="136" w:lineRule="exact"/>
        <w:rPr>
          <w:sz w:val="20"/>
          <w:szCs w:val="20"/>
          <w:color w:val="auto"/>
        </w:rPr>
      </w:pPr>
    </w:p>
    <w:p>
      <w:pPr>
        <w:jc w:val="both"/>
        <w:ind w:left="60" w:right="59"/>
        <w:spacing w:after="0"/>
        <w:rPr>
          <w:sz w:val="20"/>
          <w:szCs w:val="20"/>
          <w:color w:val="auto"/>
        </w:rPr>
      </w:pPr>
      <w:r>
        <w:rPr>
          <w:rFonts w:ascii="Arial" w:cs="Arial" w:eastAsia="Arial" w:hAnsi="Arial"/>
          <w:sz w:val="17"/>
          <w:szCs w:val="17"/>
          <w:color w:val="auto"/>
        </w:rPr>
        <w:t>The RIM is a system of averages that requires estimates and assumptions regarding markups, markdowns and shrink, among others, and as such, could result in distortions of inventory amounts. Judgment is required for these estimates and assumptions, as well as to differentiate between promotional and other markdowns that may be required to correctly reflect merchandise inventories at the lower of cost or market. Reserves are established based on current selling prices when the inventory has not been marked down to market. The failure to take permanent markdowns on a timely basis may result in an overstatement of cost under the retail inventory method. The decision to take permanent markdowns includes many factors, including the current retail environment, inventory levels, and the age of the item. We believe this method and its related assumptions, which have been consistently applied, to be reasonable.</w:t>
      </w:r>
    </w:p>
    <w:p>
      <w:pPr>
        <w:spacing w:after="0" w:line="281" w:lineRule="exact"/>
        <w:rPr>
          <w:sz w:val="20"/>
          <w:szCs w:val="20"/>
          <w:color w:val="auto"/>
        </w:rPr>
      </w:pPr>
    </w:p>
    <w:p>
      <w:pPr>
        <w:ind w:left="60"/>
        <w:spacing w:after="0"/>
        <w:rPr>
          <w:sz w:val="20"/>
          <w:szCs w:val="20"/>
          <w:color w:val="auto"/>
        </w:rPr>
      </w:pPr>
      <w:r>
        <w:rPr>
          <w:rFonts w:ascii="Arial" w:cs="Arial" w:eastAsia="Arial" w:hAnsi="Arial"/>
          <w:sz w:val="17"/>
          <w:szCs w:val="17"/>
          <w:i w:val="1"/>
          <w:iCs w:val="1"/>
          <w:u w:val="single" w:color="auto"/>
          <w:color w:val="auto"/>
        </w:rPr>
        <w:t>Leases</w:t>
      </w:r>
    </w:p>
    <w:p>
      <w:pPr>
        <w:spacing w:after="0" w:line="147" w:lineRule="exact"/>
        <w:rPr>
          <w:sz w:val="20"/>
          <w:szCs w:val="20"/>
          <w:color w:val="auto"/>
        </w:rPr>
      </w:pPr>
    </w:p>
    <w:p>
      <w:pPr>
        <w:jc w:val="both"/>
        <w:ind w:left="60" w:right="79"/>
        <w:spacing w:after="0" w:line="236" w:lineRule="auto"/>
        <w:rPr>
          <w:sz w:val="20"/>
          <w:szCs w:val="20"/>
          <w:color w:val="auto"/>
        </w:rPr>
      </w:pPr>
      <w:r>
        <w:rPr>
          <w:rFonts w:ascii="Arial" w:cs="Arial" w:eastAsia="Arial" w:hAnsi="Arial"/>
          <w:sz w:val="17"/>
          <w:szCs w:val="17"/>
          <w:color w:val="auto"/>
        </w:rPr>
        <w:t>We determine if an arrangement is a lease at inception. Right-of-use assets and liabilities are recognized at the commencement date based on the present value of lease payments over the lease term for those arrangements where there is an identified asset and the contract conveys the right to control its use. Our lease term includes options to extend or terminate a lease only when it is reasonably certain that we will exercise that option.</w:t>
      </w:r>
    </w:p>
    <w:p>
      <w:pPr>
        <w:spacing w:after="0" w:line="203"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As most of our leases do not provide an implicit interest rate, we use our incremental borrowing rates based on the remaining lease term to determine the present value of future lease payments. Our incremental borrowing rate for a lease is the rate of interest we would have to pay on a collateralized basis to borrow an amount equal to the lease payments under similar terms. Our incremental borrowing rate is calculated as the weighted average risk-free (sovereign) rate plus a spread to reflect our current unsecured credit rating plus the fees to borrow under our existing credit facility. The weighted average risk-free (sovereign) rates were based on the Treasury BVAL rates curve in Bloomberg. In the regions that we have stores, rates were developed for 3, 5, 7, 10, and 15 years. The weighting given to each region was determined by the number of stores in each region.</w:t>
      </w:r>
    </w:p>
    <w:p>
      <w:pPr>
        <w:spacing w:after="0" w:line="21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spread to reflect our current credit rating represented the spread between U.S. Treasury rates and Bloomberg’s USD BVAL curve for non-financial companies with the Company’s credit rating. The fees to borrow represent the facility fees paid on the Company’s revolving credit facility, which is 20 basis points.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7"/>
          <w:szCs w:val="17"/>
          <w:i w:val="1"/>
          <w:iCs w:val="1"/>
          <w:u w:val="single" w:color="auto"/>
          <w:color w:val="auto"/>
        </w:rPr>
        <w:t>Impairment of Long-Lived Tangible Assets and Right-of-Use Assets</w:t>
      </w:r>
    </w:p>
    <w:p>
      <w:pPr>
        <w:spacing w:after="0" w:line="241"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We perform an impairment review when circumstances indicate that the carrying value of long-lived tangible assets and right-of-use assets may not be recoverable (“a triggering event”). Our policy for determining whether a triggering event exists comprises the evaluation of measurable operating performance criteria and qualitative measures at the lowest level for which identifiable cash flows are largely independent of cash flows of other assets and liabilities, which is at the store level. We also evaluate for triggering events at the banner level. If an impairment review is necessitated by the identification of a triggering event, we determine the fair value of the asset using assumptions predominately identified from our historical performance and our long-range strategic plans. To determine if an impairment exists, we compare the carrying amount of the asset with the estimated future undiscounted cash flows expected to result from the use of the asset group. If the carrying amount of the asset exceeds the estimated undiscounted future cash flows, we measure the amount of the impairment by comparing the carrying amount of the asset group with its estimated fair value. The estimation of fair value is measured by discounting expected future cash flows using a risk adjusted discount rate and by using a market approach to determine current lease rates. Future expected cash flows are based upon estimates that, if not achieved, may result in significantly different results.</w:t>
      </w:r>
    </w:p>
    <w:p>
      <w:pPr>
        <w:spacing w:after="0" w:line="179" w:lineRule="exact"/>
        <w:rPr>
          <w:sz w:val="20"/>
          <w:szCs w:val="20"/>
          <w:color w:val="auto"/>
        </w:rPr>
      </w:pPr>
    </w:p>
    <w:p>
      <w:pPr>
        <w:jc w:val="both"/>
        <w:ind w:left="60" w:right="79"/>
        <w:spacing w:after="0" w:line="235" w:lineRule="auto"/>
        <w:rPr>
          <w:sz w:val="20"/>
          <w:szCs w:val="20"/>
          <w:color w:val="auto"/>
        </w:rPr>
      </w:pPr>
      <w:r>
        <w:rPr>
          <w:rFonts w:ascii="Arial" w:cs="Arial" w:eastAsia="Arial" w:hAnsi="Arial"/>
          <w:sz w:val="17"/>
          <w:szCs w:val="17"/>
          <w:color w:val="auto"/>
        </w:rPr>
        <w:t>During 2019, we conducted an impairment review of the Footaction store-level assets as well as other underperforming stores, including a vacant store that had been previously subleased, and recorded non-cash impairment charges totaling $37 million. Also during 2019, we recorded a $13 million charge related to the closing of our SIX:02 business. During 2018, we conducted an impairment review of the Runners Point, Sidestep, and SIX:02 store-level assets and recorded non-cash impairment charges totaling $4 million.</w:t>
      </w:r>
    </w:p>
    <w:p>
      <w:pPr>
        <w:spacing w:after="0" w:line="19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31"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7"/>
          <w:szCs w:val="17"/>
          <w:i w:val="1"/>
          <w:iCs w:val="1"/>
          <w:u w:val="single" w:color="auto"/>
          <w:color w:val="auto"/>
        </w:rPr>
        <w:t>Recoverability of Goodwill</w:t>
      </w:r>
    </w:p>
    <w:p>
      <w:pPr>
        <w:spacing w:after="0" w:line="241" w:lineRule="exact"/>
        <w:rPr>
          <w:sz w:val="20"/>
          <w:szCs w:val="20"/>
          <w:color w:val="auto"/>
        </w:rPr>
      </w:pPr>
    </w:p>
    <w:p>
      <w:pPr>
        <w:jc w:val="both"/>
        <w:ind w:left="60" w:right="79"/>
        <w:spacing w:after="0" w:line="236" w:lineRule="auto"/>
        <w:rPr>
          <w:sz w:val="20"/>
          <w:szCs w:val="20"/>
          <w:color w:val="auto"/>
        </w:rPr>
      </w:pPr>
      <w:r>
        <w:rPr>
          <w:rFonts w:ascii="Arial" w:cs="Arial" w:eastAsia="Arial" w:hAnsi="Arial"/>
          <w:sz w:val="17"/>
          <w:szCs w:val="17"/>
          <w:color w:val="auto"/>
        </w:rPr>
        <w:t>We review goodwill for impairment annually during the first quarter of each fiscal year or more frequently if impairment indicators arise. The review of impairment consists of either using a qualitative approach to determine whether it is more likely than not that the fair value of the assets is less than their respective carrying values or a two-step impairment test, if necessary.</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In performing the qualitative assessment, we consider many factors in evaluating whether the carrying value of goodwill may not be recoverable, including declines in our stock price and market capitalization in relation to the book value of the Company and macroeconomic conditions affecting retail. If, based on the results of the qualitative assessment, it is concluded that it is not more likely than not that the fair value of a reporting unit exceeds its carrying value, additional quantitative impairment testing is performed using a two-step test.</w:t>
      </w:r>
    </w:p>
    <w:p>
      <w:pPr>
        <w:spacing w:after="0" w:line="177"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The initial step requires that the carrying value of each reporting unit be compared with its estimated fair value. The second step, to evaluate goodwill of a reporting unit for impairment, is only required if the carrying value of that reporting unit exceeds its estimated fair value. We use a discounted cash flow approach to determine the fair value of a reporting unit. The determination of discounted cash flows of the reporting units and assets and liabilities within the reporting units requires significant estimates and assumptions. These estimates and assumptions primarily include, but are not limited to, the discount rate, terminal growth rates, earnings before depreciation and amortization, and capital expenditures forecasts. Due to the inherent uncertainty involved in making these estimates, actual results could differ from those estimates. We evaluate the merits of each significant assumption, both individually and in the aggregate, used to determine the fair value of the reporting units, as well as the fair values of the corresponding assets and liabilities within the reporting units.</w:t>
      </w:r>
    </w:p>
    <w:p>
      <w:pPr>
        <w:spacing w:after="0" w:line="18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In light of the change in our organizational and internal reporting structure in the first quarter of 2019, we reassessed our reporting units and have determined the collective omni-channel banners in North America, EMEA, and Asia Pacific to be the three reporting units at which goodwill is tested. Therefore, goodwill was re-allocated to these reporting units based on their relative fair values. As required, we conducted our annual impairment review both before and after this change. Neither review resulted in the recognition of impairment, as the fair value of each reporting unit significantly exceeded its carrying value.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7"/>
          <w:szCs w:val="17"/>
          <w:i w:val="1"/>
          <w:iCs w:val="1"/>
          <w:u w:val="single" w:color="auto"/>
          <w:color w:val="auto"/>
        </w:rPr>
        <w:t>Pension and Postretirement Liabilities</w:t>
      </w:r>
    </w:p>
    <w:p>
      <w:pPr>
        <w:spacing w:after="0" w:line="22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We review all assumptions used to determine our obligations for pension and postretirement liabilities annually with our independent actuaries, taking into consideration existing and future economic conditions and our intentions with regard to the plans. The assumptions used are:</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520" w:type="dxa"/>
            <w:vAlign w:val="bottom"/>
          </w:tcPr>
          <w:p>
            <w:pPr>
              <w:ind w:left="280"/>
              <w:spacing w:after="0"/>
              <w:rPr>
                <w:sz w:val="20"/>
                <w:szCs w:val="20"/>
                <w:color w:val="auto"/>
              </w:rPr>
            </w:pPr>
            <w:r>
              <w:rPr>
                <w:rFonts w:ascii="Arial" w:cs="Arial" w:eastAsia="Arial" w:hAnsi="Arial"/>
                <w:sz w:val="17"/>
                <w:szCs w:val="17"/>
                <w:color w:val="auto"/>
              </w:rPr>
              <w:t>Long-Term</w:t>
            </w:r>
          </w:p>
        </w:tc>
        <w:tc>
          <w:tcPr>
            <w:tcW w:w="7400" w:type="dxa"/>
            <w:vAlign w:val="bottom"/>
          </w:tcPr>
          <w:p>
            <w:pPr>
              <w:ind w:left="120"/>
              <w:spacing w:after="0"/>
              <w:rPr>
                <w:sz w:val="20"/>
                <w:szCs w:val="20"/>
                <w:color w:val="auto"/>
              </w:rPr>
            </w:pPr>
            <w:r>
              <w:rPr>
                <w:rFonts w:ascii="Arial" w:cs="Arial" w:eastAsia="Arial" w:hAnsi="Arial"/>
                <w:sz w:val="17"/>
                <w:szCs w:val="17"/>
                <w:color w:val="auto"/>
              </w:rPr>
              <w:t>The expected rate of return on plan assets is the long-term rate of return expected to be earned</w:t>
            </w:r>
          </w:p>
        </w:tc>
      </w:tr>
      <w:tr>
        <w:trPr>
          <w:trHeight w:val="189"/>
        </w:trPr>
        <w:tc>
          <w:tcPr>
            <w:tcW w:w="1520" w:type="dxa"/>
            <w:vAlign w:val="bottom"/>
          </w:tcPr>
          <w:p>
            <w:pPr>
              <w:ind w:left="280"/>
              <w:spacing w:after="0" w:line="189" w:lineRule="exact"/>
              <w:rPr>
                <w:sz w:val="20"/>
                <w:szCs w:val="20"/>
                <w:color w:val="auto"/>
              </w:rPr>
            </w:pPr>
            <w:r>
              <w:rPr>
                <w:rFonts w:ascii="Arial" w:cs="Arial" w:eastAsia="Arial" w:hAnsi="Arial"/>
                <w:sz w:val="17"/>
                <w:szCs w:val="17"/>
                <w:color w:val="auto"/>
              </w:rPr>
              <w:t>Rate of Return</w:t>
            </w:r>
          </w:p>
        </w:tc>
        <w:tc>
          <w:tcPr>
            <w:tcW w:w="7400" w:type="dxa"/>
            <w:vAlign w:val="bottom"/>
          </w:tcPr>
          <w:p>
            <w:pPr>
              <w:ind w:left="120"/>
              <w:spacing w:after="0" w:line="189" w:lineRule="exact"/>
              <w:rPr>
                <w:sz w:val="20"/>
                <w:szCs w:val="20"/>
                <w:color w:val="auto"/>
              </w:rPr>
            </w:pPr>
            <w:r>
              <w:rPr>
                <w:rFonts w:ascii="Arial" w:cs="Arial" w:eastAsia="Arial" w:hAnsi="Arial"/>
                <w:sz w:val="17"/>
                <w:szCs w:val="17"/>
                <w:color w:val="auto"/>
              </w:rPr>
              <w:t>on the plans’ assets and is recognized as a component of pension expense. The rate is based</w:t>
            </w:r>
          </w:p>
        </w:tc>
      </w:tr>
      <w:tr>
        <w:trPr>
          <w:trHeight w:val="189"/>
        </w:trPr>
        <w:tc>
          <w:tcPr>
            <w:tcW w:w="1520" w:type="dxa"/>
            <w:vAlign w:val="bottom"/>
          </w:tcPr>
          <w:p>
            <w:pPr>
              <w:spacing w:after="0"/>
              <w:rPr>
                <w:sz w:val="16"/>
                <w:szCs w:val="16"/>
                <w:color w:val="auto"/>
              </w:rPr>
            </w:pPr>
          </w:p>
        </w:tc>
        <w:tc>
          <w:tcPr>
            <w:tcW w:w="7400" w:type="dxa"/>
            <w:vAlign w:val="bottom"/>
          </w:tcPr>
          <w:p>
            <w:pPr>
              <w:ind w:left="120"/>
              <w:spacing w:after="0" w:line="189" w:lineRule="exact"/>
              <w:rPr>
                <w:sz w:val="20"/>
                <w:szCs w:val="20"/>
                <w:color w:val="auto"/>
              </w:rPr>
            </w:pPr>
            <w:r>
              <w:rPr>
                <w:rFonts w:ascii="Arial" w:cs="Arial" w:eastAsia="Arial" w:hAnsi="Arial"/>
                <w:sz w:val="17"/>
                <w:szCs w:val="17"/>
                <w:color w:val="auto"/>
              </w:rPr>
              <w:t>on the plans’ weighted-average target asset allocation, as well as historical and future expected</w:t>
            </w:r>
          </w:p>
        </w:tc>
      </w:tr>
      <w:tr>
        <w:trPr>
          <w:trHeight w:val="189"/>
        </w:trPr>
        <w:tc>
          <w:tcPr>
            <w:tcW w:w="1520" w:type="dxa"/>
            <w:vAlign w:val="bottom"/>
          </w:tcPr>
          <w:p>
            <w:pPr>
              <w:spacing w:after="0"/>
              <w:rPr>
                <w:sz w:val="16"/>
                <w:szCs w:val="16"/>
                <w:color w:val="auto"/>
              </w:rPr>
            </w:pPr>
          </w:p>
        </w:tc>
        <w:tc>
          <w:tcPr>
            <w:tcW w:w="7400" w:type="dxa"/>
            <w:vAlign w:val="bottom"/>
          </w:tcPr>
          <w:p>
            <w:pPr>
              <w:ind w:left="120"/>
              <w:spacing w:after="0" w:line="189" w:lineRule="exact"/>
              <w:rPr>
                <w:sz w:val="20"/>
                <w:szCs w:val="20"/>
                <w:color w:val="auto"/>
              </w:rPr>
            </w:pPr>
            <w:r>
              <w:rPr>
                <w:rFonts w:ascii="Arial" w:cs="Arial" w:eastAsia="Arial" w:hAnsi="Arial"/>
                <w:sz w:val="17"/>
                <w:szCs w:val="17"/>
                <w:color w:val="auto"/>
              </w:rPr>
              <w:t>performance of those assets. The target asset allocation is selected to obtain an investment</w:t>
            </w:r>
          </w:p>
        </w:tc>
      </w:tr>
      <w:tr>
        <w:trPr>
          <w:trHeight w:val="189"/>
        </w:trPr>
        <w:tc>
          <w:tcPr>
            <w:tcW w:w="1520" w:type="dxa"/>
            <w:vAlign w:val="bottom"/>
          </w:tcPr>
          <w:p>
            <w:pPr>
              <w:spacing w:after="0"/>
              <w:rPr>
                <w:sz w:val="16"/>
                <w:szCs w:val="16"/>
                <w:color w:val="auto"/>
              </w:rPr>
            </w:pPr>
          </w:p>
        </w:tc>
        <w:tc>
          <w:tcPr>
            <w:tcW w:w="7400" w:type="dxa"/>
            <w:vAlign w:val="bottom"/>
          </w:tcPr>
          <w:p>
            <w:pPr>
              <w:ind w:left="120"/>
              <w:spacing w:after="0" w:line="189" w:lineRule="exact"/>
              <w:rPr>
                <w:sz w:val="20"/>
                <w:szCs w:val="20"/>
                <w:color w:val="auto"/>
              </w:rPr>
            </w:pPr>
            <w:r>
              <w:rPr>
                <w:rFonts w:ascii="Arial" w:cs="Arial" w:eastAsia="Arial" w:hAnsi="Arial"/>
                <w:sz w:val="17"/>
                <w:szCs w:val="17"/>
                <w:color w:val="auto"/>
              </w:rPr>
              <w:t>return that is sufficient to cover the expected benefit payments and to reduce the variability of</w:t>
            </w:r>
          </w:p>
        </w:tc>
      </w:tr>
      <w:tr>
        <w:trPr>
          <w:trHeight w:val="189"/>
        </w:trPr>
        <w:tc>
          <w:tcPr>
            <w:tcW w:w="1520" w:type="dxa"/>
            <w:vAlign w:val="bottom"/>
          </w:tcPr>
          <w:p>
            <w:pPr>
              <w:spacing w:after="0"/>
              <w:rPr>
                <w:sz w:val="16"/>
                <w:szCs w:val="16"/>
                <w:color w:val="auto"/>
              </w:rPr>
            </w:pPr>
          </w:p>
        </w:tc>
        <w:tc>
          <w:tcPr>
            <w:tcW w:w="7400" w:type="dxa"/>
            <w:vAlign w:val="bottom"/>
          </w:tcPr>
          <w:p>
            <w:pPr>
              <w:ind w:left="120"/>
              <w:spacing w:after="0" w:line="189" w:lineRule="exact"/>
              <w:rPr>
                <w:sz w:val="20"/>
                <w:szCs w:val="20"/>
                <w:color w:val="auto"/>
              </w:rPr>
            </w:pPr>
            <w:r>
              <w:rPr>
                <w:rFonts w:ascii="Arial" w:cs="Arial" w:eastAsia="Arial" w:hAnsi="Arial"/>
                <w:sz w:val="17"/>
                <w:szCs w:val="17"/>
                <w:color w:val="auto"/>
              </w:rPr>
              <w:t>future contributions. The expected rate of return on plan assets is reviewed annually and</w:t>
            </w:r>
          </w:p>
        </w:tc>
      </w:tr>
      <w:tr>
        <w:trPr>
          <w:trHeight w:val="205"/>
        </w:trPr>
        <w:tc>
          <w:tcPr>
            <w:tcW w:w="1520" w:type="dxa"/>
            <w:vAlign w:val="bottom"/>
          </w:tcPr>
          <w:p>
            <w:pPr>
              <w:spacing w:after="0"/>
              <w:rPr>
                <w:sz w:val="17"/>
                <w:szCs w:val="17"/>
                <w:color w:val="auto"/>
              </w:rPr>
            </w:pPr>
          </w:p>
        </w:tc>
        <w:tc>
          <w:tcPr>
            <w:tcW w:w="7400" w:type="dxa"/>
            <w:vAlign w:val="bottom"/>
          </w:tcPr>
          <w:p>
            <w:pPr>
              <w:ind w:left="120"/>
              <w:spacing w:after="0"/>
              <w:rPr>
                <w:sz w:val="20"/>
                <w:szCs w:val="20"/>
                <w:color w:val="auto"/>
              </w:rPr>
            </w:pPr>
            <w:r>
              <w:rPr>
                <w:rFonts w:ascii="Arial" w:cs="Arial" w:eastAsia="Arial" w:hAnsi="Arial"/>
                <w:sz w:val="17"/>
                <w:szCs w:val="17"/>
                <w:color w:val="auto"/>
              </w:rPr>
              <w:t>revised, as necessary, to reflect changes in the financial markets and our investment strategy.</w:t>
            </w:r>
          </w:p>
        </w:tc>
      </w:tr>
      <w:tr>
        <w:trPr>
          <w:trHeight w:val="362"/>
        </w:trPr>
        <w:tc>
          <w:tcPr>
            <w:tcW w:w="1520" w:type="dxa"/>
            <w:vAlign w:val="bottom"/>
          </w:tcPr>
          <w:p>
            <w:pPr>
              <w:spacing w:after="0"/>
              <w:rPr>
                <w:sz w:val="24"/>
                <w:szCs w:val="24"/>
                <w:color w:val="auto"/>
              </w:rPr>
            </w:pPr>
          </w:p>
        </w:tc>
        <w:tc>
          <w:tcPr>
            <w:tcW w:w="7400" w:type="dxa"/>
            <w:vAlign w:val="bottom"/>
          </w:tcPr>
          <w:p>
            <w:pPr>
              <w:ind w:left="120"/>
              <w:spacing w:after="0"/>
              <w:rPr>
                <w:sz w:val="20"/>
                <w:szCs w:val="20"/>
                <w:color w:val="auto"/>
              </w:rPr>
            </w:pPr>
            <w:r>
              <w:rPr>
                <w:rFonts w:ascii="Arial" w:cs="Arial" w:eastAsia="Arial" w:hAnsi="Arial"/>
                <w:sz w:val="17"/>
                <w:szCs w:val="17"/>
                <w:color w:val="auto"/>
              </w:rPr>
              <w:t>The weighted-average long-term rate of return used to determine 2019 pension expense was</w:t>
            </w:r>
          </w:p>
        </w:tc>
      </w:tr>
      <w:tr>
        <w:trPr>
          <w:trHeight w:val="205"/>
        </w:trPr>
        <w:tc>
          <w:tcPr>
            <w:tcW w:w="1520" w:type="dxa"/>
            <w:vAlign w:val="bottom"/>
          </w:tcPr>
          <w:p>
            <w:pPr>
              <w:spacing w:after="0"/>
              <w:rPr>
                <w:sz w:val="17"/>
                <w:szCs w:val="17"/>
                <w:color w:val="auto"/>
              </w:rPr>
            </w:pPr>
          </w:p>
        </w:tc>
        <w:tc>
          <w:tcPr>
            <w:tcW w:w="7400" w:type="dxa"/>
            <w:vAlign w:val="bottom"/>
          </w:tcPr>
          <w:p>
            <w:pPr>
              <w:ind w:left="120"/>
              <w:spacing w:after="0"/>
              <w:rPr>
                <w:sz w:val="20"/>
                <w:szCs w:val="20"/>
                <w:color w:val="auto"/>
              </w:rPr>
            </w:pPr>
            <w:r>
              <w:rPr>
                <w:rFonts w:ascii="Arial" w:cs="Arial" w:eastAsia="Arial" w:hAnsi="Arial"/>
                <w:sz w:val="17"/>
                <w:szCs w:val="17"/>
                <w:color w:val="auto"/>
              </w:rPr>
              <w:t>5.8 percent.</w:t>
            </w:r>
          </w:p>
        </w:tc>
      </w:tr>
      <w:tr>
        <w:trPr>
          <w:trHeight w:val="362"/>
        </w:trPr>
        <w:tc>
          <w:tcPr>
            <w:tcW w:w="1520" w:type="dxa"/>
            <w:vAlign w:val="bottom"/>
          </w:tcPr>
          <w:p>
            <w:pPr>
              <w:spacing w:after="0"/>
              <w:rPr>
                <w:sz w:val="24"/>
                <w:szCs w:val="24"/>
                <w:color w:val="auto"/>
              </w:rPr>
            </w:pPr>
          </w:p>
        </w:tc>
        <w:tc>
          <w:tcPr>
            <w:tcW w:w="7400" w:type="dxa"/>
            <w:vAlign w:val="bottom"/>
          </w:tcPr>
          <w:p>
            <w:pPr>
              <w:ind w:left="120"/>
              <w:spacing w:after="0"/>
              <w:rPr>
                <w:sz w:val="20"/>
                <w:szCs w:val="20"/>
                <w:color w:val="auto"/>
              </w:rPr>
            </w:pPr>
            <w:r>
              <w:rPr>
                <w:rFonts w:ascii="Arial" w:cs="Arial" w:eastAsia="Arial" w:hAnsi="Arial"/>
                <w:sz w:val="17"/>
                <w:szCs w:val="17"/>
                <w:color w:val="auto"/>
              </w:rPr>
              <w:t>A decrease of 50 basis points in the weighted-average expected long-term rate of return would</w:t>
            </w:r>
          </w:p>
        </w:tc>
      </w:tr>
      <w:tr>
        <w:trPr>
          <w:trHeight w:val="189"/>
        </w:trPr>
        <w:tc>
          <w:tcPr>
            <w:tcW w:w="1520" w:type="dxa"/>
            <w:vAlign w:val="bottom"/>
          </w:tcPr>
          <w:p>
            <w:pPr>
              <w:spacing w:after="0"/>
              <w:rPr>
                <w:sz w:val="16"/>
                <w:szCs w:val="16"/>
                <w:color w:val="auto"/>
              </w:rPr>
            </w:pPr>
          </w:p>
        </w:tc>
        <w:tc>
          <w:tcPr>
            <w:tcW w:w="7400" w:type="dxa"/>
            <w:vAlign w:val="bottom"/>
          </w:tcPr>
          <w:p>
            <w:pPr>
              <w:ind w:left="120"/>
              <w:spacing w:after="0" w:line="189" w:lineRule="exact"/>
              <w:rPr>
                <w:sz w:val="20"/>
                <w:szCs w:val="20"/>
                <w:color w:val="auto"/>
              </w:rPr>
            </w:pPr>
            <w:r>
              <w:rPr>
                <w:rFonts w:ascii="Arial" w:cs="Arial" w:eastAsia="Arial" w:hAnsi="Arial"/>
                <w:sz w:val="17"/>
                <w:szCs w:val="17"/>
                <w:color w:val="auto"/>
              </w:rPr>
              <w:t>have increased 2019 pension expense by approximately $3 million. The actual return on plan</w:t>
            </w:r>
          </w:p>
        </w:tc>
      </w:tr>
      <w:tr>
        <w:trPr>
          <w:trHeight w:val="189"/>
        </w:trPr>
        <w:tc>
          <w:tcPr>
            <w:tcW w:w="1520" w:type="dxa"/>
            <w:vAlign w:val="bottom"/>
          </w:tcPr>
          <w:p>
            <w:pPr>
              <w:spacing w:after="0"/>
              <w:rPr>
                <w:sz w:val="16"/>
                <w:szCs w:val="16"/>
                <w:color w:val="auto"/>
              </w:rPr>
            </w:pPr>
          </w:p>
        </w:tc>
        <w:tc>
          <w:tcPr>
            <w:tcW w:w="7400" w:type="dxa"/>
            <w:vAlign w:val="bottom"/>
          </w:tcPr>
          <w:p>
            <w:pPr>
              <w:ind w:left="120"/>
              <w:spacing w:after="0" w:line="189" w:lineRule="exact"/>
              <w:rPr>
                <w:sz w:val="20"/>
                <w:szCs w:val="20"/>
                <w:color w:val="auto"/>
              </w:rPr>
            </w:pPr>
            <w:r>
              <w:rPr>
                <w:rFonts w:ascii="Arial" w:cs="Arial" w:eastAsia="Arial" w:hAnsi="Arial"/>
                <w:sz w:val="17"/>
                <w:szCs w:val="17"/>
                <w:color w:val="auto"/>
              </w:rPr>
              <w:t>assets in a given year typically differs from the expected long-term rate of return, and the</w:t>
            </w:r>
          </w:p>
        </w:tc>
      </w:tr>
      <w:tr>
        <w:trPr>
          <w:trHeight w:val="189"/>
        </w:trPr>
        <w:tc>
          <w:tcPr>
            <w:tcW w:w="1520" w:type="dxa"/>
            <w:vAlign w:val="bottom"/>
          </w:tcPr>
          <w:p>
            <w:pPr>
              <w:spacing w:after="0"/>
              <w:rPr>
                <w:sz w:val="16"/>
                <w:szCs w:val="16"/>
                <w:color w:val="auto"/>
              </w:rPr>
            </w:pPr>
          </w:p>
        </w:tc>
        <w:tc>
          <w:tcPr>
            <w:tcW w:w="7400" w:type="dxa"/>
            <w:vAlign w:val="bottom"/>
          </w:tcPr>
          <w:p>
            <w:pPr>
              <w:ind w:left="120"/>
              <w:spacing w:after="0" w:line="189" w:lineRule="exact"/>
              <w:rPr>
                <w:sz w:val="20"/>
                <w:szCs w:val="20"/>
                <w:color w:val="auto"/>
              </w:rPr>
            </w:pPr>
            <w:r>
              <w:rPr>
                <w:rFonts w:ascii="Arial" w:cs="Arial" w:eastAsia="Arial" w:hAnsi="Arial"/>
                <w:sz w:val="17"/>
                <w:szCs w:val="17"/>
                <w:color w:val="auto"/>
              </w:rPr>
              <w:t>resulting gain or loss is deferred and amortized into expense over the average life expectancy</w:t>
            </w:r>
          </w:p>
        </w:tc>
      </w:tr>
      <w:tr>
        <w:trPr>
          <w:trHeight w:val="205"/>
        </w:trPr>
        <w:tc>
          <w:tcPr>
            <w:tcW w:w="1520" w:type="dxa"/>
            <w:vAlign w:val="bottom"/>
          </w:tcPr>
          <w:p>
            <w:pPr>
              <w:spacing w:after="0"/>
              <w:rPr>
                <w:sz w:val="17"/>
                <w:szCs w:val="17"/>
                <w:color w:val="auto"/>
              </w:rPr>
            </w:pPr>
          </w:p>
        </w:tc>
        <w:tc>
          <w:tcPr>
            <w:tcW w:w="7400" w:type="dxa"/>
            <w:vAlign w:val="bottom"/>
          </w:tcPr>
          <w:p>
            <w:pPr>
              <w:ind w:left="120"/>
              <w:spacing w:after="0"/>
              <w:rPr>
                <w:sz w:val="20"/>
                <w:szCs w:val="20"/>
                <w:color w:val="auto"/>
              </w:rPr>
            </w:pPr>
            <w:r>
              <w:rPr>
                <w:rFonts w:ascii="Arial" w:cs="Arial" w:eastAsia="Arial" w:hAnsi="Arial"/>
                <w:sz w:val="17"/>
                <w:szCs w:val="17"/>
                <w:color w:val="auto"/>
              </w:rPr>
              <w:t>of the inactive participants.</w:t>
            </w:r>
          </w:p>
        </w:tc>
      </w:tr>
      <w:tr>
        <w:trPr>
          <w:trHeight w:val="378"/>
        </w:trPr>
        <w:tc>
          <w:tcPr>
            <w:tcW w:w="1520" w:type="dxa"/>
            <w:vAlign w:val="bottom"/>
          </w:tcPr>
          <w:p>
            <w:pPr>
              <w:spacing w:after="0"/>
              <w:rPr>
                <w:sz w:val="24"/>
                <w:szCs w:val="24"/>
                <w:color w:val="auto"/>
              </w:rPr>
            </w:pPr>
          </w:p>
        </w:tc>
        <w:tc>
          <w:tcPr>
            <w:tcW w:w="7400" w:type="dxa"/>
            <w:vAlign w:val="bottom"/>
          </w:tcPr>
          <w:p>
            <w:pPr>
              <w:ind w:left="5460"/>
              <w:spacing w:after="0"/>
              <w:rPr>
                <w:sz w:val="20"/>
                <w:szCs w:val="20"/>
                <w:color w:val="auto"/>
              </w:rPr>
            </w:pPr>
            <w:r>
              <w:rPr>
                <w:rFonts w:ascii="Arial" w:cs="Arial" w:eastAsia="Arial" w:hAnsi="Arial"/>
                <w:sz w:val="17"/>
                <w:szCs w:val="17"/>
                <w:color w:val="auto"/>
              </w:rPr>
              <w:t>2019 Form 10-K Page 32</w:t>
            </w:r>
          </w:p>
        </w:tc>
      </w:tr>
      <w:tr>
        <w:trPr>
          <w:trHeight w:val="753"/>
        </w:trPr>
        <w:tc>
          <w:tcPr>
            <w:tcW w:w="15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31" w:right="1440" w:bottom="1440" w:gutter="0" w:footer="0" w:header="0"/>
        </w:sectPr>
      </w:pPr>
    </w:p>
    <w:bookmarkStart w:id="35" w:name="page36"/>
    <w:bookmarkEnd w:id="35"/>
    <w:p>
      <w:pPr>
        <w:ind w:left="380"/>
        <w:spacing w:after="0"/>
        <w:rPr>
          <w:sz w:val="20"/>
          <w:szCs w:val="20"/>
          <w:color w:val="auto"/>
        </w:rPr>
      </w:pPr>
      <w:r>
        <w:rPr>
          <w:rFonts w:ascii="Arial" w:cs="Arial" w:eastAsia="Arial" w:hAnsi="Arial"/>
          <w:sz w:val="16"/>
          <w:szCs w:val="16"/>
          <w:color w:val="auto"/>
        </w:rPr>
        <w:t>Discount</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Rate</w:t>
      </w:r>
    </w:p>
    <w:p>
      <w:pPr>
        <w:spacing w:after="0" w:line="20" w:lineRule="exact"/>
        <w:rPr>
          <w:sz w:val="20"/>
          <w:szCs w:val="20"/>
          <w:color w:val="auto"/>
        </w:rPr>
      </w:pPr>
      <w:r>
        <w:rPr>
          <w:sz w:val="20"/>
          <w:szCs w:val="20"/>
          <w:color w:val="auto"/>
        </w:rPr>
        <w:br w:type="column"/>
      </w:r>
    </w:p>
    <w:p>
      <w:pPr>
        <w:jc w:val="both"/>
        <w:ind w:right="79"/>
        <w:spacing w:after="0" w:line="234" w:lineRule="auto"/>
        <w:rPr>
          <w:sz w:val="20"/>
          <w:szCs w:val="20"/>
          <w:color w:val="auto"/>
        </w:rPr>
      </w:pPr>
      <w:r>
        <w:rPr>
          <w:rFonts w:ascii="Arial" w:cs="Arial" w:eastAsia="Arial" w:hAnsi="Arial"/>
          <w:sz w:val="17"/>
          <w:szCs w:val="17"/>
          <w:color w:val="auto"/>
        </w:rPr>
        <w:t>An assumed discount rate is used to measure the present value of future cash flow obligations of the plans and the interest cost component of pension expense and postretirement income. The cash flows are then discounted to their present value and an overall discount rate is determined. The discount rate for our U.S. plans are determined by reference to the Bond:Link interest rate model based upon a portfolio of highly-rated U.S. corporate bonds with individual bonds that are theoretically purchased to settle the plan’s anticipated cash outflows. The discount rate selected to measure the present value of our Canadian benefit obligations is similar to the approach used for the U.S. plan and was determined by reference to the Canadian Rate:Link interest rate model.</w:t>
      </w:r>
    </w:p>
    <w:p>
      <w:pPr>
        <w:spacing w:after="0" w:line="175" w:lineRule="exact"/>
        <w:rPr>
          <w:sz w:val="20"/>
          <w:szCs w:val="20"/>
          <w:color w:val="auto"/>
        </w:rPr>
      </w:pPr>
    </w:p>
    <w:p>
      <w:pPr>
        <w:sectPr>
          <w:pgSz w:w="11900" w:h="16838" w:orient="portrait"/>
          <w:cols w:equalWidth="0" w:num="2">
            <w:col w:w="1040" w:space="640"/>
            <w:col w:w="7339"/>
          </w:cols>
          <w:pgMar w:left="1440" w:top="849" w:right="1440" w:bottom="1440" w:gutter="0" w:footer="0" w:header="0"/>
        </w:sectPr>
      </w:pPr>
    </w:p>
    <w:p>
      <w:pPr>
        <w:ind w:left="1680" w:right="79"/>
        <w:spacing w:after="0" w:line="243" w:lineRule="auto"/>
        <w:rPr>
          <w:sz w:val="20"/>
          <w:szCs w:val="20"/>
          <w:color w:val="auto"/>
        </w:rPr>
      </w:pPr>
      <w:r>
        <w:rPr>
          <w:rFonts w:ascii="Arial" w:cs="Arial" w:eastAsia="Arial" w:hAnsi="Arial"/>
          <w:sz w:val="17"/>
          <w:szCs w:val="17"/>
          <w:color w:val="auto"/>
        </w:rPr>
        <w:t>The weighted-average discount rates used to determine the 2019 benefit obligations related to our pension and postretirement plans was 2.9 percent and 3.0 percent, respectively.</w:t>
      </w:r>
    </w:p>
    <w:p>
      <w:pPr>
        <w:spacing w:after="0" w:line="171" w:lineRule="exact"/>
        <w:rPr>
          <w:sz w:val="20"/>
          <w:szCs w:val="20"/>
          <w:color w:val="auto"/>
        </w:rPr>
      </w:pPr>
    </w:p>
    <w:p>
      <w:pPr>
        <w:jc w:val="both"/>
        <w:ind w:left="1680" w:right="59"/>
        <w:spacing w:after="0"/>
        <w:rPr>
          <w:sz w:val="20"/>
          <w:szCs w:val="20"/>
          <w:color w:val="auto"/>
        </w:rPr>
      </w:pPr>
      <w:r>
        <w:rPr>
          <w:rFonts w:ascii="Arial" w:cs="Arial" w:eastAsia="Arial" w:hAnsi="Arial"/>
          <w:sz w:val="17"/>
          <w:szCs w:val="17"/>
          <w:color w:val="auto"/>
        </w:rPr>
        <w:t>Changing the weighted-average discount rate by 50 basis points would have changed the accumulated benefit obligation of the pension plans at February 1, 2020 by approximately $37 million and $41 million, depending on if the change was an increase or decrease, respectively. A decrease of 50 basis points in the weighted-average discount rate would have increased the accumulated benefit obligation on the postretirement plan by approximately $1 million. Such a decrease would not have significantly changed 2019 pension expense or postretirement income.</w:t>
      </w:r>
    </w:p>
    <w:p>
      <w:pPr>
        <w:sectPr>
          <w:pgSz w:w="11900" w:h="16838" w:orient="portrait"/>
          <w:cols w:equalWidth="0" w:num="1">
            <w:col w:w="9019"/>
          </w:cols>
          <w:pgMar w:left="1440" w:top="849" w:right="1440" w:bottom="1440" w:gutter="0" w:footer="0" w:header="0"/>
          <w:type w:val="continuous"/>
        </w:sectPr>
      </w:pPr>
    </w:p>
    <w:p>
      <w:pPr>
        <w:spacing w:after="0" w:line="33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Trend Rate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We maintain two postretirement medical plans, one covering certain executive officers and key employees (“SERP Medical Plan”), and the other covering all other associates. With respect to the SERP Medical Plan, a 100-basis point change in the assumed health care cost trend rate would not significantly change this plan’s accumulated benefit obligation.</w:t>
      </w:r>
    </w:p>
    <w:p>
      <w:pPr>
        <w:spacing w:after="0" w:line="200" w:lineRule="exact"/>
        <w:rPr>
          <w:sz w:val="20"/>
          <w:szCs w:val="20"/>
          <w:color w:val="auto"/>
        </w:rPr>
      </w:pPr>
    </w:p>
    <w:p>
      <w:pPr>
        <w:sectPr>
          <w:pgSz w:w="11900" w:h="16838" w:orient="portrait"/>
          <w:cols w:equalWidth="0" w:num="2">
            <w:col w:w="1160" w:space="520"/>
            <w:col w:w="7339"/>
          </w:cols>
          <w:pgMar w:left="1440" w:top="849" w:right="1440" w:bottom="1440" w:gutter="0" w:footer="0" w:header="0"/>
          <w:type w:val="continuous"/>
        </w:sectPr>
      </w:pPr>
    </w:p>
    <w:p>
      <w:pPr>
        <w:spacing w:after="0" w:line="3" w:lineRule="exact"/>
        <w:rPr>
          <w:sz w:val="20"/>
          <w:szCs w:val="20"/>
          <w:color w:val="auto"/>
        </w:rPr>
      </w:pPr>
    </w:p>
    <w:p>
      <w:pPr>
        <w:jc w:val="both"/>
        <w:ind w:left="1680" w:right="79"/>
        <w:spacing w:after="0"/>
        <w:rPr>
          <w:sz w:val="20"/>
          <w:szCs w:val="20"/>
          <w:color w:val="auto"/>
        </w:rPr>
      </w:pPr>
      <w:r>
        <w:rPr>
          <w:rFonts w:ascii="Arial" w:cs="Arial" w:eastAsia="Arial" w:hAnsi="Arial"/>
          <w:sz w:val="17"/>
          <w:szCs w:val="17"/>
          <w:color w:val="auto"/>
        </w:rPr>
        <w:t>With respect to the postretirement medical plan covering all other associates, there is limited risk to us for increases in health care costs since, beginning in 2001, new retirees have assumed the full expected costs and then-existing retirees have assumed all increases in such costs.</w:t>
      </w:r>
    </w:p>
    <w:p>
      <w:pPr>
        <w:sectPr>
          <w:pgSz w:w="11900" w:h="16838" w:orient="portrait"/>
          <w:cols w:equalWidth="0" w:num="1">
            <w:col w:w="9019"/>
          </w:cols>
          <w:pgMar w:left="1440" w:top="849" w:right="1440" w:bottom="1440" w:gutter="0" w:footer="0" w:header="0"/>
          <w:type w:val="continuous"/>
        </w:sectPr>
      </w:pPr>
    </w:p>
    <w:p>
      <w:pPr>
        <w:spacing w:after="0" w:line="359" w:lineRule="exact"/>
        <w:rPr>
          <w:sz w:val="20"/>
          <w:szCs w:val="20"/>
          <w:color w:val="auto"/>
        </w:rPr>
      </w:pPr>
    </w:p>
    <w:p>
      <w:pPr>
        <w:ind w:left="320"/>
        <w:spacing w:after="0" w:line="243" w:lineRule="auto"/>
        <w:rPr>
          <w:sz w:val="20"/>
          <w:szCs w:val="20"/>
          <w:color w:val="auto"/>
        </w:rPr>
      </w:pPr>
      <w:r>
        <w:rPr>
          <w:rFonts w:ascii="Arial" w:cs="Arial" w:eastAsia="Arial" w:hAnsi="Arial"/>
          <w:sz w:val="17"/>
          <w:szCs w:val="17"/>
          <w:color w:val="auto"/>
        </w:rPr>
        <w:t>Mortality Assumptions</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both"/>
        <w:ind w:right="79"/>
        <w:spacing w:after="0" w:line="234" w:lineRule="auto"/>
        <w:rPr>
          <w:sz w:val="20"/>
          <w:szCs w:val="20"/>
          <w:color w:val="auto"/>
        </w:rPr>
      </w:pPr>
      <w:r>
        <w:rPr>
          <w:rFonts w:ascii="Arial" w:cs="Arial" w:eastAsia="Arial" w:hAnsi="Arial"/>
          <w:sz w:val="17"/>
          <w:szCs w:val="17"/>
          <w:color w:val="auto"/>
        </w:rPr>
        <w:t>The mortality assumption used to value our 2019 U.S. pension obligations was the Pri-2012 mortality table with generational projection using modified MP-2019 for both males and females, while in the prior year the obligation was valued using the RP-2017 mortality table with generational projection using modified MP-2017. We used the 2014 CPM Private Sector mortality table projected generationally with Scale CPM-B for both males and females to value our Canadian pension obligations for 2019, while in the prior year the obligation was valued using the RP-2000 mortality table with generational projection using scale AA.</w:t>
      </w:r>
    </w:p>
    <w:p>
      <w:pPr>
        <w:spacing w:after="0" w:line="200" w:lineRule="exact"/>
        <w:rPr>
          <w:sz w:val="20"/>
          <w:szCs w:val="20"/>
          <w:color w:val="auto"/>
        </w:rPr>
      </w:pPr>
    </w:p>
    <w:p>
      <w:pPr>
        <w:sectPr>
          <w:pgSz w:w="11900" w:h="16838" w:orient="portrait"/>
          <w:cols w:equalWidth="0" w:num="2">
            <w:col w:w="1300" w:space="380"/>
            <w:col w:w="7339"/>
          </w:cols>
          <w:pgMar w:left="1440" w:top="849" w:right="1440" w:bottom="1440" w:gutter="0" w:footer="0" w:header="0"/>
          <w:type w:val="continuous"/>
        </w:sectPr>
      </w:pPr>
    </w:p>
    <w:p>
      <w:pPr>
        <w:spacing w:after="0" w:line="5" w:lineRule="exact"/>
        <w:rPr>
          <w:sz w:val="20"/>
          <w:szCs w:val="20"/>
          <w:color w:val="auto"/>
        </w:rPr>
      </w:pPr>
    </w:p>
    <w:p>
      <w:pPr>
        <w:jc w:val="both"/>
        <w:ind w:left="1680" w:right="59"/>
        <w:spacing w:after="0" w:line="235" w:lineRule="auto"/>
        <w:rPr>
          <w:sz w:val="20"/>
          <w:szCs w:val="20"/>
          <w:color w:val="auto"/>
        </w:rPr>
      </w:pPr>
      <w:r>
        <w:rPr>
          <w:rFonts w:ascii="Arial" w:cs="Arial" w:eastAsia="Arial" w:hAnsi="Arial"/>
          <w:sz w:val="17"/>
          <w:szCs w:val="17"/>
          <w:color w:val="auto"/>
        </w:rPr>
        <w:t>For the SERP Medical Plan, the mortality assumption used to value the 2019 obligation was updated to the PriH-2012 table with generational projection using MP-2019, while in the prior year the obligation was valued using the RPH-2018 table with generational projection using MP-2018. Each year we update this assumption to the most recent study from the Society of Actuaries.</w:t>
      </w:r>
    </w:p>
    <w:p>
      <w:pPr>
        <w:sectPr>
          <w:pgSz w:w="11900" w:h="16838" w:orient="portrait"/>
          <w:cols w:equalWidth="0" w:num="1">
            <w:col w:w="9019"/>
          </w:cols>
          <w:pgMar w:left="1440" w:top="849" w:right="1440" w:bottom="1440" w:gutter="0" w:footer="0" w:header="0"/>
          <w:type w:val="continuous"/>
        </w:sectPr>
      </w:pPr>
    </w:p>
    <w:p>
      <w:pPr>
        <w:spacing w:after="0" w:line="186" w:lineRule="exact"/>
        <w:rPr>
          <w:sz w:val="20"/>
          <w:szCs w:val="20"/>
          <w:color w:val="auto"/>
        </w:rPr>
      </w:pPr>
    </w:p>
    <w:p>
      <w:pPr>
        <w:ind w:left="60"/>
        <w:spacing w:after="0"/>
        <w:rPr>
          <w:sz w:val="20"/>
          <w:szCs w:val="20"/>
          <w:color w:val="auto"/>
        </w:rPr>
      </w:pPr>
      <w:r>
        <w:rPr>
          <w:rFonts w:ascii="Arial" w:cs="Arial" w:eastAsia="Arial" w:hAnsi="Arial"/>
          <w:sz w:val="17"/>
          <w:szCs w:val="17"/>
          <w:i w:val="1"/>
          <w:iCs w:val="1"/>
          <w:u w:val="single" w:color="auto"/>
          <w:color w:val="auto"/>
        </w:rPr>
        <w:t>Income Taxes</w:t>
      </w:r>
    </w:p>
    <w:p>
      <w:pPr>
        <w:spacing w:after="0" w:line="174" w:lineRule="exact"/>
        <w:rPr>
          <w:sz w:val="20"/>
          <w:szCs w:val="20"/>
          <w:color w:val="auto"/>
        </w:rPr>
      </w:pPr>
    </w:p>
    <w:p>
      <w:pPr>
        <w:jc w:val="both"/>
        <w:ind w:left="60" w:right="79"/>
        <w:spacing w:after="0" w:line="236" w:lineRule="auto"/>
        <w:rPr>
          <w:sz w:val="20"/>
          <w:szCs w:val="20"/>
          <w:color w:val="auto"/>
        </w:rPr>
      </w:pPr>
      <w:r>
        <w:rPr>
          <w:rFonts w:ascii="Arial" w:cs="Arial" w:eastAsia="Arial" w:hAnsi="Arial"/>
          <w:sz w:val="17"/>
          <w:szCs w:val="17"/>
          <w:color w:val="auto"/>
        </w:rPr>
        <w:t>Deferred tax assets are reduced by a valuation allowance, which is established when it is more likely than not that some portion or all of the deferred tax assets will not be realized. We are required to estimate taxable income for future years by taxing jurisdiction and to use our judgment to determine whether to record a valuation allowance for part or all of a deferred tax asset. Estimates of taxable income are based upon our long-range strategic plans.</w:t>
      </w:r>
    </w:p>
    <w:p>
      <w:pPr>
        <w:spacing w:after="0" w:line="176"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7"/>
          <w:szCs w:val="17"/>
          <w:color w:val="auto"/>
        </w:rPr>
        <w:t>A one percent change in the overall statutory tax rate for 2019 would have resulted in a change of $3 million to the carrying value of the net deferred tax asset and a corresponding charge or credit to income tax expense depending on whether the tax rate change was a decrease or an increase.</w:t>
      </w:r>
    </w:p>
    <w:p>
      <w:pPr>
        <w:spacing w:after="0" w:line="174" w:lineRule="exact"/>
        <w:rPr>
          <w:sz w:val="20"/>
          <w:szCs w:val="20"/>
          <w:color w:val="auto"/>
        </w:rPr>
      </w:pPr>
    </w:p>
    <w:p>
      <w:pPr>
        <w:jc w:val="both"/>
        <w:ind w:left="60" w:right="59"/>
        <w:spacing w:after="0" w:line="232" w:lineRule="auto"/>
        <w:rPr>
          <w:sz w:val="20"/>
          <w:szCs w:val="20"/>
          <w:color w:val="auto"/>
        </w:rPr>
      </w:pPr>
      <w:r>
        <w:rPr>
          <w:rFonts w:ascii="Arial" w:cs="Arial" w:eastAsia="Arial" w:hAnsi="Arial"/>
          <w:sz w:val="17"/>
          <w:szCs w:val="17"/>
          <w:color w:val="auto"/>
        </w:rPr>
        <w:t>We have operations in multiple taxing jurisdictions, and we are subject to audit in these jurisdictions. Tax audits by their nature are often complex and can require several years to resolve. Accruals of tax contingencies require us to make estimates and judgments with respect to the ultimate outcome of tax audits. Actual results could vary from these estimates.</w:t>
      </w:r>
    </w:p>
    <w:p>
      <w:pPr>
        <w:ind w:left="7020"/>
        <w:spacing w:after="0"/>
        <w:rPr>
          <w:sz w:val="20"/>
          <w:szCs w:val="20"/>
          <w:color w:val="auto"/>
        </w:rPr>
      </w:pPr>
      <w:r>
        <w:rPr>
          <w:rFonts w:ascii="Arial" w:cs="Arial" w:eastAsia="Arial" w:hAnsi="Arial"/>
          <w:sz w:val="17"/>
          <w:szCs w:val="17"/>
          <w:color w:val="auto"/>
        </w:rPr>
        <w:t>2019 Form 10-K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49" w:right="1440" w:bottom="1440" w:gutter="0" w:footer="0" w:header="0"/>
          <w:type w:val="continuous"/>
        </w:sectPr>
      </w:pPr>
    </w:p>
    <w:bookmarkStart w:id="36" w:name="page37"/>
    <w:bookmarkEnd w:id="36"/>
    <w:p>
      <w:pPr>
        <w:jc w:val="both"/>
        <w:ind w:left="60" w:right="59"/>
        <w:spacing w:after="0" w:line="236" w:lineRule="auto"/>
        <w:rPr>
          <w:sz w:val="20"/>
          <w:szCs w:val="20"/>
          <w:color w:val="auto"/>
        </w:rPr>
      </w:pPr>
      <w:r>
        <w:rPr>
          <w:rFonts w:ascii="Arial" w:cs="Arial" w:eastAsia="Arial" w:hAnsi="Arial"/>
          <w:sz w:val="17"/>
          <w:szCs w:val="17"/>
          <w:color w:val="auto"/>
        </w:rPr>
        <w:t>Excluding the effect of any nonrecurring items that may occur, we expect the 2020 effective tax rate to be in the range of 27.5 to 28 percent. The actual tax rate will vary if the level of stock option exercise activity and the stock price at the vesting or exercise date differs from our expectations. Additionally, the tax rate will also depend on the level and mix of income earned in the United States, as compared with our international operations.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Recent Accounting Pronouncements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 xml:space="preserve">Descriptions of the recently issued accounting principles, and the accounting principles adopted by us during the year ended February 1, 2020 are included in the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note in “Item 8. Consolidated Financial Statements and Supplementary Data.”</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7A. Quantitative and Qualitative Disclosures About Market Risk</w:t>
      </w:r>
    </w:p>
    <w:p>
      <w:pPr>
        <w:spacing w:after="0" w:line="171" w:lineRule="exact"/>
        <w:rPr>
          <w:sz w:val="20"/>
          <w:szCs w:val="20"/>
          <w:color w:val="auto"/>
        </w:rPr>
      </w:pPr>
    </w:p>
    <w:p>
      <w:pPr>
        <w:jc w:val="both"/>
        <w:ind w:left="60" w:right="79"/>
        <w:spacing w:after="0" w:line="265" w:lineRule="auto"/>
        <w:rPr>
          <w:sz w:val="20"/>
          <w:szCs w:val="20"/>
          <w:color w:val="auto"/>
        </w:rPr>
      </w:pPr>
      <w:r>
        <w:rPr>
          <w:rFonts w:ascii="Arial" w:cs="Arial" w:eastAsia="Arial" w:hAnsi="Arial"/>
          <w:sz w:val="17"/>
          <w:szCs w:val="17"/>
          <w:color w:val="auto"/>
        </w:rPr>
        <w:t xml:space="preserve">Information regarding foreign exchange risk management is included in the </w:t>
      </w:r>
      <w:r>
        <w:rPr>
          <w:rFonts w:ascii="Arial" w:cs="Arial" w:eastAsia="Arial" w:hAnsi="Arial"/>
          <w:sz w:val="17"/>
          <w:szCs w:val="17"/>
          <w:i w:val="1"/>
          <w:iCs w:val="1"/>
          <w:color w:val="auto"/>
        </w:rPr>
        <w:t>Financial Instruments and 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Management </w:t>
      </w:r>
      <w:r>
        <w:rPr>
          <w:rFonts w:ascii="Arial" w:cs="Arial" w:eastAsia="Arial" w:hAnsi="Arial"/>
          <w:sz w:val="17"/>
          <w:szCs w:val="17"/>
          <w:color w:val="auto"/>
        </w:rPr>
        <w:t>note under “Item 8. Consolidated Financial Statements and Supplementary Data.”</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8. Consolidated Financial Statements and Supplementary Data</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Consolidated Financial Statements of the Company are included as part of this Report:</w:t>
      </w:r>
    </w:p>
    <w:p>
      <w:pPr>
        <w:spacing w:after="0" w:line="221" w:lineRule="exact"/>
        <w:rPr>
          <w:sz w:val="20"/>
          <w:szCs w:val="20"/>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7"/>
          <w:szCs w:val="17"/>
          <w:color w:val="auto"/>
        </w:rPr>
        <w:t>Consolidated Statements of Operations for the fiscal years ended:</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1"/>
          <w:numId w:val="16"/>
        </w:numPr>
        <w:rPr>
          <w:rFonts w:ascii="Arial" w:cs="Arial" w:eastAsia="Arial" w:hAnsi="Arial"/>
          <w:sz w:val="18"/>
          <w:szCs w:val="18"/>
          <w:color w:val="auto"/>
        </w:rPr>
      </w:pPr>
      <w:r>
        <w:rPr>
          <w:rFonts w:ascii="Arial" w:cs="Arial" w:eastAsia="Arial" w:hAnsi="Arial"/>
          <w:sz w:val="17"/>
          <w:szCs w:val="17"/>
          <w:color w:val="auto"/>
        </w:rPr>
        <w:t>February 1, 2020</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1"/>
          <w:numId w:val="16"/>
        </w:numPr>
        <w:rPr>
          <w:rFonts w:ascii="Arial" w:cs="Arial" w:eastAsia="Arial" w:hAnsi="Arial"/>
          <w:sz w:val="18"/>
          <w:szCs w:val="18"/>
          <w:color w:val="auto"/>
        </w:rPr>
      </w:pPr>
      <w:r>
        <w:rPr>
          <w:rFonts w:ascii="Arial" w:cs="Arial" w:eastAsia="Arial" w:hAnsi="Arial"/>
          <w:sz w:val="17"/>
          <w:szCs w:val="17"/>
          <w:color w:val="auto"/>
        </w:rPr>
        <w:t>February 2, 2019</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1"/>
          <w:numId w:val="16"/>
        </w:numPr>
        <w:rPr>
          <w:rFonts w:ascii="Arial" w:cs="Arial" w:eastAsia="Arial" w:hAnsi="Arial"/>
          <w:sz w:val="18"/>
          <w:szCs w:val="18"/>
          <w:color w:val="auto"/>
        </w:rPr>
      </w:pPr>
      <w:r>
        <w:rPr>
          <w:rFonts w:ascii="Arial" w:cs="Arial" w:eastAsia="Arial" w:hAnsi="Arial"/>
          <w:sz w:val="17"/>
          <w:szCs w:val="17"/>
          <w:color w:val="auto"/>
        </w:rPr>
        <w:t>February 3, 2018</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7"/>
          <w:szCs w:val="17"/>
          <w:color w:val="auto"/>
        </w:rPr>
        <w:t>Consolidated Statements of Comprehensive Income for the fiscal years ended:</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1"/>
          <w:numId w:val="16"/>
        </w:numPr>
        <w:rPr>
          <w:rFonts w:ascii="Arial" w:cs="Arial" w:eastAsia="Arial" w:hAnsi="Arial"/>
          <w:sz w:val="18"/>
          <w:szCs w:val="18"/>
          <w:color w:val="auto"/>
        </w:rPr>
      </w:pPr>
      <w:r>
        <w:rPr>
          <w:rFonts w:ascii="Arial" w:cs="Arial" w:eastAsia="Arial" w:hAnsi="Arial"/>
          <w:sz w:val="17"/>
          <w:szCs w:val="17"/>
          <w:color w:val="auto"/>
        </w:rPr>
        <w:t>February 1, 2020</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1"/>
          <w:numId w:val="16"/>
        </w:numPr>
        <w:rPr>
          <w:rFonts w:ascii="Arial" w:cs="Arial" w:eastAsia="Arial" w:hAnsi="Arial"/>
          <w:sz w:val="18"/>
          <w:szCs w:val="18"/>
          <w:color w:val="auto"/>
        </w:rPr>
      </w:pPr>
      <w:r>
        <w:rPr>
          <w:rFonts w:ascii="Arial" w:cs="Arial" w:eastAsia="Arial" w:hAnsi="Arial"/>
          <w:sz w:val="17"/>
          <w:szCs w:val="17"/>
          <w:color w:val="auto"/>
        </w:rPr>
        <w:t>February 2, 2019</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1"/>
          <w:numId w:val="16"/>
        </w:numPr>
        <w:rPr>
          <w:rFonts w:ascii="Arial" w:cs="Arial" w:eastAsia="Arial" w:hAnsi="Arial"/>
          <w:sz w:val="18"/>
          <w:szCs w:val="18"/>
          <w:color w:val="auto"/>
        </w:rPr>
      </w:pPr>
      <w:r>
        <w:rPr>
          <w:rFonts w:ascii="Arial" w:cs="Arial" w:eastAsia="Arial" w:hAnsi="Arial"/>
          <w:sz w:val="17"/>
          <w:szCs w:val="17"/>
          <w:color w:val="auto"/>
        </w:rPr>
        <w:t>February 3, 2018</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7"/>
          <w:szCs w:val="17"/>
          <w:color w:val="auto"/>
        </w:rPr>
        <w:t>Consolidated Balance Sheets as of:</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1"/>
          <w:numId w:val="16"/>
        </w:numPr>
        <w:rPr>
          <w:rFonts w:ascii="Arial" w:cs="Arial" w:eastAsia="Arial" w:hAnsi="Arial"/>
          <w:sz w:val="18"/>
          <w:szCs w:val="18"/>
          <w:color w:val="auto"/>
        </w:rPr>
      </w:pPr>
      <w:r>
        <w:rPr>
          <w:rFonts w:ascii="Arial" w:cs="Arial" w:eastAsia="Arial" w:hAnsi="Arial"/>
          <w:sz w:val="17"/>
          <w:szCs w:val="17"/>
          <w:color w:val="auto"/>
        </w:rPr>
        <w:t>February 1, 2020</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1"/>
          <w:numId w:val="16"/>
        </w:numPr>
        <w:rPr>
          <w:rFonts w:ascii="Arial" w:cs="Arial" w:eastAsia="Arial" w:hAnsi="Arial"/>
          <w:sz w:val="18"/>
          <w:szCs w:val="18"/>
          <w:color w:val="auto"/>
        </w:rPr>
      </w:pPr>
      <w:r>
        <w:rPr>
          <w:rFonts w:ascii="Arial" w:cs="Arial" w:eastAsia="Arial" w:hAnsi="Arial"/>
          <w:sz w:val="17"/>
          <w:szCs w:val="17"/>
          <w:color w:val="auto"/>
        </w:rPr>
        <w:t>February 2, 2019</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7"/>
          <w:szCs w:val="17"/>
          <w:color w:val="auto"/>
        </w:rPr>
        <w:t>Consolidated Statements of Changes in Shareholders’ Equity for the fiscal years ended:</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1"/>
          <w:numId w:val="16"/>
        </w:numPr>
        <w:rPr>
          <w:rFonts w:ascii="Arial" w:cs="Arial" w:eastAsia="Arial" w:hAnsi="Arial"/>
          <w:sz w:val="18"/>
          <w:szCs w:val="18"/>
          <w:color w:val="auto"/>
        </w:rPr>
      </w:pPr>
      <w:r>
        <w:rPr>
          <w:rFonts w:ascii="Arial" w:cs="Arial" w:eastAsia="Arial" w:hAnsi="Arial"/>
          <w:sz w:val="17"/>
          <w:szCs w:val="17"/>
          <w:color w:val="auto"/>
        </w:rPr>
        <w:t>February 1, 2020</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1"/>
          <w:numId w:val="16"/>
        </w:numPr>
        <w:rPr>
          <w:rFonts w:ascii="Arial" w:cs="Arial" w:eastAsia="Arial" w:hAnsi="Arial"/>
          <w:sz w:val="18"/>
          <w:szCs w:val="18"/>
          <w:color w:val="auto"/>
        </w:rPr>
      </w:pPr>
      <w:r>
        <w:rPr>
          <w:rFonts w:ascii="Arial" w:cs="Arial" w:eastAsia="Arial" w:hAnsi="Arial"/>
          <w:sz w:val="17"/>
          <w:szCs w:val="17"/>
          <w:color w:val="auto"/>
        </w:rPr>
        <w:t>February 2, 2019</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1"/>
          <w:numId w:val="16"/>
        </w:numPr>
        <w:rPr>
          <w:rFonts w:ascii="Arial" w:cs="Arial" w:eastAsia="Arial" w:hAnsi="Arial"/>
          <w:sz w:val="18"/>
          <w:szCs w:val="18"/>
          <w:color w:val="auto"/>
        </w:rPr>
      </w:pPr>
      <w:r>
        <w:rPr>
          <w:rFonts w:ascii="Arial" w:cs="Arial" w:eastAsia="Arial" w:hAnsi="Arial"/>
          <w:sz w:val="17"/>
          <w:szCs w:val="17"/>
          <w:color w:val="auto"/>
        </w:rPr>
        <w:t>February 3, 2018</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7"/>
          <w:szCs w:val="17"/>
          <w:color w:val="auto"/>
        </w:rPr>
        <w:t>Consolidated Statements of Cash Flows for the fiscal years ended:</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1"/>
          <w:numId w:val="16"/>
        </w:numPr>
        <w:rPr>
          <w:rFonts w:ascii="Arial" w:cs="Arial" w:eastAsia="Arial" w:hAnsi="Arial"/>
          <w:sz w:val="18"/>
          <w:szCs w:val="18"/>
          <w:color w:val="auto"/>
        </w:rPr>
      </w:pPr>
      <w:r>
        <w:rPr>
          <w:rFonts w:ascii="Arial" w:cs="Arial" w:eastAsia="Arial" w:hAnsi="Arial"/>
          <w:sz w:val="17"/>
          <w:szCs w:val="17"/>
          <w:color w:val="auto"/>
        </w:rPr>
        <w:t>February 1, 2020</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1"/>
          <w:numId w:val="16"/>
        </w:numPr>
        <w:rPr>
          <w:rFonts w:ascii="Arial" w:cs="Arial" w:eastAsia="Arial" w:hAnsi="Arial"/>
          <w:sz w:val="18"/>
          <w:szCs w:val="18"/>
          <w:color w:val="auto"/>
        </w:rPr>
      </w:pPr>
      <w:r>
        <w:rPr>
          <w:rFonts w:ascii="Arial" w:cs="Arial" w:eastAsia="Arial" w:hAnsi="Arial"/>
          <w:sz w:val="17"/>
          <w:szCs w:val="17"/>
          <w:color w:val="auto"/>
        </w:rPr>
        <w:t>February 2, 2019</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1"/>
          <w:numId w:val="16"/>
        </w:numPr>
        <w:rPr>
          <w:rFonts w:ascii="Arial" w:cs="Arial" w:eastAsia="Arial" w:hAnsi="Arial"/>
          <w:sz w:val="18"/>
          <w:szCs w:val="18"/>
          <w:color w:val="auto"/>
        </w:rPr>
      </w:pPr>
      <w:r>
        <w:rPr>
          <w:rFonts w:ascii="Arial" w:cs="Arial" w:eastAsia="Arial" w:hAnsi="Arial"/>
          <w:sz w:val="17"/>
          <w:szCs w:val="17"/>
          <w:color w:val="auto"/>
        </w:rPr>
        <w:t>February 3, 2018</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7"/>
          <w:szCs w:val="17"/>
          <w:color w:val="auto"/>
        </w:rPr>
        <w:t>Notes to the Consolidated Financial Statements.</w:t>
      </w:r>
    </w:p>
    <w:p>
      <w:pPr>
        <w:spacing w:after="0" w:line="200" w:lineRule="exact"/>
        <w:rPr>
          <w:sz w:val="20"/>
          <w:szCs w:val="20"/>
          <w:color w:val="auto"/>
        </w:rPr>
      </w:pPr>
    </w:p>
    <w:p>
      <w:pPr>
        <w:spacing w:after="0" w:line="203"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49" w:right="1440" w:bottom="1440" w:gutter="0" w:footer="0" w:header="0"/>
        </w:sectPr>
      </w:pPr>
    </w:p>
    <w:bookmarkStart w:id="37" w:name="page38"/>
    <w:bookmarkEnd w:id="37"/>
    <w:p>
      <w:pPr>
        <w:ind w:left="16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the Shareholders and Board of Directors</w:t>
      </w:r>
    </w:p>
    <w:p>
      <w:pPr>
        <w:ind w:left="60"/>
        <w:spacing w:after="0"/>
        <w:rPr>
          <w:sz w:val="20"/>
          <w:szCs w:val="20"/>
          <w:color w:val="auto"/>
        </w:rPr>
      </w:pPr>
      <w:r>
        <w:rPr>
          <w:rFonts w:ascii="Arial" w:cs="Arial" w:eastAsia="Arial" w:hAnsi="Arial"/>
          <w:sz w:val="17"/>
          <w:szCs w:val="17"/>
          <w:color w:val="auto"/>
        </w:rPr>
        <w:t>Foot Locker, Inc.:</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33"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have audited the accompanying consolidated balance sheets of Foot Locker, Inc. and subsidiaries (the Company) as of February 1, 2020 and February 2, 2019, the related consolidated statements of operations, comprehensive income, changes in shareholders’ equity, and cash flows for each of the years in the three-year period ended February 1, 2020 and the related notes (collectively, the consolidated financial statements). In our opinion, the consolidated financial statements present fairly, in all material respects, the financial position of the Company as of February 1, 2020 and February 2, 2019, and the results of its operations and its cash flows for each of the years in the three-year period ended February 1, 2020, in conformity with U.S. generally accepted accounting principles.</w:t>
      </w:r>
    </w:p>
    <w:p>
      <w:pPr>
        <w:spacing w:after="0" w:line="16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(PCAOB), the Company’s internal control over financial reporting as of February 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March 27, 2020 expressed an unqualified opinion on the effectiveness of the Company’s internal control over financial reporting.</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Change in Accounting Principle</w:t>
      </w:r>
    </w:p>
    <w:p>
      <w:pPr>
        <w:spacing w:after="0" w:line="13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 xml:space="preserve">As discussed in Note 1 to the consolidated financial statements, the Company changed its method of accounting for leases effective February 3, 2019 due to the adoption of Financial Accounting Standards Board Accounting Standards Codification (ASC) Topic 842, </w:t>
      </w:r>
      <w:r>
        <w:rPr>
          <w:rFonts w:ascii="Arial" w:cs="Arial" w:eastAsia="Arial" w:hAnsi="Arial"/>
          <w:sz w:val="17"/>
          <w:szCs w:val="17"/>
          <w:i w:val="1"/>
          <w:iCs w:val="1"/>
          <w:color w:val="auto"/>
        </w:rPr>
        <w:t>Leases.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Basis for Opinion</w:t>
      </w:r>
    </w:p>
    <w:p>
      <w:pPr>
        <w:spacing w:after="0" w:line="13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Critical Audit Matters</w:t>
      </w:r>
    </w:p>
    <w:p>
      <w:pPr>
        <w:spacing w:after="0" w:line="196"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38" w:name="page39"/>
    <w:bookmarkEnd w:id="38"/>
    <w:p>
      <w:pPr>
        <w:ind w:left="380"/>
        <w:spacing w:after="0"/>
        <w:rPr>
          <w:sz w:val="20"/>
          <w:szCs w:val="20"/>
          <w:color w:val="auto"/>
        </w:rPr>
      </w:pPr>
      <w:r>
        <w:rPr>
          <w:rFonts w:ascii="Arial" w:cs="Arial" w:eastAsia="Arial" w:hAnsi="Arial"/>
          <w:sz w:val="17"/>
          <w:szCs w:val="17"/>
          <w:i w:val="1"/>
          <w:iCs w:val="1"/>
          <w:color w:val="auto"/>
        </w:rPr>
        <w:t>Impairment of long-lived tangible assets and right-of-use assets</w:t>
      </w:r>
    </w:p>
    <w:p>
      <w:pPr>
        <w:spacing w:after="0" w:line="160" w:lineRule="exact"/>
        <w:rPr>
          <w:sz w:val="20"/>
          <w:szCs w:val="20"/>
          <w:color w:val="auto"/>
        </w:rPr>
      </w:pPr>
    </w:p>
    <w:p>
      <w:pPr>
        <w:jc w:val="both"/>
        <w:ind w:left="380" w:right="59"/>
        <w:spacing w:after="0" w:line="249" w:lineRule="auto"/>
        <w:rPr>
          <w:sz w:val="20"/>
          <w:szCs w:val="20"/>
          <w:color w:val="auto"/>
        </w:rPr>
      </w:pPr>
      <w:r>
        <w:rPr>
          <w:rFonts w:ascii="Arial" w:cs="Arial" w:eastAsia="Arial" w:hAnsi="Arial"/>
          <w:sz w:val="17"/>
          <w:szCs w:val="17"/>
          <w:color w:val="auto"/>
        </w:rPr>
        <w:t>As discussed in Notes 1 and 3 to the consolidated financial statements, the long-lived tangible assets and the right-of-use assets of the Company as of February 1, 2020 were $824 million and $2,899 million, respectively. The Company performs an impairment review when circumstances indicate that the carrying amount of the long-lived tangible assets and right-of-use assets may not be recoverable. Under the Company’s policy in determining whether an impairment indicator exists, a triggering event comprises measurable operating performance criteria and qualitative measures at the lowest level for which identifiable cash flows are largely independent of cash flows for other assets and liabilities, which is at the store level. The Company also evaluates for triggering events at the banner level. If a triggering event is identified, the Company compares the carrying amount of the asset group with the estimated future cash flows expected to result from the use of the asset group. If the carrying amount of the asset group exceeds the estimated undiscounted future cash flows, the Company measures the amount of the impairment by comparing the carrying amount of the asset group with its estimated fair value. The estimation of fair value of the asset group is measured by discounting expected future cash flows using a risk adjusted discount rate and current market-based information for right-of-use assets. During the year ended February 1, 2020, the Company’s impairment review resulted in impairment charges of $37 million related to its Footaction banner, other identified underperforming stores, and a vacant store.</w:t>
      </w:r>
    </w:p>
    <w:p>
      <w:pPr>
        <w:spacing w:after="0" w:line="144" w:lineRule="exact"/>
        <w:rPr>
          <w:sz w:val="20"/>
          <w:szCs w:val="20"/>
          <w:color w:val="auto"/>
        </w:rPr>
      </w:pPr>
    </w:p>
    <w:p>
      <w:pPr>
        <w:jc w:val="both"/>
        <w:ind w:left="380" w:right="59"/>
        <w:spacing w:after="0" w:line="249" w:lineRule="auto"/>
        <w:rPr>
          <w:sz w:val="20"/>
          <w:szCs w:val="20"/>
          <w:color w:val="auto"/>
        </w:rPr>
      </w:pPr>
      <w:r>
        <w:rPr>
          <w:rFonts w:ascii="Arial" w:cs="Arial" w:eastAsia="Arial" w:hAnsi="Arial"/>
          <w:sz w:val="17"/>
          <w:szCs w:val="17"/>
          <w:color w:val="auto"/>
        </w:rPr>
        <w:t>We identified the evaluation of the impairment of store-level long-lived tangible assets and right-of-use assets, which included the identification of triggering events, estimation of undiscounted future cash flows, and the estimation of the fair value of the asset group, as a critical audit matter. The identification of triggering events included quantitative and qualitative considerations that involved a high degree of auditor judgment to evaluate. Specifically, qualitative considerations of the business environment, including banner specific product mix, and whether these considerations would impact the future operating performance of the banner were challenging to test as minor changes to those assumptions could have a significant effect on the Company’s impairment assessment. The estimation of undiscounted future cash flows of the stores within the Footaction banner and the other identified underperforming stores within other banners involved a high degree of auditor judgment to evaluate. Specifically, the undiscounted future cash flows included estimation of store specific operating measures. The estimation of the fair value of the asset group, when necessary, involved a high degree of auditor judgment to evaluate. Specifically, the determination of fair value of a right of use asset includes use of market-based comparatives that were challenging to test as minor changes to those assumptions could have a significant effect on the determination of the fair value of the asset group, which impacted the measurement and allocation of the impairment loss within the asset group.</w:t>
      </w:r>
    </w:p>
    <w:p>
      <w:pPr>
        <w:spacing w:after="0" w:line="144" w:lineRule="exact"/>
        <w:rPr>
          <w:sz w:val="20"/>
          <w:szCs w:val="20"/>
          <w:color w:val="auto"/>
        </w:rPr>
      </w:pPr>
    </w:p>
    <w:p>
      <w:pPr>
        <w:jc w:val="both"/>
        <w:ind w:left="380" w:right="59"/>
        <w:spacing w:after="0" w:line="250" w:lineRule="auto"/>
        <w:rPr>
          <w:sz w:val="20"/>
          <w:szCs w:val="20"/>
          <w:color w:val="auto"/>
        </w:rPr>
      </w:pPr>
      <w:r>
        <w:rPr>
          <w:rFonts w:ascii="Arial" w:cs="Arial" w:eastAsia="Arial" w:hAnsi="Arial"/>
          <w:sz w:val="17"/>
          <w:szCs w:val="17"/>
          <w:color w:val="auto"/>
        </w:rPr>
        <w:t>The primary procedures we performed to address this critical audit matter included the following. We tested certain internal controls over the Company’s long-lived tangible asset and right-of-use asset impairment assessment process, including controls related to the identification of triggering events, the estimation of undiscounted future cash flows attributed to specific asset groups and the evaluation of market comparatives used to estimate the fair value of the right-of-use assets. We compared the Company’s historical estimates of future cash flows to actual results to assess the Company’s ability to accurately forecast. In addition, we involved a valuation professional with specialized skills and knowledge, who assisted in:</w:t>
      </w:r>
    </w:p>
    <w:p>
      <w:pPr>
        <w:spacing w:after="0" w:line="141" w:lineRule="exact"/>
        <w:rPr>
          <w:sz w:val="20"/>
          <w:szCs w:val="20"/>
          <w:color w:val="auto"/>
        </w:rPr>
      </w:pPr>
    </w:p>
    <w:p>
      <w:pPr>
        <w:ind w:left="1040" w:right="79" w:hanging="315"/>
        <w:spacing w:after="0" w:line="276"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evaluating the Company’s valuation methodologies used to determine the fair value of the right-of-use assets; and,</w:t>
      </w:r>
    </w:p>
    <w:p>
      <w:pPr>
        <w:spacing w:after="0" w:line="130" w:lineRule="exact"/>
        <w:rPr>
          <w:rFonts w:ascii="Arial" w:cs="Arial" w:eastAsia="Arial" w:hAnsi="Arial"/>
          <w:sz w:val="17"/>
          <w:szCs w:val="17"/>
          <w:color w:val="auto"/>
        </w:rPr>
      </w:pPr>
    </w:p>
    <w:p>
      <w:pPr>
        <w:ind w:left="1040" w:right="79" w:hanging="315"/>
        <w:spacing w:after="0" w:line="276"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assessing the significant assumptions used to determine the fair value of the right-of-use assets, including market comparables.</w:t>
      </w:r>
    </w:p>
    <w:p>
      <w:pPr>
        <w:spacing w:after="0" w:line="200" w:lineRule="exact"/>
        <w:rPr>
          <w:sz w:val="20"/>
          <w:szCs w:val="20"/>
          <w:color w:val="auto"/>
        </w:rPr>
      </w:pPr>
    </w:p>
    <w:p>
      <w:pPr>
        <w:spacing w:after="0" w:line="268"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31" w:right="1440" w:bottom="1440" w:gutter="0" w:footer="0" w:header="0"/>
        </w:sectPr>
      </w:pPr>
    </w:p>
    <w:bookmarkStart w:id="39" w:name="page40"/>
    <w:bookmarkEnd w:id="39"/>
    <w:p>
      <w:pPr>
        <w:ind w:left="380"/>
        <w:spacing w:after="0"/>
        <w:rPr>
          <w:sz w:val="20"/>
          <w:szCs w:val="20"/>
          <w:color w:val="auto"/>
        </w:rPr>
      </w:pPr>
      <w:r>
        <w:rPr>
          <w:rFonts w:ascii="Arial" w:cs="Arial" w:eastAsia="Arial" w:hAnsi="Arial"/>
          <w:sz w:val="17"/>
          <w:szCs w:val="17"/>
          <w:i w:val="1"/>
          <w:iCs w:val="1"/>
          <w:color w:val="auto"/>
        </w:rPr>
        <w:t>Adoption of Accounting Standards Codification Topic 842, Leases</w:t>
      </w:r>
    </w:p>
    <w:p>
      <w:pPr>
        <w:spacing w:after="0" w:line="160" w:lineRule="exact"/>
        <w:rPr>
          <w:sz w:val="20"/>
          <w:szCs w:val="20"/>
          <w:color w:val="auto"/>
        </w:rPr>
      </w:pPr>
    </w:p>
    <w:p>
      <w:pPr>
        <w:jc w:val="both"/>
        <w:ind w:left="380" w:right="59"/>
        <w:spacing w:after="0" w:line="234" w:lineRule="auto"/>
        <w:rPr>
          <w:sz w:val="20"/>
          <w:szCs w:val="20"/>
          <w:color w:val="auto"/>
        </w:rPr>
      </w:pPr>
      <w:r>
        <w:rPr>
          <w:rFonts w:ascii="Arial" w:cs="Arial" w:eastAsia="Arial" w:hAnsi="Arial"/>
          <w:sz w:val="17"/>
          <w:szCs w:val="17"/>
          <w:color w:val="auto"/>
        </w:rPr>
        <w:t>As discussed in Notes 1 and 15 to the consolidated financial statements, the Company adopted ASC Topic 842, Leases, on February 3, 2019. ASC Topic 842 requires, among other things, that a lessee recognize a right-of-use asset and lease liability for all operating leases with a lease term greater than 12 months. As part of the adoption, the Company recorded right-of-use assets and lease obligations of $3,148 million and $3,422 million, respectively. Additionally, upon adoption, the Company evaluated certain right-of-use assets for impairment and determined that approximately $29 million of impairment was required related to newly recognized right-of-use assets that would have been impaired in previous periods. The Company recorded an impairment of certain right-of-use-assets as of February 3, 2019, net of related income tax effects, as a $26 million reduction of beginning retained earnings.</w:t>
      </w:r>
    </w:p>
    <w:p>
      <w:pPr>
        <w:spacing w:after="0" w:line="202" w:lineRule="exact"/>
        <w:rPr>
          <w:sz w:val="20"/>
          <w:szCs w:val="20"/>
          <w:color w:val="auto"/>
        </w:rPr>
      </w:pPr>
    </w:p>
    <w:p>
      <w:pPr>
        <w:jc w:val="both"/>
        <w:ind w:left="380" w:right="59"/>
        <w:spacing w:after="0" w:line="234" w:lineRule="auto"/>
        <w:rPr>
          <w:sz w:val="20"/>
          <w:szCs w:val="20"/>
          <w:color w:val="auto"/>
        </w:rPr>
      </w:pPr>
      <w:r>
        <w:rPr>
          <w:rFonts w:ascii="Arial" w:cs="Arial" w:eastAsia="Arial" w:hAnsi="Arial"/>
          <w:sz w:val="17"/>
          <w:szCs w:val="17"/>
          <w:color w:val="auto"/>
        </w:rPr>
        <w:t>We identified the adoption of ASC Topic 842, specifically the evaluation of the discount rates used to discount the unpaid lease payments to present value, known as the incremental borrowing rate, and the assessment of the initial carrying amount of the right-of-use assets associated with previously impaired stores for impairment, as a critical audit matter. The evaluation of the incremental borrowing rates and the related methodology adopted by the Company involved a high degree of auditor judgment due to the subjectivity of determining the rate of interest it would have to pay on a collateralized basis to borrow an amount equal to the lease payments under similar terms. Additionally, the assessment of the initial fair value of the right-of-use assets of previously impaired stores involved a high degree of auditor judgment due to the subjectivity of estimating the fair value of the right-of-use assets using current market-based information.</w:t>
      </w:r>
    </w:p>
    <w:p>
      <w:pPr>
        <w:spacing w:after="0" w:line="202" w:lineRule="exact"/>
        <w:rPr>
          <w:sz w:val="20"/>
          <w:szCs w:val="20"/>
          <w:color w:val="auto"/>
        </w:rPr>
      </w:pPr>
    </w:p>
    <w:p>
      <w:pPr>
        <w:jc w:val="both"/>
        <w:ind w:left="380" w:right="59"/>
        <w:spacing w:after="0" w:line="235" w:lineRule="auto"/>
        <w:rPr>
          <w:sz w:val="20"/>
          <w:szCs w:val="20"/>
          <w:color w:val="auto"/>
        </w:rPr>
      </w:pPr>
      <w:r>
        <w:rPr>
          <w:rFonts w:ascii="Arial" w:cs="Arial" w:eastAsia="Arial" w:hAnsi="Arial"/>
          <w:sz w:val="17"/>
          <w:szCs w:val="17"/>
          <w:color w:val="auto"/>
        </w:rPr>
        <w:t>The primary procedures we performed to address this critical audit matter included the following. We tested certain internal controls over the Company’s adoption of ASC Topic 842, including controls related to the determination of inputs to the incremental borrowing rate based on the adopted methodology and the market comparatives used to estimate the fair value of the right-of-use assets. We involved a valuation professional with specialized skills and knowledge, who assisted in:</w:t>
      </w:r>
    </w:p>
    <w:p>
      <w:pPr>
        <w:spacing w:after="0" w:line="217" w:lineRule="exact"/>
        <w:rPr>
          <w:sz w:val="20"/>
          <w:szCs w:val="20"/>
          <w:color w:val="auto"/>
        </w:rPr>
      </w:pPr>
    </w:p>
    <w:p>
      <w:pPr>
        <w:ind w:left="1040" w:right="79" w:hanging="315"/>
        <w:spacing w:after="0" w:line="276"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evaluating the Company’s methodologies used to estimate the incremental borrowing rate and the fair value of the right-of-use assets;</w:t>
      </w:r>
    </w:p>
    <w:p>
      <w:pPr>
        <w:spacing w:after="0" w:line="130" w:lineRule="exact"/>
        <w:rPr>
          <w:rFonts w:ascii="Arial" w:cs="Arial" w:eastAsia="Arial" w:hAnsi="Arial"/>
          <w:sz w:val="17"/>
          <w:szCs w:val="17"/>
          <w:color w:val="auto"/>
        </w:rPr>
      </w:pPr>
    </w:p>
    <w:p>
      <w:pPr>
        <w:ind w:left="1040" w:right="79" w:hanging="315"/>
        <w:spacing w:after="0" w:line="276"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independently developing a range of discount rates using market-based information for comparable entities and comparing the Company’s incremental borrowing rates to this range of discount rates; and,</w:t>
      </w:r>
    </w:p>
    <w:p>
      <w:pPr>
        <w:spacing w:after="0" w:line="130" w:lineRule="exact"/>
        <w:rPr>
          <w:rFonts w:ascii="Arial" w:cs="Arial" w:eastAsia="Arial" w:hAnsi="Arial"/>
          <w:sz w:val="17"/>
          <w:szCs w:val="17"/>
          <w:color w:val="auto"/>
        </w:rPr>
      </w:pPr>
    </w:p>
    <w:p>
      <w:pPr>
        <w:ind w:left="1040" w:right="79" w:hanging="315"/>
        <w:spacing w:after="0" w:line="276"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assessing the significant assumptions used to estimate the fair value of the right-of-use assets, including market comparables.</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7"/>
          <w:szCs w:val="17"/>
          <w:color w:val="auto"/>
        </w:rPr>
        <w:t>/s/ KPMG LLP</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have served as the Company’s auditor since 1995.</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color w:val="auto"/>
        </w:rPr>
        <w:t>New York, New York</w:t>
      </w:r>
    </w:p>
    <w:p>
      <w:pPr>
        <w:ind w:left="60"/>
        <w:spacing w:after="0"/>
        <w:rPr>
          <w:sz w:val="20"/>
          <w:szCs w:val="20"/>
          <w:color w:val="auto"/>
        </w:rPr>
      </w:pPr>
      <w:r>
        <w:rPr>
          <w:rFonts w:ascii="Arial" w:cs="Arial" w:eastAsia="Arial" w:hAnsi="Arial"/>
          <w:sz w:val="17"/>
          <w:szCs w:val="17"/>
          <w:color w:val="auto"/>
        </w:rPr>
        <w:t>March 27, 2020</w:t>
      </w:r>
    </w:p>
    <w:p>
      <w:pPr>
        <w:spacing w:after="0" w:line="399"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31" w:right="1440" w:bottom="1440" w:gutter="0" w:footer="0" w:header="0"/>
        </w:sectPr>
      </w:pPr>
    </w:p>
    <w:bookmarkStart w:id="40" w:name="page41"/>
    <w:bookmarkEnd w:id="40"/>
    <w:tbl>
      <w:tblPr>
        <w:tblLayout w:type="fixed"/>
        <w:tblInd w:w="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520" w:type="dxa"/>
            <w:vAlign w:val="bottom"/>
            <w:gridSpan w:val="4"/>
          </w:tcPr>
          <w:p>
            <w:pPr>
              <w:ind w:left="2440"/>
              <w:spacing w:after="0"/>
              <w:rPr>
                <w:sz w:val="20"/>
                <w:szCs w:val="20"/>
                <w:color w:val="auto"/>
              </w:rPr>
            </w:pPr>
            <w:r>
              <w:rPr>
                <w:rFonts w:ascii="Arial" w:cs="Arial" w:eastAsia="Arial" w:hAnsi="Arial"/>
                <w:sz w:val="17"/>
                <w:szCs w:val="17"/>
                <w:b w:val="1"/>
                <w:bCs w:val="1"/>
                <w:color w:val="auto"/>
              </w:rPr>
              <w:t>CONSOLIDATED STATEMENTS OF OPERATIONS</w:t>
            </w: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2019</w:t>
            </w: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2018</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20" w:type="dxa"/>
            <w:vAlign w:val="bottom"/>
            <w:gridSpan w:val="5"/>
          </w:tcPr>
          <w:p>
            <w:pPr>
              <w:jc w:val="right"/>
              <w:ind w:right="495"/>
              <w:spacing w:after="0" w:line="183" w:lineRule="exact"/>
              <w:rPr>
                <w:sz w:val="20"/>
                <w:szCs w:val="20"/>
                <w:color w:val="auto"/>
              </w:rPr>
            </w:pPr>
            <w:r>
              <w:rPr>
                <w:rFonts w:ascii="Arial" w:cs="Arial" w:eastAsia="Arial" w:hAnsi="Arial"/>
                <w:sz w:val="17"/>
                <w:szCs w:val="17"/>
                <w:color w:val="auto"/>
              </w:rPr>
              <w:t>(in millions, except per share amounts)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Sales</w:t>
            </w:r>
          </w:p>
        </w:tc>
        <w:tc>
          <w:tcPr>
            <w:tcW w:w="4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8,005</w:t>
            </w:r>
          </w:p>
        </w:tc>
        <w:tc>
          <w:tcPr>
            <w:tcW w:w="4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7,939</w:t>
            </w:r>
          </w:p>
        </w:tc>
        <w:tc>
          <w:tcPr>
            <w:tcW w:w="4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7,782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sales</w:t>
            </w: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5,462</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5,411</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5,326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460" w:type="dxa"/>
            <w:vAlign w:val="bottom"/>
          </w:tcPr>
          <w:p>
            <w:pPr>
              <w:spacing w:after="0"/>
              <w:rPr>
                <w:sz w:val="16"/>
                <w:szCs w:val="16"/>
                <w:color w:val="auto"/>
              </w:rPr>
            </w:pPr>
          </w:p>
        </w:tc>
        <w:tc>
          <w:tcPr>
            <w:tcW w:w="10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1,650</w:t>
            </w:r>
          </w:p>
        </w:tc>
        <w:tc>
          <w:tcPr>
            <w:tcW w:w="420" w:type="dxa"/>
            <w:vAlign w:val="bottom"/>
          </w:tcPr>
          <w:p>
            <w:pPr>
              <w:spacing w:after="0"/>
              <w:rPr>
                <w:sz w:val="16"/>
                <w:szCs w:val="16"/>
                <w:color w:val="auto"/>
              </w:rPr>
            </w:pPr>
          </w:p>
        </w:tc>
        <w:tc>
          <w:tcPr>
            <w:tcW w:w="9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1,614</w:t>
            </w:r>
          </w:p>
        </w:tc>
        <w:tc>
          <w:tcPr>
            <w:tcW w:w="4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1,501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179</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178</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Impairment and other charges</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65</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37</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649</w:t>
            </w: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699</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571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income, net</w:t>
            </w: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11</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9</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income, net</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12</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5</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before income taxes</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672</w:t>
            </w: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713</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expense</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181</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172</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w:t>
            </w:r>
          </w:p>
        </w:tc>
        <w:tc>
          <w:tcPr>
            <w:tcW w:w="4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491</w:t>
            </w:r>
          </w:p>
        </w:tc>
        <w:tc>
          <w:tcPr>
            <w:tcW w:w="4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541</w:t>
            </w:r>
          </w:p>
        </w:tc>
        <w:tc>
          <w:tcPr>
            <w:tcW w:w="4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Basic earnings per share</w:t>
            </w:r>
          </w:p>
        </w:tc>
        <w:tc>
          <w:tcPr>
            <w:tcW w:w="4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4.52</w:t>
            </w:r>
          </w:p>
        </w:tc>
        <w:tc>
          <w:tcPr>
            <w:tcW w:w="4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4.68</w:t>
            </w:r>
          </w:p>
        </w:tc>
        <w:tc>
          <w:tcPr>
            <w:tcW w:w="4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ind w:left="80"/>
              <w:spacing w:after="0" w:line="189" w:lineRule="exact"/>
              <w:rPr>
                <w:sz w:val="20"/>
                <w:szCs w:val="20"/>
                <w:color w:val="auto"/>
              </w:rPr>
            </w:pPr>
            <w:r>
              <w:rPr>
                <w:rFonts w:ascii="Arial" w:cs="Arial" w:eastAsia="Arial" w:hAnsi="Arial"/>
                <w:sz w:val="17"/>
                <w:szCs w:val="17"/>
                <w:color w:val="auto"/>
              </w:rPr>
              <w:t>Weighted-average shares outstanding</w:t>
            </w:r>
          </w:p>
        </w:tc>
        <w:tc>
          <w:tcPr>
            <w:tcW w:w="460" w:type="dxa"/>
            <w:vAlign w:val="bottom"/>
          </w:tcPr>
          <w:p>
            <w:pPr>
              <w:spacing w:after="0"/>
              <w:rPr>
                <w:sz w:val="16"/>
                <w:szCs w:val="16"/>
                <w:color w:val="auto"/>
              </w:rPr>
            </w:pPr>
          </w:p>
        </w:tc>
        <w:tc>
          <w:tcPr>
            <w:tcW w:w="10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108.7</w:t>
            </w:r>
          </w:p>
        </w:tc>
        <w:tc>
          <w:tcPr>
            <w:tcW w:w="420" w:type="dxa"/>
            <w:vAlign w:val="bottom"/>
          </w:tcPr>
          <w:p>
            <w:pPr>
              <w:spacing w:after="0"/>
              <w:rPr>
                <w:sz w:val="16"/>
                <w:szCs w:val="16"/>
                <w:color w:val="auto"/>
              </w:rPr>
            </w:pPr>
          </w:p>
        </w:tc>
        <w:tc>
          <w:tcPr>
            <w:tcW w:w="9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115.6</w:t>
            </w:r>
          </w:p>
        </w:tc>
        <w:tc>
          <w:tcPr>
            <w:tcW w:w="4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127.2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ind w:left="80"/>
              <w:spacing w:after="0" w:line="189" w:lineRule="exact"/>
              <w:rPr>
                <w:sz w:val="20"/>
                <w:szCs w:val="20"/>
                <w:color w:val="auto"/>
              </w:rPr>
            </w:pPr>
            <w:r>
              <w:rPr>
                <w:rFonts w:ascii="Arial" w:cs="Arial" w:eastAsia="Arial" w:hAnsi="Arial"/>
                <w:sz w:val="17"/>
                <w:szCs w:val="17"/>
                <w:color w:val="auto"/>
              </w:rPr>
              <w:t>Diluted earnings per share</w:t>
            </w:r>
          </w:p>
        </w:tc>
        <w:tc>
          <w:tcPr>
            <w:tcW w:w="4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4.50</w:t>
            </w:r>
          </w:p>
        </w:tc>
        <w:tc>
          <w:tcPr>
            <w:tcW w:w="42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4.66</w:t>
            </w:r>
          </w:p>
        </w:tc>
        <w:tc>
          <w:tcPr>
            <w:tcW w:w="4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Weighted-average shares outstanding, assuming dilution</w:t>
            </w:r>
          </w:p>
        </w:tc>
        <w:tc>
          <w:tcPr>
            <w:tcW w:w="4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109.1</w:t>
            </w:r>
          </w:p>
        </w:tc>
        <w:tc>
          <w:tcPr>
            <w:tcW w:w="4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116.1</w:t>
            </w:r>
          </w:p>
        </w:tc>
        <w:tc>
          <w:tcPr>
            <w:tcW w:w="4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127.9</w:t>
            </w:r>
          </w:p>
        </w:tc>
        <w:tc>
          <w:tcPr>
            <w:tcW w:w="0" w:type="dxa"/>
            <w:vAlign w:val="bottom"/>
          </w:tcPr>
          <w:p>
            <w:pPr>
              <w:spacing w:after="0"/>
              <w:rPr>
                <w:sz w:val="1"/>
                <w:szCs w:val="1"/>
                <w:color w:val="auto"/>
              </w:rPr>
            </w:pP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543560</wp:posOffset>
            </wp:positionV>
            <wp:extent cx="2057400"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399"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42" w:right="1440"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200" w:type="dxa"/>
            <w:vAlign w:val="bottom"/>
            <w:gridSpan w:val="4"/>
          </w:tcPr>
          <w:p>
            <w:pPr>
              <w:ind w:left="1880"/>
              <w:spacing w:after="0"/>
              <w:rPr>
                <w:sz w:val="20"/>
                <w:szCs w:val="20"/>
                <w:color w:val="auto"/>
              </w:rPr>
            </w:pPr>
            <w:r>
              <w:rPr>
                <w:rFonts w:ascii="Arial" w:cs="Arial" w:eastAsia="Arial" w:hAnsi="Arial"/>
                <w:sz w:val="17"/>
                <w:szCs w:val="17"/>
                <w:b w:val="1"/>
                <w:bCs w:val="1"/>
                <w:color w:val="auto"/>
              </w:rPr>
              <w:t>CONSOLIDATED STATEMENTS OF COMPREHENSIVE INCOME</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2018</w:t>
            </w: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gridSpan w:val="2"/>
          </w:tcPr>
          <w:p>
            <w:pPr>
              <w:jc w:val="right"/>
              <w:ind w:right="75"/>
              <w:spacing w:after="0" w:line="183" w:lineRule="exact"/>
              <w:rPr>
                <w:sz w:val="20"/>
                <w:szCs w:val="20"/>
                <w:color w:val="auto"/>
              </w:rPr>
            </w:pPr>
            <w:r>
              <w:rPr>
                <w:rFonts w:ascii="Arial" w:cs="Arial" w:eastAsia="Arial" w:hAnsi="Arial"/>
                <w:sz w:val="17"/>
                <w:szCs w:val="17"/>
                <w:color w:val="auto"/>
              </w:rPr>
              <w:t>($ in millions)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Net income</w:t>
            </w:r>
          </w:p>
        </w:tc>
        <w:tc>
          <w:tcPr>
            <w:tcW w:w="900" w:type="dxa"/>
            <w:vAlign w:val="bottom"/>
            <w:shd w:val="clear" w:color="auto" w:fill="CCEEFF"/>
          </w:tcPr>
          <w:p>
            <w:pPr>
              <w:jc w:val="right"/>
              <w:ind w:right="575"/>
              <w:spacing w:after="0" w:line="189" w:lineRule="exact"/>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w w:val="98"/>
              </w:rPr>
              <w:t>491</w:t>
            </w:r>
          </w:p>
        </w:tc>
        <w:tc>
          <w:tcPr>
            <w:tcW w:w="860" w:type="dxa"/>
            <w:vAlign w:val="bottom"/>
            <w:shd w:val="clear" w:color="auto" w:fill="CCEEFF"/>
          </w:tcPr>
          <w:p>
            <w:pPr>
              <w:jc w:val="right"/>
              <w:ind w:right="575"/>
              <w:spacing w:after="0" w:line="189"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w w:val="98"/>
              </w:rPr>
              <w:t>541</w:t>
            </w:r>
          </w:p>
        </w:tc>
        <w:tc>
          <w:tcPr>
            <w:tcW w:w="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80" w:type="dxa"/>
            <w:vAlign w:val="bottom"/>
          </w:tcPr>
          <w:p>
            <w:pPr>
              <w:spacing w:after="0" w:line="189" w:lineRule="exact"/>
              <w:rPr>
                <w:sz w:val="20"/>
                <w:szCs w:val="20"/>
                <w:color w:val="auto"/>
              </w:rPr>
            </w:pPr>
            <w:r>
              <w:rPr>
                <w:rFonts w:ascii="Arial" w:cs="Arial" w:eastAsia="Arial" w:hAnsi="Arial"/>
                <w:sz w:val="17"/>
                <w:szCs w:val="17"/>
                <w:color w:val="auto"/>
              </w:rPr>
              <w:t>Other comprehensive income, net of income tax</w:t>
            </w: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80" w:type="dxa"/>
            <w:vAlign w:val="bottom"/>
          </w:tcPr>
          <w:p>
            <w:pPr>
              <w:spacing w:after="0" w:line="189" w:lineRule="exact"/>
              <w:rPr>
                <w:sz w:val="20"/>
                <w:szCs w:val="20"/>
                <w:color w:val="auto"/>
              </w:rPr>
            </w:pPr>
            <w:r>
              <w:rPr>
                <w:rFonts w:ascii="Arial" w:cs="Arial" w:eastAsia="Arial" w:hAnsi="Arial"/>
                <w:sz w:val="17"/>
                <w:szCs w:val="17"/>
                <w:i w:val="1"/>
                <w:iCs w:val="1"/>
                <w:color w:val="auto"/>
              </w:rPr>
              <w:t>Foreign currency translation adjustment:</w:t>
            </w: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80" w:type="dxa"/>
            <w:vAlign w:val="bottom"/>
            <w:shd w:val="clear" w:color="auto" w:fill="CCEEFF"/>
          </w:tcPr>
          <w:p>
            <w:pPr>
              <w:ind w:left="80"/>
              <w:spacing w:after="0" w:line="183" w:lineRule="exact"/>
              <w:rPr>
                <w:sz w:val="20"/>
                <w:szCs w:val="20"/>
                <w:color w:val="auto"/>
              </w:rPr>
            </w:pPr>
            <w:r>
              <w:rPr>
                <w:rFonts w:ascii="Arial" w:cs="Arial" w:eastAsia="Arial" w:hAnsi="Arial"/>
                <w:sz w:val="17"/>
                <w:szCs w:val="17"/>
                <w:color w:val="auto"/>
              </w:rPr>
              <w:t>Translation adjustment arising during the period, net of income</w:t>
            </w:r>
          </w:p>
        </w:tc>
        <w:tc>
          <w:tcPr>
            <w:tcW w:w="9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(20)</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tax (benefit) of $(1), $(9), and $18 million, respectively</w:t>
            </w:r>
          </w:p>
        </w:tc>
        <w:tc>
          <w:tcPr>
            <w:tcW w:w="9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(75)</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Reclassification due to the adoption of ASU 2018-02</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80" w:type="dxa"/>
            <w:vAlign w:val="bottom"/>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Cash flow hedges:</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80" w:type="dxa"/>
            <w:vAlign w:val="bottom"/>
          </w:tcPr>
          <w:p>
            <w:pPr>
              <w:ind w:left="80"/>
              <w:spacing w:after="0" w:line="183" w:lineRule="exact"/>
              <w:rPr>
                <w:sz w:val="20"/>
                <w:szCs w:val="20"/>
                <w:color w:val="auto"/>
              </w:rPr>
            </w:pPr>
            <w:r>
              <w:rPr>
                <w:rFonts w:ascii="Arial" w:cs="Arial" w:eastAsia="Arial" w:hAnsi="Arial"/>
                <w:sz w:val="17"/>
                <w:szCs w:val="17"/>
                <w:color w:val="auto"/>
              </w:rPr>
              <w:t>Change in fair value of derivatives, net of income tax benefit of</w:t>
            </w:r>
          </w:p>
        </w:tc>
        <w:tc>
          <w:tcPr>
            <w:tcW w:w="900" w:type="dxa"/>
            <w:vAlign w:val="bottom"/>
          </w:tcPr>
          <w:p>
            <w:pPr>
              <w:spacing w:after="0"/>
              <w:rPr>
                <w:sz w:val="15"/>
                <w:szCs w:val="15"/>
                <w:color w:val="auto"/>
              </w:rPr>
            </w:pPr>
          </w:p>
        </w:tc>
        <w:tc>
          <w:tcPr>
            <w:tcW w:w="46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(3)</w:t>
            </w: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tcPr>
          <w:p>
            <w:pPr>
              <w:ind w:left="280"/>
              <w:spacing w:after="0"/>
              <w:rPr>
                <w:sz w:val="20"/>
                <w:szCs w:val="20"/>
                <w:color w:val="auto"/>
              </w:rPr>
            </w:pPr>
            <w:r>
              <w:rPr>
                <w:rFonts w:ascii="Arial" w:cs="Arial" w:eastAsia="Arial" w:hAnsi="Arial"/>
                <w:sz w:val="17"/>
                <w:szCs w:val="17"/>
                <w:color w:val="auto"/>
              </w:rPr>
              <w:t>$1, $-, and $- million, respectively</w:t>
            </w:r>
          </w:p>
        </w:tc>
        <w:tc>
          <w:tcPr>
            <w:tcW w:w="9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80" w:type="dxa"/>
            <w:vAlign w:val="bottom"/>
          </w:tcPr>
          <w:p>
            <w:pPr>
              <w:spacing w:after="0" w:line="189" w:lineRule="exact"/>
              <w:rPr>
                <w:sz w:val="20"/>
                <w:szCs w:val="20"/>
                <w:color w:val="auto"/>
              </w:rPr>
            </w:pPr>
            <w:r>
              <w:rPr>
                <w:rFonts w:ascii="Arial" w:cs="Arial" w:eastAsia="Arial" w:hAnsi="Arial"/>
                <w:sz w:val="17"/>
                <w:szCs w:val="17"/>
                <w:color w:val="auto"/>
              </w:rPr>
              <w:t>Available for sale security:</w:t>
            </w: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Unrealized gain on available-for-sale security</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80" w:type="dxa"/>
            <w:vAlign w:val="bottom"/>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Pension and postretirement adjustments:</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80" w:type="dxa"/>
            <w:vAlign w:val="bottom"/>
          </w:tcPr>
          <w:p>
            <w:pPr>
              <w:ind w:left="80"/>
              <w:spacing w:after="0" w:line="183" w:lineRule="exact"/>
              <w:rPr>
                <w:sz w:val="20"/>
                <w:szCs w:val="20"/>
                <w:color w:val="auto"/>
              </w:rPr>
            </w:pPr>
            <w:r>
              <w:rPr>
                <w:rFonts w:ascii="Arial" w:cs="Arial" w:eastAsia="Arial" w:hAnsi="Arial"/>
                <w:sz w:val="17"/>
                <w:szCs w:val="17"/>
                <w:color w:val="auto"/>
              </w:rPr>
              <w:t>Net actuarial gain (loss) on foreign currency fluctuations arising</w:t>
            </w: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80" w:type="dxa"/>
            <w:vAlign w:val="bottom"/>
          </w:tcPr>
          <w:p>
            <w:pPr>
              <w:ind w:left="280"/>
              <w:spacing w:after="0" w:line="189" w:lineRule="exact"/>
              <w:rPr>
                <w:sz w:val="20"/>
                <w:szCs w:val="20"/>
                <w:color w:val="auto"/>
              </w:rPr>
            </w:pPr>
            <w:r>
              <w:rPr>
                <w:rFonts w:ascii="Arial" w:cs="Arial" w:eastAsia="Arial" w:hAnsi="Arial"/>
                <w:sz w:val="17"/>
                <w:szCs w:val="17"/>
                <w:color w:val="auto"/>
              </w:rPr>
              <w:t>during the year, net of income tax (benefit) expense of $(3),</w:t>
            </w: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tcPr>
          <w:p>
            <w:pPr>
              <w:ind w:left="280"/>
              <w:spacing w:after="0"/>
              <w:rPr>
                <w:sz w:val="20"/>
                <w:szCs w:val="20"/>
                <w:color w:val="auto"/>
              </w:rPr>
            </w:pPr>
            <w:r>
              <w:rPr>
                <w:rFonts w:ascii="Arial" w:cs="Arial" w:eastAsia="Arial" w:hAnsi="Arial"/>
                <w:sz w:val="17"/>
                <w:szCs w:val="17"/>
                <w:color w:val="auto"/>
              </w:rPr>
              <w:t>$(8), and $2 million, respectively.</w:t>
            </w:r>
          </w:p>
        </w:tc>
        <w:tc>
          <w:tcPr>
            <w:tcW w:w="900" w:type="dxa"/>
            <w:vAlign w:val="bottom"/>
          </w:tcPr>
          <w:p>
            <w:pPr>
              <w:spacing w:after="0"/>
              <w:rPr>
                <w:sz w:val="16"/>
                <w:szCs w:val="16"/>
                <w:color w:val="auto"/>
              </w:rPr>
            </w:pPr>
          </w:p>
        </w:tc>
        <w:tc>
          <w:tcPr>
            <w:tcW w:w="460" w:type="dxa"/>
            <w:vAlign w:val="bottom"/>
          </w:tcPr>
          <w:p>
            <w:pPr>
              <w:jc w:val="right"/>
              <w:ind w:right="15"/>
              <w:spacing w:after="0"/>
              <w:rPr>
                <w:sz w:val="20"/>
                <w:szCs w:val="20"/>
                <w:color w:val="auto"/>
              </w:rPr>
            </w:pPr>
            <w:r>
              <w:rPr>
                <w:rFonts w:ascii="Arial" w:cs="Arial" w:eastAsia="Arial" w:hAnsi="Arial"/>
                <w:sz w:val="17"/>
                <w:szCs w:val="17"/>
                <w:color w:val="auto"/>
              </w:rPr>
              <w:t>(9)</w:t>
            </w:r>
          </w:p>
        </w:tc>
        <w:tc>
          <w:tcPr>
            <w:tcW w:w="860" w:type="dxa"/>
            <w:vAlign w:val="bottom"/>
          </w:tcPr>
          <w:p>
            <w:pPr>
              <w:spacing w:after="0"/>
              <w:rPr>
                <w:sz w:val="16"/>
                <w:szCs w:val="16"/>
                <w:color w:val="auto"/>
              </w:rPr>
            </w:pPr>
          </w:p>
        </w:tc>
        <w:tc>
          <w:tcPr>
            <w:tcW w:w="460" w:type="dxa"/>
            <w:vAlign w:val="bottom"/>
          </w:tcPr>
          <w:p>
            <w:pPr>
              <w:jc w:val="right"/>
              <w:ind w:right="35"/>
              <w:spacing w:after="0"/>
              <w:rPr>
                <w:sz w:val="20"/>
                <w:szCs w:val="20"/>
                <w:color w:val="auto"/>
              </w:rPr>
            </w:pPr>
            <w:r>
              <w:rPr>
                <w:rFonts w:ascii="Arial" w:cs="Arial" w:eastAsia="Arial" w:hAnsi="Arial"/>
                <w:sz w:val="17"/>
                <w:szCs w:val="17"/>
                <w:color w:val="auto"/>
              </w:rPr>
              <w:t>(24)</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80" w:type="dxa"/>
            <w:vAlign w:val="bottom"/>
          </w:tcPr>
          <w:p>
            <w:pPr>
              <w:ind w:left="80"/>
              <w:spacing w:after="0" w:line="183" w:lineRule="exact"/>
              <w:rPr>
                <w:sz w:val="20"/>
                <w:szCs w:val="20"/>
                <w:color w:val="auto"/>
              </w:rPr>
            </w:pPr>
            <w:r>
              <w:rPr>
                <w:rFonts w:ascii="Arial" w:cs="Arial" w:eastAsia="Arial" w:hAnsi="Arial"/>
                <w:sz w:val="17"/>
                <w:szCs w:val="17"/>
                <w:color w:val="auto"/>
              </w:rPr>
              <w:t>Amortization of net actuarial gain/loss and prior service cost</w:t>
            </w: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80" w:type="dxa"/>
            <w:vAlign w:val="bottom"/>
          </w:tcPr>
          <w:p>
            <w:pPr>
              <w:ind w:left="280"/>
              <w:spacing w:after="0" w:line="189" w:lineRule="exact"/>
              <w:rPr>
                <w:sz w:val="20"/>
                <w:szCs w:val="20"/>
                <w:color w:val="auto"/>
              </w:rPr>
            </w:pPr>
            <w:r>
              <w:rPr>
                <w:rFonts w:ascii="Arial" w:cs="Arial" w:eastAsia="Arial" w:hAnsi="Arial"/>
                <w:sz w:val="17"/>
                <w:szCs w:val="17"/>
                <w:color w:val="auto"/>
              </w:rPr>
              <w:t>included in net periodic benefit costs, net of income tax</w:t>
            </w:r>
          </w:p>
        </w:tc>
        <w:tc>
          <w:tcPr>
            <w:tcW w:w="900" w:type="dxa"/>
            <w:vAlign w:val="bottom"/>
          </w:tcPr>
          <w:p>
            <w:pPr>
              <w:spacing w:after="0"/>
              <w:rPr>
                <w:sz w:val="16"/>
                <w:szCs w:val="16"/>
                <w:color w:val="auto"/>
              </w:rPr>
            </w:pPr>
          </w:p>
        </w:tc>
        <w:tc>
          <w:tcPr>
            <w:tcW w:w="46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8</w:t>
            </w: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tcPr>
          <w:p>
            <w:pPr>
              <w:ind w:left="280"/>
              <w:spacing w:after="0"/>
              <w:rPr>
                <w:sz w:val="20"/>
                <w:szCs w:val="20"/>
                <w:color w:val="auto"/>
              </w:rPr>
            </w:pPr>
            <w:r>
              <w:rPr>
                <w:rFonts w:ascii="Arial" w:cs="Arial" w:eastAsia="Arial" w:hAnsi="Arial"/>
                <w:sz w:val="17"/>
                <w:szCs w:val="17"/>
                <w:color w:val="auto"/>
              </w:rPr>
              <w:t>expense of $3, $3, and $4 million, respectively</w:t>
            </w:r>
          </w:p>
        </w:tc>
        <w:tc>
          <w:tcPr>
            <w:tcW w:w="9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ind w:right="75"/>
              <w:spacing w:after="0"/>
              <w:rPr>
                <w:sz w:val="20"/>
                <w:szCs w:val="20"/>
                <w:color w:val="auto"/>
              </w:rPr>
            </w:pPr>
            <w:r>
              <w:rPr>
                <w:rFonts w:ascii="Arial" w:cs="Arial" w:eastAsia="Arial" w:hAnsi="Arial"/>
                <w:sz w:val="17"/>
                <w:szCs w:val="17"/>
                <w:color w:val="auto"/>
              </w:rPr>
              <w:t>8</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8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Reclassification due to the adoption of ASU 2018-02</w:t>
            </w: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Comprehensive income</w:t>
            </w:r>
          </w:p>
        </w:tc>
        <w:tc>
          <w:tcPr>
            <w:tcW w:w="900" w:type="dxa"/>
            <w:vAlign w:val="bottom"/>
            <w:tcBorders>
              <w:bottom w:val="single" w:sz="8" w:color="auto"/>
            </w:tcBorders>
            <w:shd w:val="clear" w:color="auto" w:fill="CCEEFF"/>
          </w:tcPr>
          <w:p>
            <w:pPr>
              <w:jc w:val="right"/>
              <w:ind w:right="575"/>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w w:val="98"/>
              </w:rPr>
              <w:t>467</w:t>
            </w:r>
          </w:p>
        </w:tc>
        <w:tc>
          <w:tcPr>
            <w:tcW w:w="860" w:type="dxa"/>
            <w:vAlign w:val="bottom"/>
            <w:tcBorders>
              <w:bottom w:val="single" w:sz="8" w:color="auto"/>
            </w:tcBorders>
            <w:shd w:val="clear" w:color="auto" w:fill="CCEEFF"/>
          </w:tcPr>
          <w:p>
            <w:pPr>
              <w:jc w:val="right"/>
              <w:ind w:right="575"/>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w w:val="98"/>
              </w:rPr>
              <w:t>450</w:t>
            </w:r>
          </w:p>
        </w:tc>
        <w:tc>
          <w:tcPr>
            <w:tcW w:w="3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543560</wp:posOffset>
            </wp:positionV>
            <wp:extent cx="2057400"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399"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42" w:right="1440" w:bottom="1440" w:gutter="0" w:footer="0" w:header="0"/>
        </w:sectPr>
      </w:pPr>
    </w:p>
    <w:bookmarkStart w:id="42" w:name="page43"/>
    <w:bookmarkEnd w:id="42"/>
    <w:tbl>
      <w:tblPr>
        <w:tblLayout w:type="fixed"/>
        <w:tblInd w:w="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200" w:type="dxa"/>
            <w:vAlign w:val="bottom"/>
            <w:gridSpan w:val="2"/>
          </w:tcPr>
          <w:p>
            <w:pPr>
              <w:jc w:val="right"/>
              <w:ind w:right="1055"/>
              <w:spacing w:after="0"/>
              <w:rPr>
                <w:sz w:val="20"/>
                <w:szCs w:val="20"/>
                <w:color w:val="auto"/>
              </w:rPr>
            </w:pPr>
            <w:r>
              <w:rPr>
                <w:rFonts w:ascii="Arial" w:cs="Arial" w:eastAsia="Arial" w:hAnsi="Arial"/>
                <w:sz w:val="17"/>
                <w:szCs w:val="17"/>
                <w:b w:val="1"/>
                <w:bCs w:val="1"/>
                <w:color w:val="auto"/>
              </w:rPr>
              <w:t>CONSOLIDATED BALANCE SHEETS</w:t>
            </w: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40" w:type="dxa"/>
            <w:vAlign w:val="bottom"/>
          </w:tcPr>
          <w:p>
            <w:pPr>
              <w:jc w:val="right"/>
              <w:ind w:right="395"/>
              <w:spacing w:after="0"/>
              <w:rPr>
                <w:sz w:val="20"/>
                <w:szCs w:val="20"/>
                <w:color w:val="auto"/>
              </w:rPr>
            </w:pPr>
            <w:r>
              <w:rPr>
                <w:rFonts w:ascii="Arial" w:cs="Arial" w:eastAsia="Arial" w:hAnsi="Arial"/>
                <w:sz w:val="17"/>
                <w:szCs w:val="17"/>
                <w:b w:val="1"/>
                <w:bCs w:val="1"/>
                <w:color w:val="auto"/>
              </w:rPr>
              <w:t>February 1,</w:t>
            </w:r>
          </w:p>
        </w:tc>
        <w:tc>
          <w:tcPr>
            <w:tcW w:w="540" w:type="dxa"/>
            <w:vAlign w:val="bottom"/>
          </w:tcPr>
          <w:p>
            <w:pPr>
              <w:spacing w:after="0"/>
              <w:rPr>
                <w:sz w:val="24"/>
                <w:szCs w:val="24"/>
                <w:color w:val="auto"/>
              </w:rPr>
            </w:pPr>
          </w:p>
        </w:tc>
        <w:tc>
          <w:tcPr>
            <w:tcW w:w="1300" w:type="dxa"/>
            <w:vAlign w:val="bottom"/>
          </w:tcPr>
          <w:p>
            <w:pPr>
              <w:jc w:val="right"/>
              <w:ind w:right="315"/>
              <w:spacing w:after="0"/>
              <w:rPr>
                <w:sz w:val="20"/>
                <w:szCs w:val="20"/>
                <w:color w:val="auto"/>
              </w:rPr>
            </w:pPr>
            <w:r>
              <w:rPr>
                <w:rFonts w:ascii="Arial" w:cs="Arial" w:eastAsia="Arial" w:hAnsi="Arial"/>
                <w:sz w:val="17"/>
                <w:szCs w:val="17"/>
                <w:color w:val="auto"/>
              </w:rPr>
              <w:t>February 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in millions)</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26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8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assets:</w:t>
            </w:r>
          </w:p>
        </w:tc>
        <w:tc>
          <w:tcPr>
            <w:tcW w:w="26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tcPr>
          <w:p>
            <w:pPr>
              <w:ind w:left="80"/>
              <w:spacing w:after="0" w:line="189" w:lineRule="exact"/>
              <w:rPr>
                <w:sz w:val="20"/>
                <w:szCs w:val="20"/>
                <w:color w:val="auto"/>
              </w:rPr>
            </w:pPr>
            <w:r>
              <w:rPr>
                <w:rFonts w:ascii="Arial" w:cs="Arial" w:eastAsia="Arial" w:hAnsi="Arial"/>
                <w:sz w:val="17"/>
                <w:szCs w:val="17"/>
                <w:color w:val="auto"/>
              </w:rPr>
              <w:t>Cash and cash equivalents</w:t>
            </w:r>
          </w:p>
        </w:tc>
        <w:tc>
          <w:tcPr>
            <w:tcW w:w="26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5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907</w:t>
            </w:r>
          </w:p>
        </w:tc>
        <w:tc>
          <w:tcPr>
            <w:tcW w:w="540" w:type="dxa"/>
            <w:vAlign w:val="bottom"/>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Merchandise inventories</w:t>
            </w:r>
          </w:p>
        </w:tc>
        <w:tc>
          <w:tcPr>
            <w:tcW w:w="26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1,208</w:t>
            </w:r>
          </w:p>
        </w:tc>
        <w:tc>
          <w:tcPr>
            <w:tcW w:w="5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Other current assets</w:t>
            </w:r>
          </w:p>
        </w:tc>
        <w:tc>
          <w:tcPr>
            <w:tcW w:w="26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271</w:t>
            </w: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2,386</w:t>
            </w: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tcPr>
          <w:p>
            <w:pPr>
              <w:spacing w:after="0" w:line="189" w:lineRule="exact"/>
              <w:rPr>
                <w:sz w:val="20"/>
                <w:szCs w:val="20"/>
                <w:color w:val="auto"/>
              </w:rPr>
            </w:pPr>
            <w:r>
              <w:rPr>
                <w:rFonts w:ascii="Arial" w:cs="Arial" w:eastAsia="Arial" w:hAnsi="Arial"/>
                <w:sz w:val="17"/>
                <w:szCs w:val="17"/>
                <w:color w:val="auto"/>
              </w:rPr>
              <w:t>Property and equipment, net</w:t>
            </w:r>
          </w:p>
        </w:tc>
        <w:tc>
          <w:tcPr>
            <w:tcW w:w="2660" w:type="dxa"/>
            <w:vAlign w:val="bottom"/>
          </w:tcPr>
          <w:p>
            <w:pPr>
              <w:spacing w:after="0"/>
              <w:rPr>
                <w:sz w:val="16"/>
                <w:szCs w:val="16"/>
                <w:color w:val="auto"/>
              </w:rPr>
            </w:pPr>
          </w:p>
        </w:tc>
        <w:tc>
          <w:tcPr>
            <w:tcW w:w="15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824</w:t>
            </w:r>
          </w:p>
        </w:tc>
        <w:tc>
          <w:tcPr>
            <w:tcW w:w="5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836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lease right-of-use assets</w:t>
            </w:r>
          </w:p>
        </w:tc>
        <w:tc>
          <w:tcPr>
            <w:tcW w:w="26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2,899</w:t>
            </w:r>
          </w:p>
        </w:tc>
        <w:tc>
          <w:tcPr>
            <w:tcW w:w="5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tcPr>
          <w:p>
            <w:pPr>
              <w:spacing w:after="0" w:line="189" w:lineRule="exact"/>
              <w:rPr>
                <w:sz w:val="20"/>
                <w:szCs w:val="20"/>
                <w:color w:val="auto"/>
              </w:rPr>
            </w:pPr>
            <w:r>
              <w:rPr>
                <w:rFonts w:ascii="Arial" w:cs="Arial" w:eastAsia="Arial" w:hAnsi="Arial"/>
                <w:sz w:val="17"/>
                <w:szCs w:val="17"/>
                <w:color w:val="auto"/>
              </w:rPr>
              <w:t>Deferred taxes</w:t>
            </w:r>
          </w:p>
        </w:tc>
        <w:tc>
          <w:tcPr>
            <w:tcW w:w="2660" w:type="dxa"/>
            <w:vAlign w:val="bottom"/>
          </w:tcPr>
          <w:p>
            <w:pPr>
              <w:spacing w:after="0"/>
              <w:rPr>
                <w:sz w:val="16"/>
                <w:szCs w:val="16"/>
                <w:color w:val="auto"/>
              </w:rPr>
            </w:pPr>
          </w:p>
        </w:tc>
        <w:tc>
          <w:tcPr>
            <w:tcW w:w="15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81</w:t>
            </w:r>
          </w:p>
        </w:tc>
        <w:tc>
          <w:tcPr>
            <w:tcW w:w="5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Goodwill</w:t>
            </w:r>
          </w:p>
        </w:tc>
        <w:tc>
          <w:tcPr>
            <w:tcW w:w="26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156</w:t>
            </w:r>
          </w:p>
        </w:tc>
        <w:tc>
          <w:tcPr>
            <w:tcW w:w="5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tcPr>
          <w:p>
            <w:pPr>
              <w:spacing w:after="0" w:line="189" w:lineRule="exact"/>
              <w:rPr>
                <w:sz w:val="20"/>
                <w:szCs w:val="20"/>
                <w:color w:val="auto"/>
              </w:rPr>
            </w:pPr>
            <w:r>
              <w:rPr>
                <w:rFonts w:ascii="Arial" w:cs="Arial" w:eastAsia="Arial" w:hAnsi="Arial"/>
                <w:sz w:val="17"/>
                <w:szCs w:val="17"/>
                <w:color w:val="auto"/>
              </w:rPr>
              <w:t>Other intangible assets, net</w:t>
            </w:r>
          </w:p>
        </w:tc>
        <w:tc>
          <w:tcPr>
            <w:tcW w:w="2660" w:type="dxa"/>
            <w:vAlign w:val="bottom"/>
          </w:tcPr>
          <w:p>
            <w:pPr>
              <w:spacing w:after="0"/>
              <w:rPr>
                <w:sz w:val="16"/>
                <w:szCs w:val="16"/>
                <w:color w:val="auto"/>
              </w:rPr>
            </w:pPr>
          </w:p>
        </w:tc>
        <w:tc>
          <w:tcPr>
            <w:tcW w:w="15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20</w:t>
            </w:r>
          </w:p>
        </w:tc>
        <w:tc>
          <w:tcPr>
            <w:tcW w:w="5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assets</w:t>
            </w:r>
          </w:p>
        </w:tc>
        <w:tc>
          <w:tcPr>
            <w:tcW w:w="26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223</w:t>
            </w:r>
          </w:p>
        </w:tc>
        <w:tc>
          <w:tcPr>
            <w:tcW w:w="5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5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6,589</w:t>
            </w:r>
          </w:p>
        </w:tc>
        <w:tc>
          <w:tcPr>
            <w:tcW w:w="54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3,820</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0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LIABILITIES AND SHAREHOLDERS’ EQUITY</w:t>
            </w:r>
          </w:p>
        </w:tc>
        <w:tc>
          <w:tcPr>
            <w:tcW w:w="1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tcPr>
          <w:p>
            <w:pPr>
              <w:spacing w:after="0" w:line="189" w:lineRule="exact"/>
              <w:rPr>
                <w:sz w:val="20"/>
                <w:szCs w:val="20"/>
                <w:color w:val="auto"/>
              </w:rPr>
            </w:pPr>
            <w:r>
              <w:rPr>
                <w:rFonts w:ascii="Arial" w:cs="Arial" w:eastAsia="Arial" w:hAnsi="Arial"/>
                <w:sz w:val="17"/>
                <w:szCs w:val="17"/>
                <w:color w:val="auto"/>
              </w:rPr>
              <w:t>Current liabilities:</w:t>
            </w:r>
          </w:p>
        </w:tc>
        <w:tc>
          <w:tcPr>
            <w:tcW w:w="2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Accounts payable</w:t>
            </w:r>
          </w:p>
        </w:tc>
        <w:tc>
          <w:tcPr>
            <w:tcW w:w="26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5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333</w:t>
            </w:r>
          </w:p>
        </w:tc>
        <w:tc>
          <w:tcPr>
            <w:tcW w:w="54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tcPr>
          <w:p>
            <w:pPr>
              <w:ind w:left="80"/>
              <w:spacing w:after="0" w:line="189" w:lineRule="exact"/>
              <w:rPr>
                <w:sz w:val="20"/>
                <w:szCs w:val="20"/>
                <w:color w:val="auto"/>
              </w:rPr>
            </w:pPr>
            <w:r>
              <w:rPr>
                <w:rFonts w:ascii="Arial" w:cs="Arial" w:eastAsia="Arial" w:hAnsi="Arial"/>
                <w:sz w:val="17"/>
                <w:szCs w:val="17"/>
                <w:color w:val="auto"/>
              </w:rPr>
              <w:t>Accrued and other liabilities</w:t>
            </w:r>
          </w:p>
        </w:tc>
        <w:tc>
          <w:tcPr>
            <w:tcW w:w="2660" w:type="dxa"/>
            <w:vAlign w:val="bottom"/>
          </w:tcPr>
          <w:p>
            <w:pPr>
              <w:spacing w:after="0"/>
              <w:rPr>
                <w:sz w:val="16"/>
                <w:szCs w:val="16"/>
                <w:color w:val="auto"/>
              </w:rPr>
            </w:pPr>
          </w:p>
        </w:tc>
        <w:tc>
          <w:tcPr>
            <w:tcW w:w="15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343</w:t>
            </w:r>
          </w:p>
        </w:tc>
        <w:tc>
          <w:tcPr>
            <w:tcW w:w="5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Current portion of lease obligations</w:t>
            </w:r>
          </w:p>
        </w:tc>
        <w:tc>
          <w:tcPr>
            <w:tcW w:w="26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518</w:t>
            </w:r>
          </w:p>
        </w:tc>
        <w:tc>
          <w:tcPr>
            <w:tcW w:w="5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54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1,194</w:t>
            </w:r>
          </w:p>
        </w:tc>
        <w:tc>
          <w:tcPr>
            <w:tcW w:w="54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7"/>
                <w:szCs w:val="17"/>
                <w:color w:val="auto"/>
              </w:rPr>
              <w:t>764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Long-term debt</w:t>
            </w:r>
          </w:p>
        </w:tc>
        <w:tc>
          <w:tcPr>
            <w:tcW w:w="26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122</w:t>
            </w:r>
          </w:p>
        </w:tc>
        <w:tc>
          <w:tcPr>
            <w:tcW w:w="5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tcPr>
          <w:p>
            <w:pPr>
              <w:spacing w:after="0" w:line="189" w:lineRule="exact"/>
              <w:rPr>
                <w:sz w:val="20"/>
                <w:szCs w:val="20"/>
                <w:color w:val="auto"/>
              </w:rPr>
            </w:pPr>
            <w:r>
              <w:rPr>
                <w:rFonts w:ascii="Arial" w:cs="Arial" w:eastAsia="Arial" w:hAnsi="Arial"/>
                <w:sz w:val="17"/>
                <w:szCs w:val="17"/>
                <w:color w:val="auto"/>
              </w:rPr>
              <w:t>Long-term lease obligations</w:t>
            </w:r>
          </w:p>
        </w:tc>
        <w:tc>
          <w:tcPr>
            <w:tcW w:w="2660" w:type="dxa"/>
            <w:vAlign w:val="bottom"/>
          </w:tcPr>
          <w:p>
            <w:pPr>
              <w:spacing w:after="0"/>
              <w:rPr>
                <w:sz w:val="16"/>
                <w:szCs w:val="16"/>
                <w:color w:val="auto"/>
              </w:rPr>
            </w:pPr>
          </w:p>
        </w:tc>
        <w:tc>
          <w:tcPr>
            <w:tcW w:w="15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2,678</w:t>
            </w:r>
          </w:p>
        </w:tc>
        <w:tc>
          <w:tcPr>
            <w:tcW w:w="5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liabilities</w:t>
            </w:r>
          </w:p>
        </w:tc>
        <w:tc>
          <w:tcPr>
            <w:tcW w:w="26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122</w:t>
            </w:r>
          </w:p>
        </w:tc>
        <w:tc>
          <w:tcPr>
            <w:tcW w:w="5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40" w:type="dxa"/>
            <w:vAlign w:val="bottom"/>
          </w:tcPr>
          <w:p>
            <w:pPr>
              <w:spacing w:after="0" w:line="183" w:lineRule="exact"/>
              <w:rPr>
                <w:sz w:val="20"/>
                <w:szCs w:val="20"/>
                <w:color w:val="auto"/>
              </w:rPr>
            </w:pPr>
            <w:r>
              <w:rPr>
                <w:rFonts w:ascii="Arial" w:cs="Arial" w:eastAsia="Arial" w:hAnsi="Arial"/>
                <w:sz w:val="17"/>
                <w:szCs w:val="17"/>
                <w:color w:val="auto"/>
              </w:rPr>
              <w:t>Total liabilities</w:t>
            </w:r>
          </w:p>
        </w:tc>
        <w:tc>
          <w:tcPr>
            <w:tcW w:w="2660" w:type="dxa"/>
            <w:vAlign w:val="bottom"/>
          </w:tcPr>
          <w:p>
            <w:pPr>
              <w:spacing w:after="0"/>
              <w:rPr>
                <w:sz w:val="15"/>
                <w:szCs w:val="15"/>
                <w:color w:val="auto"/>
              </w:rPr>
            </w:pPr>
          </w:p>
        </w:tc>
        <w:tc>
          <w:tcPr>
            <w:tcW w:w="154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4,116</w:t>
            </w:r>
          </w:p>
        </w:tc>
        <w:tc>
          <w:tcPr>
            <w:tcW w:w="54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7"/>
                <w:szCs w:val="17"/>
                <w:color w:val="auto"/>
              </w:rPr>
              <w:t>1,314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Shareholders’ equity</w:t>
            </w:r>
          </w:p>
        </w:tc>
        <w:tc>
          <w:tcPr>
            <w:tcW w:w="26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2,473</w:t>
            </w:r>
          </w:p>
        </w:tc>
        <w:tc>
          <w:tcPr>
            <w:tcW w:w="5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2,506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5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6,589</w:t>
            </w:r>
          </w:p>
        </w:tc>
        <w:tc>
          <w:tcPr>
            <w:tcW w:w="54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543560</wp:posOffset>
            </wp:positionV>
            <wp:extent cx="2057400" cy="222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1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42" w:right="1440"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2745740</wp:posOffset>
            </wp:positionH>
            <wp:positionV relativeFrom="page">
              <wp:posOffset>543560</wp:posOffset>
            </wp:positionV>
            <wp:extent cx="2057400"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CONSOLIDATED STATEMENTS OF CHANGES IN SHAREHOLDERS’ EQUITY</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Additional Paid-In</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13"/>
              <w:spacing w:after="0"/>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8"/>
        </w:trPr>
        <w:tc>
          <w:tcPr>
            <w:tcW w:w="3320" w:type="dxa"/>
            <w:vAlign w:val="bottom"/>
          </w:tcPr>
          <w:p>
            <w:pPr>
              <w:spacing w:after="0"/>
              <w:rPr>
                <w:sz w:val="12"/>
                <w:szCs w:val="12"/>
                <w:color w:val="auto"/>
              </w:rPr>
            </w:pPr>
          </w:p>
        </w:tc>
        <w:tc>
          <w:tcPr>
            <w:tcW w:w="940" w:type="dxa"/>
            <w:vAlign w:val="bottom"/>
            <w:gridSpan w:val="2"/>
          </w:tcPr>
          <w:p>
            <w:pPr>
              <w:jc w:val="center"/>
              <w:ind w:left="213"/>
              <w:spacing w:after="0"/>
              <w:rPr>
                <w:sz w:val="20"/>
                <w:szCs w:val="20"/>
                <w:color w:val="auto"/>
              </w:rPr>
            </w:pPr>
            <w:r>
              <w:rPr>
                <w:rFonts w:ascii="Arial" w:cs="Arial" w:eastAsia="Arial" w:hAnsi="Arial"/>
                <w:sz w:val="13"/>
                <w:szCs w:val="13"/>
                <w:b w:val="1"/>
                <w:bCs w:val="1"/>
                <w:color w:val="auto"/>
              </w:rPr>
              <w:t>Capital &amp;</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33"/>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2"/>
                <w:szCs w:val="12"/>
                <w:color w:val="auto"/>
              </w:rPr>
            </w:pPr>
          </w:p>
        </w:tc>
        <w:tc>
          <w:tcPr>
            <w:tcW w:w="720" w:type="dxa"/>
            <w:vAlign w:val="bottom"/>
          </w:tcPr>
          <w:p>
            <w:pPr>
              <w:jc w:val="center"/>
              <w:ind w:right="113"/>
              <w:spacing w:after="0"/>
              <w:rPr>
                <w:sz w:val="20"/>
                <w:szCs w:val="20"/>
                <w:color w:val="auto"/>
              </w:rPr>
            </w:pPr>
            <w:r>
              <w:rPr>
                <w:rFonts w:ascii="Arial" w:cs="Arial" w:eastAsia="Arial" w:hAnsi="Arial"/>
                <w:sz w:val="13"/>
                <w:szCs w:val="13"/>
                <w:b w:val="1"/>
                <w:bCs w:val="1"/>
                <w:color w:val="auto"/>
                <w:w w:val="96"/>
              </w:rPr>
              <w:t>Total</w:t>
            </w:r>
          </w:p>
        </w:tc>
      </w:tr>
      <w:tr>
        <w:trPr>
          <w:trHeight w:val="165"/>
        </w:trPr>
        <w:tc>
          <w:tcPr>
            <w:tcW w:w="3320" w:type="dxa"/>
            <w:vAlign w:val="bottom"/>
          </w:tcPr>
          <w:p>
            <w:pPr>
              <w:spacing w:after="0"/>
              <w:rPr>
                <w:sz w:val="14"/>
                <w:szCs w:val="1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Common Stock</w:t>
            </w:r>
          </w:p>
        </w:tc>
        <w:tc>
          <w:tcPr>
            <w:tcW w:w="134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Treasury Stock</w:t>
            </w: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Retained</w:t>
            </w:r>
          </w:p>
        </w:tc>
        <w:tc>
          <w:tcPr>
            <w:tcW w:w="1220" w:type="dxa"/>
            <w:vAlign w:val="bottom"/>
            <w:gridSpan w:val="2"/>
          </w:tcPr>
          <w:p>
            <w:pPr>
              <w:ind w:left="100"/>
              <w:spacing w:after="0"/>
              <w:rPr>
                <w:sz w:val="20"/>
                <w:szCs w:val="20"/>
                <w:color w:val="auto"/>
              </w:rPr>
            </w:pPr>
            <w:r>
              <w:rPr>
                <w:rFonts w:ascii="Arial" w:cs="Arial" w:eastAsia="Arial" w:hAnsi="Arial"/>
                <w:sz w:val="13"/>
                <w:szCs w:val="13"/>
                <w:b w:val="1"/>
                <w:bCs w:val="1"/>
                <w:color w:val="auto"/>
              </w:rPr>
              <w:t>Comprehensive</w:t>
            </w:r>
          </w:p>
        </w:tc>
        <w:tc>
          <w:tcPr>
            <w:tcW w:w="980" w:type="dxa"/>
            <w:vAlign w:val="bottom"/>
            <w:gridSpan w:val="2"/>
          </w:tcPr>
          <w:p>
            <w:pPr>
              <w:jc w:val="center"/>
              <w:ind w:left="13"/>
              <w:spacing w:after="0"/>
              <w:rPr>
                <w:sz w:val="20"/>
                <w:szCs w:val="20"/>
                <w:color w:val="auto"/>
              </w:rPr>
            </w:pPr>
            <w:r>
              <w:rPr>
                <w:rFonts w:ascii="Arial" w:cs="Arial" w:eastAsia="Arial" w:hAnsi="Arial"/>
                <w:sz w:val="13"/>
                <w:szCs w:val="13"/>
                <w:b w:val="1"/>
                <w:bCs w:val="1"/>
                <w:color w:val="auto"/>
              </w:rPr>
              <w:t>Shareholders'</w:t>
            </w:r>
          </w:p>
        </w:tc>
      </w:tr>
      <w:tr>
        <w:trPr>
          <w:trHeight w:val="142"/>
        </w:trPr>
        <w:tc>
          <w:tcPr>
            <w:tcW w:w="33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color w:val="auto"/>
              </w:rPr>
              <w:t>(shares in thousands, amounts in millions)</w:t>
            </w:r>
          </w:p>
        </w:tc>
        <w:tc>
          <w:tcPr>
            <w:tcW w:w="6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Shares</w:t>
            </w: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Shares</w:t>
            </w:r>
          </w:p>
        </w:tc>
        <w:tc>
          <w:tcPr>
            <w:tcW w:w="6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Earnings</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13"/>
              <w:spacing w:after="0" w:line="142" w:lineRule="exact"/>
              <w:rPr>
                <w:sz w:val="20"/>
                <w:szCs w:val="20"/>
                <w:color w:val="auto"/>
              </w:rPr>
            </w:pPr>
            <w:r>
              <w:rPr>
                <w:rFonts w:ascii="Arial" w:cs="Arial" w:eastAsia="Arial" w:hAnsi="Arial"/>
                <w:sz w:val="13"/>
                <w:szCs w:val="13"/>
                <w:b w:val="1"/>
                <w:bCs w:val="1"/>
                <w:color w:val="auto"/>
                <w:w w:val="98"/>
              </w:rPr>
              <w:t>Loss</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3"/>
              <w:spacing w:after="0" w:line="142" w:lineRule="exact"/>
              <w:rPr>
                <w:sz w:val="20"/>
                <w:szCs w:val="20"/>
                <w:color w:val="auto"/>
              </w:rPr>
            </w:pPr>
            <w:r>
              <w:rPr>
                <w:rFonts w:ascii="Arial" w:cs="Arial" w:eastAsia="Arial" w:hAnsi="Arial"/>
                <w:sz w:val="13"/>
                <w:szCs w:val="13"/>
                <w:b w:val="1"/>
                <w:bCs w:val="1"/>
                <w:color w:val="auto"/>
              </w:rPr>
              <w:t>Equity</w:t>
            </w:r>
          </w:p>
        </w:tc>
      </w:tr>
      <w:tr>
        <w:trPr>
          <w:trHeight w:val="142"/>
        </w:trPr>
        <w:tc>
          <w:tcPr>
            <w:tcW w:w="33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January 28, 2017</w:t>
            </w:r>
          </w:p>
        </w:tc>
        <w:tc>
          <w:tcPr>
            <w:tcW w:w="60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132,616</w:t>
            </w:r>
          </w:p>
        </w:tc>
        <w:tc>
          <w:tcPr>
            <w:tcW w:w="340" w:type="dxa"/>
            <w:vAlign w:val="bottom"/>
            <w:shd w:val="clear" w:color="auto" w:fill="CCEEFF"/>
          </w:tcPr>
          <w:p>
            <w:pPr>
              <w:jc w:val="right"/>
              <w:ind w:right="173"/>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900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3"/>
              <w:spacing w:after="0" w:line="142" w:lineRule="exact"/>
              <w:rPr>
                <w:sz w:val="20"/>
                <w:szCs w:val="20"/>
                <w:color w:val="auto"/>
              </w:rPr>
            </w:pPr>
            <w:r>
              <w:rPr>
                <w:rFonts w:ascii="Arial" w:cs="Arial" w:eastAsia="Arial" w:hAnsi="Arial"/>
                <w:sz w:val="13"/>
                <w:szCs w:val="13"/>
                <w:b w:val="1"/>
                <w:bCs w:val="1"/>
                <w:color w:val="auto"/>
              </w:rPr>
              <w:t>(1,120)</w:t>
            </w:r>
          </w:p>
        </w:tc>
        <w:tc>
          <w:tcPr>
            <w:tcW w:w="240" w:type="dxa"/>
            <w:vAlign w:val="bottom"/>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4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b w:val="1"/>
                <w:bCs w:val="1"/>
                <w:color w:val="auto"/>
              </w:rPr>
              <w:t>(81)</w:t>
            </w:r>
          </w:p>
        </w:tc>
        <w:tc>
          <w:tcPr>
            <w:tcW w:w="240" w:type="dxa"/>
            <w:vAlign w:val="bottom"/>
            <w:shd w:val="clear" w:color="auto" w:fill="CCEEFF"/>
          </w:tcPr>
          <w:p>
            <w:pPr>
              <w:ind w:left="100"/>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2,254</w:t>
            </w:r>
          </w:p>
        </w:tc>
        <w:tc>
          <w:tcPr>
            <w:tcW w:w="180" w:type="dxa"/>
            <w:vAlign w:val="bottom"/>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104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(363)</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2,710</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Restricted stock issued</w:t>
            </w: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169</w:t>
            </w:r>
          </w:p>
        </w:tc>
        <w:tc>
          <w:tcPr>
            <w:tcW w:w="34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Issued under director and stock plans</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608</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49"/>
        </w:trPr>
        <w:tc>
          <w:tcPr>
            <w:tcW w:w="3320" w:type="dxa"/>
            <w:vAlign w:val="bottom"/>
          </w:tcPr>
          <w:p>
            <w:pPr>
              <w:ind w:left="20"/>
              <w:spacing w:after="0"/>
              <w:rPr>
                <w:sz w:val="20"/>
                <w:szCs w:val="20"/>
                <w:color w:val="auto"/>
              </w:rPr>
            </w:pPr>
            <w:r>
              <w:rPr>
                <w:rFonts w:ascii="Arial" w:cs="Arial" w:eastAsia="Arial" w:hAnsi="Arial"/>
                <w:sz w:val="13"/>
                <w:szCs w:val="13"/>
                <w:color w:val="auto"/>
              </w:rPr>
              <w:t>Share-based compensation expense</w:t>
            </w: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2"/>
                <w:szCs w:val="12"/>
                <w:color w:val="auto"/>
              </w:rPr>
            </w:pPr>
          </w:p>
        </w:tc>
        <w:tc>
          <w:tcPr>
            <w:tcW w:w="6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48"/>
        </w:trPr>
        <w:tc>
          <w:tcPr>
            <w:tcW w:w="33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Shares of common stock used to satisfy tax</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3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withholding obligations</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(140)</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Share repurchases</w:t>
            </w: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(12,414)</w:t>
            </w:r>
          </w:p>
        </w:tc>
        <w:tc>
          <w:tcPr>
            <w:tcW w:w="2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(467)</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(467)</w:t>
            </w:r>
          </w:p>
        </w:tc>
      </w:tr>
      <w:tr>
        <w:trPr>
          <w:trHeight w:val="148"/>
        </w:trPr>
        <w:tc>
          <w:tcPr>
            <w:tcW w:w="33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Reissued - Employee Stock Repurchase Plan</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3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("ESPP")</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110</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Retirement of treasury stock</w:t>
            </w:r>
          </w:p>
        </w:tc>
        <w:tc>
          <w:tcPr>
            <w:tcW w:w="600" w:type="dxa"/>
            <w:vAlign w:val="bottom"/>
          </w:tcPr>
          <w:p>
            <w:pPr>
              <w:jc w:val="right"/>
              <w:spacing w:after="0"/>
              <w:rPr>
                <w:sz w:val="20"/>
                <w:szCs w:val="20"/>
                <w:color w:val="auto"/>
              </w:rPr>
            </w:pPr>
            <w:r>
              <w:rPr>
                <w:rFonts w:ascii="Arial" w:cs="Arial" w:eastAsia="Arial" w:hAnsi="Arial"/>
                <w:sz w:val="13"/>
                <w:szCs w:val="13"/>
                <w:color w:val="auto"/>
              </w:rPr>
              <w:t>(12,131)</w:t>
            </w:r>
          </w:p>
        </w:tc>
        <w:tc>
          <w:tcPr>
            <w:tcW w:w="340" w:type="dxa"/>
            <w:vAlign w:val="bottom"/>
          </w:tcPr>
          <w:p>
            <w:pPr>
              <w:spacing w:after="0"/>
              <w:rPr>
                <w:sz w:val="12"/>
                <w:szCs w:val="12"/>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(84)</w:t>
            </w:r>
          </w:p>
        </w:tc>
        <w:tc>
          <w:tcPr>
            <w:tcW w:w="640" w:type="dxa"/>
            <w:vAlign w:val="bottom"/>
          </w:tcPr>
          <w:p>
            <w:pPr>
              <w:jc w:val="right"/>
              <w:ind w:right="73"/>
              <w:spacing w:after="0"/>
              <w:rPr>
                <w:sz w:val="20"/>
                <w:szCs w:val="20"/>
                <w:color w:val="auto"/>
              </w:rPr>
            </w:pPr>
            <w:r>
              <w:rPr>
                <w:rFonts w:ascii="Arial" w:cs="Arial" w:eastAsia="Arial" w:hAnsi="Arial"/>
                <w:sz w:val="13"/>
                <w:szCs w:val="13"/>
                <w:color w:val="auto"/>
              </w:rPr>
              <w:t>12,131</w:t>
            </w:r>
          </w:p>
        </w:tc>
        <w:tc>
          <w:tcPr>
            <w:tcW w:w="2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487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(403)</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284</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r>
      <w:tr>
        <w:trPr>
          <w:trHeight w:val="148"/>
        </w:trPr>
        <w:tc>
          <w:tcPr>
            <w:tcW w:w="3320" w:type="dxa"/>
            <w:vAlign w:val="bottom"/>
          </w:tcPr>
          <w:p>
            <w:pPr>
              <w:ind w:left="20"/>
              <w:spacing w:after="0" w:line="148" w:lineRule="exact"/>
              <w:rPr>
                <w:sz w:val="20"/>
                <w:szCs w:val="20"/>
                <w:color w:val="auto"/>
              </w:rPr>
            </w:pPr>
            <w:r>
              <w:rPr>
                <w:rFonts w:ascii="Arial" w:cs="Arial" w:eastAsia="Arial" w:hAnsi="Arial"/>
                <w:sz w:val="13"/>
                <w:szCs w:val="13"/>
                <w:color w:val="auto"/>
              </w:rPr>
              <w:t>Cash dividends declared on common stock ($1.24</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3320" w:type="dxa"/>
            <w:vAlign w:val="bottom"/>
          </w:tcPr>
          <w:p>
            <w:pPr>
              <w:ind w:left="200"/>
              <w:spacing w:after="0"/>
              <w:rPr>
                <w:sz w:val="20"/>
                <w:szCs w:val="20"/>
                <w:color w:val="auto"/>
              </w:rPr>
            </w:pPr>
            <w:r>
              <w:rPr>
                <w:rFonts w:ascii="Arial" w:cs="Arial" w:eastAsia="Arial" w:hAnsi="Arial"/>
                <w:sz w:val="13"/>
                <w:szCs w:val="13"/>
                <w:color w:val="auto"/>
              </w:rPr>
              <w:t>per share)</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(157)</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(157)</w:t>
            </w:r>
          </w:p>
        </w:tc>
      </w:tr>
      <w:tr>
        <w:trPr>
          <w:trHeight w:val="148"/>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Translation adjustment, net of tax</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114</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r>
      <w:tr>
        <w:trPr>
          <w:trHeight w:val="149"/>
        </w:trPr>
        <w:tc>
          <w:tcPr>
            <w:tcW w:w="3320" w:type="dxa"/>
            <w:vAlign w:val="bottom"/>
          </w:tcPr>
          <w:p>
            <w:pPr>
              <w:ind w:left="20"/>
              <w:spacing w:after="0"/>
              <w:rPr>
                <w:sz w:val="20"/>
                <w:szCs w:val="20"/>
                <w:color w:val="auto"/>
              </w:rPr>
            </w:pPr>
            <w:r>
              <w:rPr>
                <w:rFonts w:ascii="Arial" w:cs="Arial" w:eastAsia="Arial" w:hAnsi="Arial"/>
                <w:sz w:val="13"/>
                <w:szCs w:val="13"/>
                <w:color w:val="auto"/>
              </w:rPr>
              <w:t>Change in cash flow hedges, net of tax</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48"/>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and postretirement adjustments, net of tax</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Unrealized gain on available-for-sale security</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48"/>
        </w:trPr>
        <w:tc>
          <w:tcPr>
            <w:tcW w:w="33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Reclassification due to the adoption of</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33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ASU 2018-02</w:t>
            </w:r>
          </w:p>
        </w:tc>
        <w:tc>
          <w:tcPr>
            <w:tcW w:w="6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41</w:t>
            </w: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(41)</w:t>
            </w:r>
          </w:p>
        </w:tc>
        <w:tc>
          <w:tcPr>
            <w:tcW w:w="2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2"/>
        </w:trPr>
        <w:tc>
          <w:tcPr>
            <w:tcW w:w="33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February 3, 2018</w:t>
            </w:r>
          </w:p>
        </w:tc>
        <w:tc>
          <w:tcPr>
            <w:tcW w:w="600" w:type="dxa"/>
            <w:vAlign w:val="bottom"/>
          </w:tcPr>
          <w:p>
            <w:pPr>
              <w:jc w:val="right"/>
              <w:ind w:right="13"/>
              <w:spacing w:after="0" w:line="142" w:lineRule="exact"/>
              <w:rPr>
                <w:sz w:val="20"/>
                <w:szCs w:val="20"/>
                <w:color w:val="auto"/>
              </w:rPr>
            </w:pPr>
            <w:r>
              <w:rPr>
                <w:rFonts w:ascii="Arial" w:cs="Arial" w:eastAsia="Arial" w:hAnsi="Arial"/>
                <w:sz w:val="13"/>
                <w:szCs w:val="13"/>
                <w:b w:val="1"/>
                <w:bCs w:val="1"/>
                <w:color w:val="auto"/>
              </w:rPr>
              <w:t>121,262</w:t>
            </w:r>
          </w:p>
        </w:tc>
        <w:tc>
          <w:tcPr>
            <w:tcW w:w="340" w:type="dxa"/>
            <w:vAlign w:val="bottom"/>
          </w:tcPr>
          <w:p>
            <w:pPr>
              <w:jc w:val="right"/>
              <w:ind w:right="173"/>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842</w:t>
            </w:r>
          </w:p>
        </w:tc>
        <w:tc>
          <w:tcPr>
            <w:tcW w:w="160" w:type="dxa"/>
            <w:vAlign w:val="bottom"/>
          </w:tcPr>
          <w:p>
            <w:pPr>
              <w:spacing w:after="0"/>
              <w:rPr>
                <w:sz w:val="12"/>
                <w:szCs w:val="12"/>
                <w:color w:val="auto"/>
              </w:rPr>
            </w:pPr>
          </w:p>
        </w:tc>
        <w:tc>
          <w:tcPr>
            <w:tcW w:w="640" w:type="dxa"/>
            <w:vAlign w:val="bottom"/>
          </w:tcPr>
          <w:p>
            <w:pPr>
              <w:jc w:val="right"/>
              <w:ind w:right="33"/>
              <w:spacing w:after="0" w:line="142" w:lineRule="exact"/>
              <w:rPr>
                <w:sz w:val="20"/>
                <w:szCs w:val="20"/>
                <w:color w:val="auto"/>
              </w:rPr>
            </w:pPr>
            <w:r>
              <w:rPr>
                <w:rFonts w:ascii="Arial" w:cs="Arial" w:eastAsia="Arial" w:hAnsi="Arial"/>
                <w:sz w:val="13"/>
                <w:szCs w:val="13"/>
                <w:b w:val="1"/>
                <w:bCs w:val="1"/>
                <w:color w:val="auto"/>
              </w:rPr>
              <w:t>(1,433)</w:t>
            </w:r>
          </w:p>
        </w:tc>
        <w:tc>
          <w:tcPr>
            <w:tcW w:w="240" w:type="dxa"/>
            <w:vAlign w:val="bottom"/>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460" w:type="dxa"/>
            <w:vAlign w:val="bottom"/>
            <w:gridSpan w:val="2"/>
          </w:tcPr>
          <w:p>
            <w:pPr>
              <w:jc w:val="right"/>
              <w:ind w:right="80"/>
              <w:spacing w:after="0" w:line="142" w:lineRule="exact"/>
              <w:rPr>
                <w:sz w:val="20"/>
                <w:szCs w:val="20"/>
                <w:color w:val="auto"/>
              </w:rPr>
            </w:pPr>
            <w:r>
              <w:rPr>
                <w:rFonts w:ascii="Arial" w:cs="Arial" w:eastAsia="Arial" w:hAnsi="Arial"/>
                <w:sz w:val="13"/>
                <w:szCs w:val="13"/>
                <w:b w:val="1"/>
                <w:bCs w:val="1"/>
                <w:color w:val="auto"/>
              </w:rPr>
              <w:t>(63)</w:t>
            </w:r>
          </w:p>
        </w:tc>
        <w:tc>
          <w:tcPr>
            <w:tcW w:w="240" w:type="dxa"/>
            <w:vAlign w:val="bottom"/>
          </w:tcPr>
          <w:p>
            <w:pPr>
              <w:ind w:left="100"/>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right"/>
              <w:ind w:right="53"/>
              <w:spacing w:after="0" w:line="142"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1040" w:type="dxa"/>
            <w:vAlign w:val="bottom"/>
          </w:tcPr>
          <w:p>
            <w:pPr>
              <w:jc w:val="right"/>
              <w:ind w:right="13"/>
              <w:spacing w:after="0" w:line="142" w:lineRule="exact"/>
              <w:rPr>
                <w:sz w:val="20"/>
                <w:szCs w:val="20"/>
                <w:color w:val="auto"/>
              </w:rPr>
            </w:pPr>
            <w:r>
              <w:rPr>
                <w:rFonts w:ascii="Arial" w:cs="Arial" w:eastAsia="Arial" w:hAnsi="Arial"/>
                <w:sz w:val="13"/>
                <w:szCs w:val="13"/>
                <w:b w:val="1"/>
                <w:bCs w:val="1"/>
                <w:color w:val="auto"/>
              </w:rPr>
              <w:t>(279)</w:t>
            </w:r>
          </w:p>
        </w:tc>
        <w:tc>
          <w:tcPr>
            <w:tcW w:w="2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2,519</w:t>
            </w:r>
          </w:p>
        </w:tc>
      </w:tr>
      <w:tr>
        <w:trPr>
          <w:trHeight w:val="148"/>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issued</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93</w:t>
            </w:r>
          </w:p>
        </w:tc>
        <w:tc>
          <w:tcPr>
            <w:tcW w:w="3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Issued under director and stock plans</w:t>
            </w: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175</w:t>
            </w:r>
          </w:p>
        </w:tc>
        <w:tc>
          <w:tcPr>
            <w:tcW w:w="3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6</w:t>
            </w:r>
          </w:p>
        </w:tc>
        <w:tc>
          <w:tcPr>
            <w:tcW w:w="160" w:type="dxa"/>
            <w:vAlign w:val="bottom"/>
          </w:tcPr>
          <w:p>
            <w:pPr>
              <w:spacing w:after="0"/>
              <w:rPr>
                <w:sz w:val="12"/>
                <w:szCs w:val="12"/>
                <w:color w:val="auto"/>
              </w:rPr>
            </w:pPr>
          </w:p>
        </w:tc>
        <w:tc>
          <w:tcPr>
            <w:tcW w:w="6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48"/>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48"/>
        </w:trPr>
        <w:tc>
          <w:tcPr>
            <w:tcW w:w="3320" w:type="dxa"/>
            <w:vAlign w:val="bottom"/>
          </w:tcPr>
          <w:p>
            <w:pPr>
              <w:ind w:left="20"/>
              <w:spacing w:after="0" w:line="148" w:lineRule="exact"/>
              <w:rPr>
                <w:sz w:val="20"/>
                <w:szCs w:val="20"/>
                <w:color w:val="auto"/>
              </w:rPr>
            </w:pPr>
            <w:r>
              <w:rPr>
                <w:rFonts w:ascii="Arial" w:cs="Arial" w:eastAsia="Arial" w:hAnsi="Arial"/>
                <w:sz w:val="13"/>
                <w:szCs w:val="13"/>
                <w:color w:val="auto"/>
              </w:rPr>
              <w:t>Shares of common stock used to satisfy tax</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3320" w:type="dxa"/>
            <w:vAlign w:val="bottom"/>
          </w:tcPr>
          <w:p>
            <w:pPr>
              <w:ind w:left="200"/>
              <w:spacing w:after="0"/>
              <w:rPr>
                <w:sz w:val="20"/>
                <w:szCs w:val="20"/>
                <w:color w:val="auto"/>
              </w:rPr>
            </w:pPr>
            <w:r>
              <w:rPr>
                <w:rFonts w:ascii="Arial" w:cs="Arial" w:eastAsia="Arial" w:hAnsi="Arial"/>
                <w:sz w:val="13"/>
                <w:szCs w:val="13"/>
                <w:color w:val="auto"/>
              </w:rPr>
              <w:t>withholding obligations</w:t>
            </w: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(36)</w:t>
            </w:r>
          </w:p>
        </w:tc>
        <w:tc>
          <w:tcPr>
            <w:tcW w:w="2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48"/>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repurchases</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(7,887)</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(375)</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Reissued - ESPP</w:t>
            </w: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3"/>
              <w:spacing w:after="0"/>
              <w:rPr>
                <w:sz w:val="20"/>
                <w:szCs w:val="20"/>
                <w:color w:val="auto"/>
              </w:rPr>
            </w:pPr>
            <w:r>
              <w:rPr>
                <w:rFonts w:ascii="Arial" w:cs="Arial" w:eastAsia="Arial" w:hAnsi="Arial"/>
                <w:sz w:val="13"/>
                <w:szCs w:val="13"/>
                <w:color w:val="auto"/>
              </w:rPr>
              <w:t>48</w:t>
            </w:r>
          </w:p>
        </w:tc>
        <w:tc>
          <w:tcPr>
            <w:tcW w:w="2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48"/>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Retirement of treasury stock</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(8,597)</w:t>
            </w:r>
          </w:p>
        </w:tc>
        <w:tc>
          <w:tcPr>
            <w:tcW w:w="3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(61)</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8,597</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(339)</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33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541</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541</w:t>
            </w:r>
          </w:p>
        </w:tc>
      </w:tr>
      <w:tr>
        <w:trPr>
          <w:trHeight w:val="148"/>
        </w:trPr>
        <w:tc>
          <w:tcPr>
            <w:tcW w:w="33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dividends declared on common stock ($1.38</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3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per share)</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(158)</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Translation adjustment, net of tax</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(75)</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48"/>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and postretirement adjustments, net of tax</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(16)</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49"/>
        </w:trPr>
        <w:tc>
          <w:tcPr>
            <w:tcW w:w="3320" w:type="dxa"/>
            <w:vAlign w:val="bottom"/>
          </w:tcPr>
          <w:p>
            <w:pPr>
              <w:ind w:left="20"/>
              <w:spacing w:after="0"/>
              <w:rPr>
                <w:sz w:val="20"/>
                <w:szCs w:val="20"/>
                <w:color w:val="auto"/>
              </w:rPr>
            </w:pPr>
            <w:r>
              <w:rPr>
                <w:rFonts w:ascii="Arial" w:cs="Arial" w:eastAsia="Arial" w:hAnsi="Arial"/>
                <w:sz w:val="13"/>
                <w:szCs w:val="13"/>
                <w:color w:val="auto"/>
              </w:rPr>
              <w:t>Cumulative effect of the adoption of ASU 2014-09</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48"/>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Cumulative effect of the adoption of ASU 2016-16</w:t>
            </w:r>
          </w:p>
        </w:tc>
        <w:tc>
          <w:tcPr>
            <w:tcW w:w="6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37</w:t>
            </w: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r>
      <w:tr>
        <w:trPr>
          <w:trHeight w:val="142"/>
        </w:trPr>
        <w:tc>
          <w:tcPr>
            <w:tcW w:w="33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February 2, 2019</w:t>
            </w:r>
          </w:p>
        </w:tc>
        <w:tc>
          <w:tcPr>
            <w:tcW w:w="600" w:type="dxa"/>
            <w:vAlign w:val="bottom"/>
          </w:tcPr>
          <w:p>
            <w:pPr>
              <w:jc w:val="right"/>
              <w:ind w:right="13"/>
              <w:spacing w:after="0" w:line="142" w:lineRule="exact"/>
              <w:rPr>
                <w:sz w:val="20"/>
                <w:szCs w:val="20"/>
                <w:color w:val="auto"/>
              </w:rPr>
            </w:pPr>
            <w:r>
              <w:rPr>
                <w:rFonts w:ascii="Arial" w:cs="Arial" w:eastAsia="Arial" w:hAnsi="Arial"/>
                <w:sz w:val="13"/>
                <w:szCs w:val="13"/>
                <w:b w:val="1"/>
                <w:bCs w:val="1"/>
                <w:color w:val="auto"/>
              </w:rPr>
              <w:t>112,933</w:t>
            </w:r>
          </w:p>
        </w:tc>
        <w:tc>
          <w:tcPr>
            <w:tcW w:w="340" w:type="dxa"/>
            <w:vAlign w:val="bottom"/>
          </w:tcPr>
          <w:p>
            <w:pPr>
              <w:jc w:val="right"/>
              <w:ind w:right="173"/>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809</w:t>
            </w:r>
          </w:p>
        </w:tc>
        <w:tc>
          <w:tcPr>
            <w:tcW w:w="160" w:type="dxa"/>
            <w:vAlign w:val="bottom"/>
          </w:tcPr>
          <w:p>
            <w:pPr>
              <w:spacing w:after="0"/>
              <w:rPr>
                <w:sz w:val="12"/>
                <w:szCs w:val="12"/>
                <w:color w:val="auto"/>
              </w:rPr>
            </w:pPr>
          </w:p>
        </w:tc>
        <w:tc>
          <w:tcPr>
            <w:tcW w:w="640" w:type="dxa"/>
            <w:vAlign w:val="bottom"/>
          </w:tcPr>
          <w:p>
            <w:pPr>
              <w:jc w:val="right"/>
              <w:ind w:right="33"/>
              <w:spacing w:after="0" w:line="142" w:lineRule="exact"/>
              <w:rPr>
                <w:sz w:val="20"/>
                <w:szCs w:val="20"/>
                <w:color w:val="auto"/>
              </w:rPr>
            </w:pPr>
            <w:r>
              <w:rPr>
                <w:rFonts w:ascii="Arial" w:cs="Arial" w:eastAsia="Arial" w:hAnsi="Arial"/>
                <w:sz w:val="13"/>
                <w:szCs w:val="13"/>
                <w:b w:val="1"/>
                <w:bCs w:val="1"/>
                <w:color w:val="auto"/>
              </w:rPr>
              <w:t>(711)</w:t>
            </w:r>
          </w:p>
        </w:tc>
        <w:tc>
          <w:tcPr>
            <w:tcW w:w="240" w:type="dxa"/>
            <w:vAlign w:val="bottom"/>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460" w:type="dxa"/>
            <w:vAlign w:val="bottom"/>
            <w:gridSpan w:val="2"/>
          </w:tcPr>
          <w:p>
            <w:pPr>
              <w:jc w:val="right"/>
              <w:ind w:right="80"/>
              <w:spacing w:after="0" w:line="142" w:lineRule="exact"/>
              <w:rPr>
                <w:sz w:val="20"/>
                <w:szCs w:val="20"/>
                <w:color w:val="auto"/>
              </w:rPr>
            </w:pPr>
            <w:r>
              <w:rPr>
                <w:rFonts w:ascii="Arial" w:cs="Arial" w:eastAsia="Arial" w:hAnsi="Arial"/>
                <w:sz w:val="13"/>
                <w:szCs w:val="13"/>
                <w:b w:val="1"/>
                <w:bCs w:val="1"/>
                <w:color w:val="auto"/>
              </w:rPr>
              <w:t>(37)</w:t>
            </w:r>
          </w:p>
        </w:tc>
        <w:tc>
          <w:tcPr>
            <w:tcW w:w="240" w:type="dxa"/>
            <w:vAlign w:val="bottom"/>
          </w:tcPr>
          <w:p>
            <w:pPr>
              <w:ind w:left="100"/>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right"/>
              <w:ind w:right="53"/>
              <w:spacing w:after="0" w:line="142" w:lineRule="exact"/>
              <w:rPr>
                <w:sz w:val="20"/>
                <w:szCs w:val="20"/>
                <w:color w:val="auto"/>
              </w:rPr>
            </w:pPr>
            <w:r>
              <w:rPr>
                <w:rFonts w:ascii="Arial" w:cs="Arial" w:eastAsia="Arial" w:hAnsi="Arial"/>
                <w:sz w:val="13"/>
                <w:szCs w:val="13"/>
                <w:b w:val="1"/>
                <w:bCs w:val="1"/>
                <w:color w:val="auto"/>
              </w:rPr>
              <w:t>2,104</w:t>
            </w:r>
          </w:p>
        </w:tc>
        <w:tc>
          <w:tcPr>
            <w:tcW w:w="180" w:type="dxa"/>
            <w:vAlign w:val="bottom"/>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1040" w:type="dxa"/>
            <w:vAlign w:val="bottom"/>
          </w:tcPr>
          <w:p>
            <w:pPr>
              <w:jc w:val="right"/>
              <w:ind w:right="13"/>
              <w:spacing w:after="0" w:line="142" w:lineRule="exact"/>
              <w:rPr>
                <w:sz w:val="20"/>
                <w:szCs w:val="20"/>
                <w:color w:val="auto"/>
              </w:rPr>
            </w:pPr>
            <w:r>
              <w:rPr>
                <w:rFonts w:ascii="Arial" w:cs="Arial" w:eastAsia="Arial" w:hAnsi="Arial"/>
                <w:sz w:val="13"/>
                <w:szCs w:val="13"/>
                <w:b w:val="1"/>
                <w:bCs w:val="1"/>
                <w:color w:val="auto"/>
              </w:rPr>
              <w:t>(370)</w:t>
            </w:r>
          </w:p>
        </w:tc>
        <w:tc>
          <w:tcPr>
            <w:tcW w:w="2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2,506</w:t>
            </w:r>
          </w:p>
        </w:tc>
      </w:tr>
      <w:tr>
        <w:trPr>
          <w:trHeight w:val="148"/>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issued</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89</w:t>
            </w:r>
          </w:p>
        </w:tc>
        <w:tc>
          <w:tcPr>
            <w:tcW w:w="3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3320" w:type="dxa"/>
            <w:vAlign w:val="bottom"/>
          </w:tcPr>
          <w:p>
            <w:pPr>
              <w:ind w:left="20"/>
              <w:spacing w:after="0"/>
              <w:rPr>
                <w:sz w:val="20"/>
                <w:szCs w:val="20"/>
                <w:color w:val="auto"/>
              </w:rPr>
            </w:pPr>
            <w:r>
              <w:rPr>
                <w:rFonts w:ascii="Arial" w:cs="Arial" w:eastAsia="Arial" w:hAnsi="Arial"/>
                <w:sz w:val="13"/>
                <w:szCs w:val="13"/>
                <w:color w:val="auto"/>
              </w:rPr>
              <w:t>Issued under director and stock plans</w:t>
            </w: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187</w:t>
            </w:r>
          </w:p>
        </w:tc>
        <w:tc>
          <w:tcPr>
            <w:tcW w:w="3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2"/>
                <w:szCs w:val="12"/>
                <w:color w:val="auto"/>
              </w:rPr>
            </w:pPr>
          </w:p>
        </w:tc>
        <w:tc>
          <w:tcPr>
            <w:tcW w:w="6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48"/>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48"/>
        </w:trPr>
        <w:tc>
          <w:tcPr>
            <w:tcW w:w="3320" w:type="dxa"/>
            <w:vAlign w:val="bottom"/>
          </w:tcPr>
          <w:p>
            <w:pPr>
              <w:ind w:left="20"/>
              <w:spacing w:after="0" w:line="148" w:lineRule="exact"/>
              <w:rPr>
                <w:sz w:val="20"/>
                <w:szCs w:val="20"/>
                <w:color w:val="auto"/>
              </w:rPr>
            </w:pPr>
            <w:r>
              <w:rPr>
                <w:rFonts w:ascii="Arial" w:cs="Arial" w:eastAsia="Arial" w:hAnsi="Arial"/>
                <w:sz w:val="13"/>
                <w:szCs w:val="13"/>
                <w:color w:val="auto"/>
              </w:rPr>
              <w:t>Shares of common stock used to satisfy tax</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3320" w:type="dxa"/>
            <w:vAlign w:val="bottom"/>
          </w:tcPr>
          <w:p>
            <w:pPr>
              <w:ind w:left="200"/>
              <w:spacing w:after="0"/>
              <w:rPr>
                <w:sz w:val="20"/>
                <w:szCs w:val="20"/>
                <w:color w:val="auto"/>
              </w:rPr>
            </w:pPr>
            <w:r>
              <w:rPr>
                <w:rFonts w:ascii="Arial" w:cs="Arial" w:eastAsia="Arial" w:hAnsi="Arial"/>
                <w:sz w:val="13"/>
                <w:szCs w:val="13"/>
                <w:color w:val="auto"/>
              </w:rPr>
              <w:t>withholding obligations</w:t>
            </w: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(32)</w:t>
            </w:r>
          </w:p>
        </w:tc>
        <w:tc>
          <w:tcPr>
            <w:tcW w:w="24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48"/>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repurchases</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(8,375)</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(335)</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p>
        </w:tc>
      </w:tr>
      <w:tr>
        <w:trPr>
          <w:trHeight w:val="149"/>
        </w:trPr>
        <w:tc>
          <w:tcPr>
            <w:tcW w:w="3320" w:type="dxa"/>
            <w:vAlign w:val="bottom"/>
          </w:tcPr>
          <w:p>
            <w:pPr>
              <w:ind w:left="20"/>
              <w:spacing w:after="0"/>
              <w:rPr>
                <w:sz w:val="20"/>
                <w:szCs w:val="20"/>
                <w:color w:val="auto"/>
              </w:rPr>
            </w:pPr>
            <w:r>
              <w:rPr>
                <w:rFonts w:ascii="Arial" w:cs="Arial" w:eastAsia="Arial" w:hAnsi="Arial"/>
                <w:sz w:val="13"/>
                <w:szCs w:val="13"/>
                <w:color w:val="auto"/>
              </w:rPr>
              <w:t>Reissued - ESPP</w:t>
            </w: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3"/>
              <w:spacing w:after="0"/>
              <w:rPr>
                <w:sz w:val="20"/>
                <w:szCs w:val="20"/>
                <w:color w:val="auto"/>
              </w:rPr>
            </w:pPr>
            <w:r>
              <w:rPr>
                <w:rFonts w:ascii="Arial" w:cs="Arial" w:eastAsia="Arial" w:hAnsi="Arial"/>
                <w:sz w:val="13"/>
                <w:szCs w:val="13"/>
                <w:color w:val="auto"/>
              </w:rPr>
              <w:t>97</w:t>
            </w:r>
          </w:p>
        </w:tc>
        <w:tc>
          <w:tcPr>
            <w:tcW w:w="2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48"/>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Retirement of treasury stock</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(9,021)</w:t>
            </w:r>
          </w:p>
        </w:tc>
        <w:tc>
          <w:tcPr>
            <w:tcW w:w="3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(66)</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9,021</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(302)</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491</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491</w:t>
            </w:r>
          </w:p>
        </w:tc>
      </w:tr>
      <w:tr>
        <w:trPr>
          <w:trHeight w:val="148"/>
        </w:trPr>
        <w:tc>
          <w:tcPr>
            <w:tcW w:w="33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dividends declared on common stock ($1.52</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3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per share)</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(164)</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Translation adjustment, net of tax</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(20)</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49"/>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cash flow hedges, net of tax</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48"/>
        </w:trPr>
        <w:tc>
          <w:tcPr>
            <w:tcW w:w="3320" w:type="dxa"/>
            <w:vAlign w:val="bottom"/>
          </w:tcPr>
          <w:p>
            <w:pPr>
              <w:ind w:left="20"/>
              <w:spacing w:after="0"/>
              <w:rPr>
                <w:sz w:val="20"/>
                <w:szCs w:val="20"/>
                <w:color w:val="auto"/>
              </w:rPr>
            </w:pPr>
            <w:r>
              <w:rPr>
                <w:rFonts w:ascii="Arial" w:cs="Arial" w:eastAsia="Arial" w:hAnsi="Arial"/>
                <w:sz w:val="13"/>
                <w:szCs w:val="13"/>
                <w:color w:val="auto"/>
              </w:rPr>
              <w:t>Pension and postretirement adjustments, net of tax</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49"/>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Cumulative effect of the adoption of Topic 842</w:t>
            </w:r>
          </w:p>
        </w:tc>
        <w:tc>
          <w:tcPr>
            <w:tcW w:w="6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(26)</w:t>
            </w: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42"/>
        </w:trPr>
        <w:tc>
          <w:tcPr>
            <w:tcW w:w="33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Balance at February 1, 2020</w:t>
            </w:r>
          </w:p>
        </w:tc>
        <w:tc>
          <w:tcPr>
            <w:tcW w:w="6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104,188</w:t>
            </w:r>
          </w:p>
        </w:tc>
        <w:tc>
          <w:tcPr>
            <w:tcW w:w="3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764</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4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2,103</w:t>
            </w:r>
          </w:p>
        </w:tc>
        <w:tc>
          <w:tcPr>
            <w:tcW w:w="1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(394)</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2,473</w:t>
            </w:r>
          </w:p>
        </w:tc>
      </w:tr>
    </w:tbl>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Accompanying Notes to Consolidated Financial Statements</w:t>
      </w:r>
      <w:r>
        <w:rPr>
          <w:rFonts w:ascii="Arial" w:cs="Arial" w:eastAsia="Arial" w:hAnsi="Arial"/>
          <w:sz w:val="13"/>
          <w:szCs w:val="13"/>
          <w:color w:val="auto"/>
        </w:rPr>
        <w:t>.</w:t>
      </w:r>
    </w:p>
    <w:p>
      <w:pPr>
        <w:spacing w:after="0" w:line="399"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1342" w:right="1419" w:bottom="1440" w:gutter="0" w:footer="0" w:header="0"/>
        </w:sectPr>
      </w:pPr>
    </w:p>
    <w:bookmarkStart w:id="44" w:name="page45"/>
    <w:bookmarkEnd w:id="44"/>
    <w:tbl>
      <w:tblPr>
        <w:tblLayout w:type="fixed"/>
        <w:tblInd w:w="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440" w:type="dxa"/>
            <w:vAlign w:val="bottom"/>
            <w:gridSpan w:val="3"/>
          </w:tcPr>
          <w:p>
            <w:pPr>
              <w:jc w:val="right"/>
              <w:spacing w:after="0"/>
              <w:rPr>
                <w:sz w:val="20"/>
                <w:szCs w:val="20"/>
                <w:color w:val="auto"/>
              </w:rPr>
            </w:pPr>
            <w:r>
              <w:rPr>
                <w:rFonts w:ascii="Arial" w:cs="Arial" w:eastAsia="Arial" w:hAnsi="Arial"/>
                <w:sz w:val="17"/>
                <w:szCs w:val="17"/>
                <w:b w:val="1"/>
                <w:bCs w:val="1"/>
                <w:color w:val="auto"/>
              </w:rPr>
              <w:t>CONSOLIDATED STATEMENTS OF CASH FLOWS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2018</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gridSpan w:val="2"/>
          </w:tcPr>
          <w:p>
            <w:pPr>
              <w:jc w:val="right"/>
              <w:ind w:right="55"/>
              <w:spacing w:after="0" w:line="183" w:lineRule="exact"/>
              <w:rPr>
                <w:sz w:val="20"/>
                <w:szCs w:val="20"/>
                <w:color w:val="auto"/>
              </w:rPr>
            </w:pPr>
            <w:r>
              <w:rPr>
                <w:rFonts w:ascii="Arial" w:cs="Arial" w:eastAsia="Arial" w:hAnsi="Arial"/>
                <w:sz w:val="17"/>
                <w:szCs w:val="17"/>
                <w:color w:val="auto"/>
              </w:rPr>
              <w:t>($ in millions)</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From operating activities:</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Pr>
          <w:p>
            <w:pPr>
              <w:ind w:left="80"/>
              <w:spacing w:after="0" w:line="189" w:lineRule="exact"/>
              <w:rPr>
                <w:sz w:val="20"/>
                <w:szCs w:val="20"/>
                <w:color w:val="auto"/>
              </w:rPr>
            </w:pPr>
            <w:r>
              <w:rPr>
                <w:rFonts w:ascii="Arial" w:cs="Arial" w:eastAsia="Arial" w:hAnsi="Arial"/>
                <w:sz w:val="17"/>
                <w:szCs w:val="17"/>
                <w:color w:val="auto"/>
              </w:rPr>
              <w:t>Net income</w:t>
            </w:r>
          </w:p>
        </w:tc>
        <w:tc>
          <w:tcPr>
            <w:tcW w:w="3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491</w:t>
            </w:r>
          </w:p>
        </w:tc>
        <w:tc>
          <w:tcPr>
            <w:tcW w:w="2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541</w:t>
            </w:r>
          </w:p>
        </w:tc>
        <w:tc>
          <w:tcPr>
            <w:tcW w:w="3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shd w:val="clear" w:color="auto" w:fill="CCEEFF"/>
          </w:tcPr>
          <w:p>
            <w:pPr>
              <w:ind w:left="80"/>
              <w:spacing w:after="0" w:line="183" w:lineRule="exact"/>
              <w:rPr>
                <w:sz w:val="20"/>
                <w:szCs w:val="20"/>
                <w:color w:val="auto"/>
              </w:rPr>
            </w:pPr>
            <w:r>
              <w:rPr>
                <w:rFonts w:ascii="Arial" w:cs="Arial" w:eastAsia="Arial" w:hAnsi="Arial"/>
                <w:sz w:val="17"/>
                <w:szCs w:val="17"/>
                <w:color w:val="auto"/>
              </w:rPr>
              <w:t>Adjustments to reconcile net income to net cash provided by</w:t>
            </w: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0" w:type="dxa"/>
            <w:vAlign w:val="bottom"/>
            <w:shd w:val="clear" w:color="auto" w:fill="CCEEFF"/>
          </w:tcPr>
          <w:p>
            <w:pPr>
              <w:ind w:left="80"/>
              <w:spacing w:after="0"/>
              <w:rPr>
                <w:sz w:val="20"/>
                <w:szCs w:val="20"/>
                <w:color w:val="auto"/>
              </w:rPr>
            </w:pPr>
            <w:r>
              <w:rPr>
                <w:rFonts w:ascii="Arial" w:cs="Arial" w:eastAsia="Arial" w:hAnsi="Arial"/>
                <w:sz w:val="17"/>
                <w:szCs w:val="17"/>
                <w:color w:val="auto"/>
              </w:rPr>
              <w:t>operating activities:</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Pr>
          <w:p>
            <w:pPr>
              <w:ind w:left="200"/>
              <w:spacing w:after="0" w:line="189" w:lineRule="exact"/>
              <w:rPr>
                <w:sz w:val="20"/>
                <w:szCs w:val="20"/>
                <w:color w:val="auto"/>
              </w:rPr>
            </w:pPr>
            <w:r>
              <w:rPr>
                <w:rFonts w:ascii="Arial" w:cs="Arial" w:eastAsia="Arial" w:hAnsi="Arial"/>
                <w:sz w:val="17"/>
                <w:szCs w:val="17"/>
                <w:color w:val="auto"/>
              </w:rPr>
              <w:t>Non-cash impairment charges</w:t>
            </w:r>
          </w:p>
        </w:tc>
        <w:tc>
          <w:tcPr>
            <w:tcW w:w="380" w:type="dxa"/>
            <w:vAlign w:val="bottom"/>
          </w:tcPr>
          <w:p>
            <w:pPr>
              <w:spacing w:after="0"/>
              <w:rPr>
                <w:sz w:val="16"/>
                <w:szCs w:val="16"/>
                <w:color w:val="auto"/>
              </w:rPr>
            </w:pPr>
          </w:p>
        </w:tc>
        <w:tc>
          <w:tcPr>
            <w:tcW w:w="10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48</w:t>
            </w:r>
          </w:p>
        </w:tc>
        <w:tc>
          <w:tcPr>
            <w:tcW w:w="240" w:type="dxa"/>
            <w:vAlign w:val="bottom"/>
          </w:tcPr>
          <w:p>
            <w:pPr>
              <w:spacing w:after="0"/>
              <w:rPr>
                <w:sz w:val="16"/>
                <w:szCs w:val="16"/>
                <w:color w:val="auto"/>
              </w:rPr>
            </w:pPr>
          </w:p>
        </w:tc>
        <w:tc>
          <w:tcPr>
            <w:tcW w:w="9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19</w:t>
            </w: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Non-cash gain</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(4)</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Pr>
          <w:p>
            <w:pPr>
              <w:ind w:left="200"/>
              <w:spacing w:after="0" w:line="189" w:lineRule="exact"/>
              <w:rPr>
                <w:sz w:val="20"/>
                <w:szCs w:val="20"/>
                <w:color w:val="auto"/>
              </w:rPr>
            </w:pPr>
            <w:r>
              <w:rPr>
                <w:rFonts w:ascii="Arial" w:cs="Arial" w:eastAsia="Arial" w:hAnsi="Arial"/>
                <w:sz w:val="17"/>
                <w:szCs w:val="17"/>
                <w:color w:val="auto"/>
              </w:rPr>
              <w:t>Depreciation and amortization</w:t>
            </w:r>
          </w:p>
        </w:tc>
        <w:tc>
          <w:tcPr>
            <w:tcW w:w="380" w:type="dxa"/>
            <w:vAlign w:val="bottom"/>
          </w:tcPr>
          <w:p>
            <w:pPr>
              <w:spacing w:after="0"/>
              <w:rPr>
                <w:sz w:val="16"/>
                <w:szCs w:val="16"/>
                <w:color w:val="auto"/>
              </w:rPr>
            </w:pPr>
          </w:p>
        </w:tc>
        <w:tc>
          <w:tcPr>
            <w:tcW w:w="10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179</w:t>
            </w:r>
          </w:p>
        </w:tc>
        <w:tc>
          <w:tcPr>
            <w:tcW w:w="240" w:type="dxa"/>
            <w:vAlign w:val="bottom"/>
          </w:tcPr>
          <w:p>
            <w:pPr>
              <w:spacing w:after="0"/>
              <w:rPr>
                <w:sz w:val="16"/>
                <w:szCs w:val="16"/>
                <w:color w:val="auto"/>
              </w:rPr>
            </w:pPr>
          </w:p>
        </w:tc>
        <w:tc>
          <w:tcPr>
            <w:tcW w:w="9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178</w:t>
            </w: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Deferred income taxes</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5</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9</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Pr>
          <w:p>
            <w:pPr>
              <w:ind w:left="200"/>
              <w:spacing w:after="0" w:line="189" w:lineRule="exact"/>
              <w:rPr>
                <w:sz w:val="20"/>
                <w:szCs w:val="20"/>
                <w:color w:val="auto"/>
              </w:rPr>
            </w:pPr>
            <w:r>
              <w:rPr>
                <w:rFonts w:ascii="Arial" w:cs="Arial" w:eastAsia="Arial" w:hAnsi="Arial"/>
                <w:sz w:val="17"/>
                <w:szCs w:val="17"/>
                <w:color w:val="auto"/>
              </w:rPr>
              <w:t>Share-based compensation expense</w:t>
            </w:r>
          </w:p>
        </w:tc>
        <w:tc>
          <w:tcPr>
            <w:tcW w:w="380" w:type="dxa"/>
            <w:vAlign w:val="bottom"/>
          </w:tcPr>
          <w:p>
            <w:pPr>
              <w:spacing w:after="0"/>
              <w:rPr>
                <w:sz w:val="16"/>
                <w:szCs w:val="16"/>
                <w:color w:val="auto"/>
              </w:rPr>
            </w:pPr>
          </w:p>
        </w:tc>
        <w:tc>
          <w:tcPr>
            <w:tcW w:w="10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18</w:t>
            </w:r>
          </w:p>
        </w:tc>
        <w:tc>
          <w:tcPr>
            <w:tcW w:w="240" w:type="dxa"/>
            <w:vAlign w:val="bottom"/>
          </w:tcPr>
          <w:p>
            <w:pPr>
              <w:spacing w:after="0"/>
              <w:rPr>
                <w:sz w:val="16"/>
                <w:szCs w:val="16"/>
                <w:color w:val="auto"/>
              </w:rPr>
            </w:pPr>
          </w:p>
        </w:tc>
        <w:tc>
          <w:tcPr>
            <w:tcW w:w="9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22</w:t>
            </w: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Qualified pension plan contributions</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(55)</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(128)</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Pr>
          <w:p>
            <w:pPr>
              <w:ind w:left="200"/>
              <w:spacing w:after="0" w:line="189" w:lineRule="exact"/>
              <w:rPr>
                <w:sz w:val="20"/>
                <w:szCs w:val="20"/>
                <w:color w:val="auto"/>
              </w:rPr>
            </w:pPr>
            <w:r>
              <w:rPr>
                <w:rFonts w:ascii="Arial" w:cs="Arial" w:eastAsia="Arial" w:hAnsi="Arial"/>
                <w:sz w:val="17"/>
                <w:szCs w:val="17"/>
                <w:color w:val="auto"/>
              </w:rPr>
              <w:t>Change in assets and liabilities: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Merchandise inventories</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51</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(16)</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Pr>
          <w:p>
            <w:pPr>
              <w:ind w:left="300"/>
              <w:spacing w:after="0" w:line="189" w:lineRule="exact"/>
              <w:rPr>
                <w:sz w:val="20"/>
                <w:szCs w:val="20"/>
                <w:color w:val="auto"/>
              </w:rPr>
            </w:pPr>
            <w:r>
              <w:rPr>
                <w:rFonts w:ascii="Arial" w:cs="Arial" w:eastAsia="Arial" w:hAnsi="Arial"/>
                <w:sz w:val="17"/>
                <w:szCs w:val="17"/>
                <w:color w:val="auto"/>
              </w:rPr>
              <w:t>Accounts payable</w:t>
            </w:r>
          </w:p>
        </w:tc>
        <w:tc>
          <w:tcPr>
            <w:tcW w:w="380" w:type="dxa"/>
            <w:vAlign w:val="bottom"/>
          </w:tcPr>
          <w:p>
            <w:pPr>
              <w:spacing w:after="0"/>
              <w:rPr>
                <w:sz w:val="16"/>
                <w:szCs w:val="16"/>
                <w:color w:val="auto"/>
              </w:rPr>
            </w:pPr>
          </w:p>
        </w:tc>
        <w:tc>
          <w:tcPr>
            <w:tcW w:w="10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(51)</w:t>
            </w:r>
          </w:p>
        </w:tc>
        <w:tc>
          <w:tcPr>
            <w:tcW w:w="240" w:type="dxa"/>
            <w:vAlign w:val="bottom"/>
          </w:tcPr>
          <w:p>
            <w:pPr>
              <w:spacing w:after="0"/>
              <w:rPr>
                <w:sz w:val="16"/>
                <w:szCs w:val="16"/>
                <w:color w:val="auto"/>
              </w:rPr>
            </w:pPr>
          </w:p>
        </w:tc>
        <w:tc>
          <w:tcPr>
            <w:tcW w:w="9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135</w:t>
            </w: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Accrued and other liabilities</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(40)</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39</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Pr>
          <w:p>
            <w:pPr>
              <w:ind w:left="300"/>
              <w:spacing w:after="0" w:line="189" w:lineRule="exact"/>
              <w:rPr>
                <w:sz w:val="20"/>
                <w:szCs w:val="20"/>
                <w:color w:val="auto"/>
              </w:rPr>
            </w:pPr>
            <w:r>
              <w:rPr>
                <w:rFonts w:ascii="Arial" w:cs="Arial" w:eastAsia="Arial" w:hAnsi="Arial"/>
                <w:sz w:val="17"/>
                <w:szCs w:val="17"/>
                <w:color w:val="auto"/>
              </w:rPr>
              <w:t>Pension litigation accrual</w:t>
            </w:r>
          </w:p>
        </w:tc>
        <w:tc>
          <w:tcPr>
            <w:tcW w:w="380" w:type="dxa"/>
            <w:vAlign w:val="bottom"/>
          </w:tcPr>
          <w:p>
            <w:pPr>
              <w:spacing w:after="0"/>
              <w:rPr>
                <w:sz w:val="16"/>
                <w:szCs w:val="16"/>
                <w:color w:val="auto"/>
              </w:rPr>
            </w:pPr>
          </w:p>
        </w:tc>
        <w:tc>
          <w:tcPr>
            <w:tcW w:w="10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6"/>
                <w:szCs w:val="16"/>
                <w:color w:val="auto"/>
              </w:rPr>
            </w:pPr>
          </w:p>
        </w:tc>
        <w:tc>
          <w:tcPr>
            <w:tcW w:w="9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13</w:t>
            </w: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Class counsel fees paid in connection with pension litigation</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(97)</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Borders>
              <w:bottom w:val="single" w:sz="8" w:color="auto"/>
            </w:tcBorders>
          </w:tcPr>
          <w:p>
            <w:pPr>
              <w:ind w:left="300"/>
              <w:spacing w:after="0" w:line="189" w:lineRule="exact"/>
              <w:rPr>
                <w:sz w:val="20"/>
                <w:szCs w:val="20"/>
                <w:color w:val="auto"/>
              </w:rPr>
            </w:pPr>
            <w:r>
              <w:rPr>
                <w:rFonts w:ascii="Arial" w:cs="Arial" w:eastAsia="Arial" w:hAnsi="Arial"/>
                <w:sz w:val="17"/>
                <w:szCs w:val="17"/>
                <w:color w:val="auto"/>
              </w:rPr>
              <w:t>Other, net</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b w:val="1"/>
                <w:bCs w:val="1"/>
                <w:color w:val="auto"/>
              </w:rPr>
              <w:t>54</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66</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cash provided by operating activities</w:t>
            </w: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696</w:t>
            </w: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781</w:t>
            </w:r>
          </w:p>
        </w:tc>
        <w:tc>
          <w:tcPr>
            <w:tcW w:w="3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From investing activities:</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Pr>
          <w:p>
            <w:pPr>
              <w:ind w:left="80"/>
              <w:spacing w:after="0" w:line="189" w:lineRule="exact"/>
              <w:rPr>
                <w:sz w:val="20"/>
                <w:szCs w:val="20"/>
                <w:color w:val="auto"/>
              </w:rPr>
            </w:pPr>
            <w:r>
              <w:rPr>
                <w:rFonts w:ascii="Arial" w:cs="Arial" w:eastAsia="Arial" w:hAnsi="Arial"/>
                <w:sz w:val="17"/>
                <w:szCs w:val="17"/>
                <w:color w:val="auto"/>
              </w:rPr>
              <w:t>Capital expenditures</w:t>
            </w:r>
          </w:p>
        </w:tc>
        <w:tc>
          <w:tcPr>
            <w:tcW w:w="380" w:type="dxa"/>
            <w:vAlign w:val="bottom"/>
          </w:tcPr>
          <w:p>
            <w:pPr>
              <w:spacing w:after="0"/>
              <w:rPr>
                <w:sz w:val="16"/>
                <w:szCs w:val="16"/>
                <w:color w:val="auto"/>
              </w:rPr>
            </w:pPr>
          </w:p>
        </w:tc>
        <w:tc>
          <w:tcPr>
            <w:tcW w:w="10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(187)</w:t>
            </w:r>
          </w:p>
        </w:tc>
        <w:tc>
          <w:tcPr>
            <w:tcW w:w="240" w:type="dxa"/>
            <w:vAlign w:val="bottom"/>
          </w:tcPr>
          <w:p>
            <w:pPr>
              <w:spacing w:after="0"/>
              <w:rPr>
                <w:sz w:val="16"/>
                <w:szCs w:val="16"/>
                <w:color w:val="auto"/>
              </w:rPr>
            </w:pPr>
          </w:p>
        </w:tc>
        <w:tc>
          <w:tcPr>
            <w:tcW w:w="9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(187)</w:t>
            </w: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Minority investments</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(50)</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(89)</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Pr>
          <w:p>
            <w:pPr>
              <w:ind w:left="80"/>
              <w:spacing w:after="0" w:line="189" w:lineRule="exact"/>
              <w:rPr>
                <w:sz w:val="20"/>
                <w:szCs w:val="20"/>
                <w:color w:val="auto"/>
              </w:rPr>
            </w:pPr>
            <w:r>
              <w:rPr>
                <w:rFonts w:ascii="Arial" w:cs="Arial" w:eastAsia="Arial" w:hAnsi="Arial"/>
                <w:sz w:val="17"/>
                <w:szCs w:val="17"/>
                <w:color w:val="auto"/>
              </w:rPr>
              <w:t>Proceeds from sale of property</w:t>
            </w:r>
          </w:p>
        </w:tc>
        <w:tc>
          <w:tcPr>
            <w:tcW w:w="380" w:type="dxa"/>
            <w:vAlign w:val="bottom"/>
          </w:tcPr>
          <w:p>
            <w:pPr>
              <w:spacing w:after="0"/>
              <w:rPr>
                <w:sz w:val="16"/>
                <w:szCs w:val="16"/>
                <w:color w:val="auto"/>
              </w:rPr>
            </w:pPr>
          </w:p>
        </w:tc>
        <w:tc>
          <w:tcPr>
            <w:tcW w:w="10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2</w:t>
            </w:r>
          </w:p>
        </w:tc>
        <w:tc>
          <w:tcPr>
            <w:tcW w:w="240" w:type="dxa"/>
            <w:vAlign w:val="bottom"/>
          </w:tcPr>
          <w:p>
            <w:pPr>
              <w:spacing w:after="0"/>
              <w:rPr>
                <w:sz w:val="16"/>
                <w:szCs w:val="16"/>
                <w:color w:val="auto"/>
              </w:rPr>
            </w:pPr>
          </w:p>
        </w:tc>
        <w:tc>
          <w:tcPr>
            <w:tcW w:w="9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Insurance proceeds related to loss on property and equipment</w:t>
            </w:r>
          </w:p>
        </w:tc>
        <w:tc>
          <w:tcPr>
            <w:tcW w:w="3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(235)</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(274)</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00" w:type="dxa"/>
            <w:vAlign w:val="bottom"/>
          </w:tcPr>
          <w:p>
            <w:pPr>
              <w:spacing w:after="0" w:line="189" w:lineRule="exact"/>
              <w:rPr>
                <w:sz w:val="20"/>
                <w:szCs w:val="20"/>
                <w:color w:val="auto"/>
              </w:rPr>
            </w:pPr>
            <w:r>
              <w:rPr>
                <w:rFonts w:ascii="Arial" w:cs="Arial" w:eastAsia="Arial" w:hAnsi="Arial"/>
                <w:sz w:val="17"/>
                <w:szCs w:val="17"/>
                <w:b w:val="1"/>
                <w:bCs w:val="1"/>
                <w:color w:val="auto"/>
              </w:rPr>
              <w:t>From financing activities: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Purchase of treasury shares</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(335)</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(375)</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Pr>
          <w:p>
            <w:pPr>
              <w:ind w:left="80"/>
              <w:spacing w:after="0" w:line="189" w:lineRule="exact"/>
              <w:rPr>
                <w:sz w:val="20"/>
                <w:szCs w:val="20"/>
                <w:color w:val="auto"/>
              </w:rPr>
            </w:pPr>
            <w:r>
              <w:rPr>
                <w:rFonts w:ascii="Arial" w:cs="Arial" w:eastAsia="Arial" w:hAnsi="Arial"/>
                <w:sz w:val="17"/>
                <w:szCs w:val="17"/>
                <w:color w:val="auto"/>
              </w:rPr>
              <w:t>Dividends paid on common stock</w:t>
            </w:r>
          </w:p>
        </w:tc>
        <w:tc>
          <w:tcPr>
            <w:tcW w:w="380" w:type="dxa"/>
            <w:vAlign w:val="bottom"/>
          </w:tcPr>
          <w:p>
            <w:pPr>
              <w:spacing w:after="0"/>
              <w:rPr>
                <w:sz w:val="16"/>
                <w:szCs w:val="16"/>
                <w:color w:val="auto"/>
              </w:rPr>
            </w:pPr>
          </w:p>
        </w:tc>
        <w:tc>
          <w:tcPr>
            <w:tcW w:w="10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(164)</w:t>
            </w:r>
          </w:p>
        </w:tc>
        <w:tc>
          <w:tcPr>
            <w:tcW w:w="240" w:type="dxa"/>
            <w:vAlign w:val="bottom"/>
          </w:tcPr>
          <w:p>
            <w:pPr>
              <w:spacing w:after="0"/>
              <w:rPr>
                <w:sz w:val="16"/>
                <w:szCs w:val="16"/>
                <w:color w:val="auto"/>
              </w:rPr>
            </w:pPr>
          </w:p>
        </w:tc>
        <w:tc>
          <w:tcPr>
            <w:tcW w:w="9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(158)</w:t>
            </w: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Proceeds from exercise of stock options</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5</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Pr>
          <w:p>
            <w:pPr>
              <w:ind w:left="80"/>
              <w:spacing w:after="0" w:line="189" w:lineRule="exact"/>
              <w:rPr>
                <w:sz w:val="20"/>
                <w:szCs w:val="20"/>
                <w:color w:val="auto"/>
              </w:rPr>
            </w:pPr>
            <w:r>
              <w:rPr>
                <w:rFonts w:ascii="Arial" w:cs="Arial" w:eastAsia="Arial" w:hAnsi="Arial"/>
                <w:sz w:val="17"/>
                <w:szCs w:val="17"/>
                <w:color w:val="auto"/>
              </w:rPr>
              <w:t>Treasury stock reissued under employee stock plan</w:t>
            </w:r>
          </w:p>
        </w:tc>
        <w:tc>
          <w:tcPr>
            <w:tcW w:w="380" w:type="dxa"/>
            <w:vAlign w:val="bottom"/>
          </w:tcPr>
          <w:p>
            <w:pPr>
              <w:spacing w:after="0"/>
              <w:rPr>
                <w:sz w:val="16"/>
                <w:szCs w:val="16"/>
                <w:color w:val="auto"/>
              </w:rPr>
            </w:pPr>
          </w:p>
        </w:tc>
        <w:tc>
          <w:tcPr>
            <w:tcW w:w="10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3</w:t>
            </w:r>
          </w:p>
        </w:tc>
        <w:tc>
          <w:tcPr>
            <w:tcW w:w="240" w:type="dxa"/>
            <w:vAlign w:val="bottom"/>
          </w:tcPr>
          <w:p>
            <w:pPr>
              <w:spacing w:after="0"/>
              <w:rPr>
                <w:sz w:val="16"/>
                <w:szCs w:val="16"/>
                <w:color w:val="auto"/>
              </w:rPr>
            </w:pPr>
          </w:p>
        </w:tc>
        <w:tc>
          <w:tcPr>
            <w:tcW w:w="9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3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shd w:val="clear" w:color="auto" w:fill="CCEEFF"/>
          </w:tcPr>
          <w:p>
            <w:pPr>
              <w:ind w:left="80"/>
              <w:spacing w:after="0" w:line="183" w:lineRule="exact"/>
              <w:rPr>
                <w:sz w:val="20"/>
                <w:szCs w:val="20"/>
                <w:color w:val="auto"/>
              </w:rPr>
            </w:pPr>
            <w:r>
              <w:rPr>
                <w:rFonts w:ascii="Arial" w:cs="Arial" w:eastAsia="Arial" w:hAnsi="Arial"/>
                <w:sz w:val="17"/>
                <w:szCs w:val="17"/>
                <w:color w:val="auto"/>
              </w:rPr>
              <w:t>Shares of common stock repurchased to satisfy tax withholding</w:t>
            </w:r>
          </w:p>
        </w:tc>
        <w:tc>
          <w:tcPr>
            <w:tcW w:w="3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obligations</w:t>
            </w:r>
          </w:p>
        </w:tc>
        <w:tc>
          <w:tcPr>
            <w:tcW w:w="3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Net cash used in financing activities</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(493)</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(527)</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(616)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000" w:type="dxa"/>
            <w:vAlign w:val="bottom"/>
          </w:tcPr>
          <w:p>
            <w:pPr>
              <w:spacing w:after="0" w:line="183" w:lineRule="exact"/>
              <w:rPr>
                <w:sz w:val="20"/>
                <w:szCs w:val="20"/>
                <w:color w:val="auto"/>
              </w:rPr>
            </w:pPr>
            <w:r>
              <w:rPr>
                <w:rFonts w:ascii="Arial" w:cs="Arial" w:eastAsia="Arial" w:hAnsi="Arial"/>
                <w:sz w:val="17"/>
                <w:szCs w:val="17"/>
                <w:color w:val="auto"/>
              </w:rPr>
              <w:t>Effect of exchange rate fluctuations on cash, cash equivalents,</w:t>
            </w:r>
          </w:p>
        </w:tc>
        <w:tc>
          <w:tcPr>
            <w:tcW w:w="380" w:type="dxa"/>
            <w:vAlign w:val="bottom"/>
          </w:tcPr>
          <w:p>
            <w:pPr>
              <w:spacing w:after="0"/>
              <w:rPr>
                <w:sz w:val="15"/>
                <w:szCs w:val="15"/>
                <w:color w:val="auto"/>
              </w:rPr>
            </w:pPr>
          </w:p>
        </w:tc>
        <w:tc>
          <w:tcPr>
            <w:tcW w:w="106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(7)</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and restricted cash</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(30)</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change in cash, cash equivalents, and restricted cash</w:t>
            </w: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(39)</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(50)</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Cash, cash equivalents, and restricted cash at beginning of year</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b w:val="1"/>
                <w:bCs w:val="1"/>
                <w:color w:val="auto"/>
              </w:rPr>
              <w:t>981</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1,031</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cash equivalents, and restricted cash at end of period</w:t>
            </w:r>
          </w:p>
        </w:tc>
        <w:tc>
          <w:tcPr>
            <w:tcW w:w="3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942</w:t>
            </w:r>
          </w:p>
        </w:tc>
        <w:tc>
          <w:tcPr>
            <w:tcW w:w="2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981</w:t>
            </w:r>
          </w:p>
        </w:tc>
        <w:tc>
          <w:tcPr>
            <w:tcW w:w="3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5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Cash paid during the year:</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Pr>
          <w:p>
            <w:pPr>
              <w:ind w:left="80"/>
              <w:spacing w:after="0" w:line="189" w:lineRule="exact"/>
              <w:rPr>
                <w:sz w:val="20"/>
                <w:szCs w:val="20"/>
                <w:color w:val="auto"/>
              </w:rPr>
            </w:pPr>
            <w:r>
              <w:rPr>
                <w:rFonts w:ascii="Arial" w:cs="Arial" w:eastAsia="Arial" w:hAnsi="Arial"/>
                <w:sz w:val="17"/>
                <w:szCs w:val="17"/>
                <w:color w:val="auto"/>
              </w:rPr>
              <w:t>Interest</w:t>
            </w:r>
          </w:p>
        </w:tc>
        <w:tc>
          <w:tcPr>
            <w:tcW w:w="3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11</w:t>
            </w:r>
          </w:p>
        </w:tc>
        <w:tc>
          <w:tcPr>
            <w:tcW w:w="2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11</w:t>
            </w:r>
          </w:p>
        </w:tc>
        <w:tc>
          <w:tcPr>
            <w:tcW w:w="3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Income taxes</w:t>
            </w:r>
          </w:p>
        </w:tc>
        <w:tc>
          <w:tcPr>
            <w:tcW w:w="3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201</w:t>
            </w:r>
          </w:p>
        </w:tc>
        <w:tc>
          <w:tcPr>
            <w:tcW w:w="2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184</w:t>
            </w:r>
          </w:p>
        </w:tc>
        <w:tc>
          <w:tcPr>
            <w:tcW w:w="3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543560</wp:posOffset>
            </wp:positionV>
            <wp:extent cx="2057400"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7"/>
          <w:szCs w:val="17"/>
          <w:color w:val="auto"/>
        </w:rPr>
        <w:t>See Accompanying Notes to Consolidated Financial Statements</w:t>
      </w:r>
      <w:r>
        <w:rPr>
          <w:rFonts w:ascii="Arial" w:cs="Arial" w:eastAsia="Arial" w:hAnsi="Arial"/>
          <w:sz w:val="13"/>
          <w:szCs w:val="13"/>
          <w:color w:val="auto"/>
        </w:rPr>
        <w:t>.</w:t>
      </w:r>
    </w:p>
    <w:p>
      <w:pPr>
        <w:spacing w:after="0" w:line="200" w:lineRule="exact"/>
        <w:rPr>
          <w:sz w:val="20"/>
          <w:szCs w:val="20"/>
          <w:color w:val="auto"/>
        </w:rPr>
      </w:pPr>
    </w:p>
    <w:p>
      <w:pPr>
        <w:spacing w:after="0" w:line="374"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42" w:right="1440"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Basis of Presentation</w:t>
      </w:r>
    </w:p>
    <w:p>
      <w:pPr>
        <w:spacing w:after="0" w:line="160"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The consolidated financial statements include the accounts of Foot Locker, Inc. and its domestic and international subsidiaries, all of which are wholly owned. All significant intercompany amounts have been eliminated. As used in these Notes to Consolidated Financial Statements the terms “Foot Locker,” “Company,” “we,” “our,” and “us” refer to Foot Locker, Inc. and its consolidated subsidiaries. The preparation of financial statements in conformity with U.S. generally accepted accounting principles requires management to make estimates and assumptions relating to the reporting of assets and liabilities and the disclosure of contingent liabilities at the date of the financial statements, and the reported amounts of revenues and expenses during the reporting period. Actual results may differ from those estimates.</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Reporting Year</w:t>
      </w:r>
    </w:p>
    <w:p>
      <w:pPr>
        <w:spacing w:after="0" w:line="14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fiscal year end for the Company is a 52-week or 53-week period ending the Saturday closest to the last day in January. Fiscal year 2019 and fiscal year 2018 represented the 52 weeks ended February 1, 2020 and February 2, 2019, respectively. Fiscal year 2017 represented the 53 weeks ended February 3, 2018. References to years in this annual report relate to fiscal years rather than calendar years.</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Revenue Recognition</w:t>
      </w:r>
    </w:p>
    <w:p>
      <w:pPr>
        <w:spacing w:after="0" w:line="160"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 xml:space="preserve">Store revenue is recognized at the point of sale and includes merchandise, net of returns, and excludes taxes. Revenue from layaway sales is recognized when the customer receives the product, rather than when the initial deposit is paid. In the first quarter of 2018, we adopted Accounting Standards Update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(Topic 606)</w:t>
      </w:r>
      <w:r>
        <w:rPr>
          <w:rFonts w:ascii="Arial" w:cs="Arial" w:eastAsia="Arial" w:hAnsi="Arial"/>
          <w:sz w:val="17"/>
          <w:szCs w:val="17"/>
          <w:color w:val="auto"/>
        </w:rPr>
        <w:t>. In conjunction with the adoption of Topic 606, we recognize revenue for</w:t>
      </w:r>
      <w:r>
        <w:rPr>
          <w:rFonts w:ascii="Arial" w:cs="Arial" w:eastAsia="Arial" w:hAnsi="Arial"/>
          <w:sz w:val="17"/>
          <w:szCs w:val="17"/>
          <w:i w:val="1"/>
          <w:iCs w:val="1"/>
          <w:color w:val="auto"/>
        </w:rPr>
        <w:t xml:space="preserve"> </w:t>
      </w:r>
      <w:r>
        <w:rPr>
          <w:rFonts w:ascii="Arial" w:cs="Arial" w:eastAsia="Arial" w:hAnsi="Arial"/>
          <w:sz w:val="17"/>
          <w:szCs w:val="17"/>
          <w:color w:val="auto"/>
        </w:rPr>
        <w:t>merchandise that is shipped to our customers from our distribution centers and stores upon shipment as the customer has control of the product upon shipment. Prior to the adoption of Topic 606, we recognized such revenue upon date of delivery. As a result of this change, we recorded $1 million, net of tax, as an increase to opening retained earnings to reflect the cumulative effect of adopting this change. Beginning in 2018, we account for shipping and handling as a fulfillment activity. We accrue the cost and recognize revenue for these activities upon shipment date, therefore total sales recognized includes shipping and handling fees.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Gift Cards</w:t>
      </w:r>
    </w:p>
    <w:p>
      <w:pPr>
        <w:spacing w:after="0" w:line="14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sell gift cards which do not have expiration dates. Revenue from gift card sales is recorded when the gift cards are redeemed by customers. Effective with the adoption of Topic 606 in 2018, gift card breakage is recognized as revenue in proportion to the pattern of rights exercised by the customer, unless there is a legal obligation to remit the value of unredeemed gift cards to the relevant jurisdictions. This reflected a change in our accounting for gift card breakage from the remote method to the proportional method. As a result of adopting Topic 606, we recorded $4 million, or $3 million net of tax, as an increase to opening retained earnings to reflect the cumulative effect of this change based upon historical redemption patterns. Additionally, breakage income, which is recognized as Sales, was previously recorded within selling, general and administrative expenses (“SG&amp;A”) prior to the adoption of Topic 606. The table below presents the activity of our gift card liability balance:</w:t>
      </w: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2019</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2018</w:t>
            </w:r>
          </w:p>
        </w:tc>
        <w:tc>
          <w:tcPr>
            <w:tcW w:w="20" w:type="dxa"/>
            <w:vAlign w:val="bottom"/>
          </w:tcPr>
          <w:p>
            <w:pPr>
              <w:spacing w:after="0"/>
              <w:rPr>
                <w:sz w:val="18"/>
                <w:szCs w:val="18"/>
                <w:color w:val="auto"/>
              </w:rPr>
            </w:pPr>
          </w:p>
        </w:tc>
      </w:tr>
      <w:tr>
        <w:trPr>
          <w:trHeight w:val="183"/>
        </w:trPr>
        <w:tc>
          <w:tcPr>
            <w:tcW w:w="6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3"/>
          </w:tcPr>
          <w:p>
            <w:pPr>
              <w:jc w:val="right"/>
              <w:ind w:right="475"/>
              <w:spacing w:after="0" w:line="183" w:lineRule="exact"/>
              <w:rPr>
                <w:sz w:val="20"/>
                <w:szCs w:val="20"/>
                <w:color w:val="auto"/>
              </w:rPr>
            </w:pPr>
            <w:r>
              <w:rPr>
                <w:rFonts w:ascii="Arial" w:cs="Arial" w:eastAsia="Arial" w:hAnsi="Arial"/>
                <w:sz w:val="17"/>
                <w:szCs w:val="17"/>
                <w:color w:val="auto"/>
              </w:rPr>
              <w:t>($ in millions)</w:t>
            </w:r>
          </w:p>
        </w:tc>
        <w:tc>
          <w:tcPr>
            <w:tcW w:w="20" w:type="dxa"/>
            <w:vAlign w:val="bottom"/>
          </w:tcPr>
          <w:p>
            <w:pPr>
              <w:spacing w:after="0"/>
              <w:rPr>
                <w:sz w:val="15"/>
                <w:szCs w:val="15"/>
                <w:color w:val="auto"/>
              </w:rPr>
            </w:pPr>
          </w:p>
        </w:tc>
      </w:tr>
      <w:tr>
        <w:trPr>
          <w:trHeight w:val="378"/>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Gift card liability at beginning of year</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24"/>
                <w:szCs w:val="24"/>
                <w:color w:val="auto"/>
              </w:rPr>
            </w:pPr>
          </w:p>
        </w:tc>
      </w:tr>
      <w:tr>
        <w:trPr>
          <w:trHeight w:val="189"/>
        </w:trPr>
        <w:tc>
          <w:tcPr>
            <w:tcW w:w="6680" w:type="dxa"/>
            <w:vAlign w:val="bottom"/>
          </w:tcPr>
          <w:p>
            <w:pPr>
              <w:ind w:left="220"/>
              <w:spacing w:after="0" w:line="189" w:lineRule="exact"/>
              <w:rPr>
                <w:sz w:val="20"/>
                <w:szCs w:val="20"/>
                <w:color w:val="auto"/>
              </w:rPr>
            </w:pPr>
            <w:r>
              <w:rPr>
                <w:rFonts w:ascii="Arial" w:cs="Arial" w:eastAsia="Arial" w:hAnsi="Arial"/>
                <w:sz w:val="17"/>
                <w:szCs w:val="17"/>
                <w:color w:val="auto"/>
              </w:rPr>
              <w:t>Redemptions</w:t>
            </w:r>
          </w:p>
        </w:tc>
        <w:tc>
          <w:tcPr>
            <w:tcW w:w="3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(105)</w:t>
            </w: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(96)</w:t>
            </w:r>
          </w:p>
        </w:tc>
        <w:tc>
          <w:tcPr>
            <w:tcW w:w="20" w:type="dxa"/>
            <w:vAlign w:val="bottom"/>
          </w:tcPr>
          <w:p>
            <w:pPr>
              <w:spacing w:after="0"/>
              <w:rPr>
                <w:sz w:val="16"/>
                <w:szCs w:val="16"/>
                <w:color w:val="auto"/>
              </w:rPr>
            </w:pPr>
          </w:p>
        </w:tc>
      </w:tr>
      <w:tr>
        <w:trPr>
          <w:trHeight w:val="189"/>
        </w:trPr>
        <w:tc>
          <w:tcPr>
            <w:tcW w:w="66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Cumulative catch-up adjustment to retained earnings from the adoption of Topic 606</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20" w:type="dxa"/>
            <w:vAlign w:val="bottom"/>
          </w:tcPr>
          <w:p>
            <w:pPr>
              <w:spacing w:after="0"/>
              <w:rPr>
                <w:sz w:val="16"/>
                <w:szCs w:val="16"/>
                <w:color w:val="auto"/>
              </w:rPr>
            </w:pPr>
          </w:p>
        </w:tc>
      </w:tr>
      <w:tr>
        <w:trPr>
          <w:trHeight w:val="189"/>
        </w:trPr>
        <w:tc>
          <w:tcPr>
            <w:tcW w:w="6680" w:type="dxa"/>
            <w:vAlign w:val="bottom"/>
          </w:tcPr>
          <w:p>
            <w:pPr>
              <w:ind w:left="220"/>
              <w:spacing w:after="0" w:line="189" w:lineRule="exact"/>
              <w:rPr>
                <w:sz w:val="20"/>
                <w:szCs w:val="20"/>
                <w:color w:val="auto"/>
              </w:rPr>
            </w:pPr>
            <w:r>
              <w:rPr>
                <w:rFonts w:ascii="Arial" w:cs="Arial" w:eastAsia="Arial" w:hAnsi="Arial"/>
                <w:sz w:val="17"/>
                <w:szCs w:val="17"/>
                <w:color w:val="auto"/>
              </w:rPr>
              <w:t>Breakage recognized in sales</w:t>
            </w:r>
          </w:p>
        </w:tc>
        <w:tc>
          <w:tcPr>
            <w:tcW w:w="3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(7)</w:t>
            </w: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(6)</w:t>
            </w:r>
          </w:p>
        </w:tc>
        <w:tc>
          <w:tcPr>
            <w:tcW w:w="20" w:type="dxa"/>
            <w:vAlign w:val="bottom"/>
          </w:tcPr>
          <w:p>
            <w:pPr>
              <w:spacing w:after="0"/>
              <w:rPr>
                <w:sz w:val="16"/>
                <w:szCs w:val="16"/>
                <w:color w:val="auto"/>
              </w:rPr>
            </w:pPr>
          </w:p>
        </w:tc>
      </w:tr>
      <w:tr>
        <w:trPr>
          <w:trHeight w:val="189"/>
        </w:trPr>
        <w:tc>
          <w:tcPr>
            <w:tcW w:w="66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Activations</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112</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104</w:t>
            </w:r>
          </w:p>
        </w:tc>
        <w:tc>
          <w:tcPr>
            <w:tcW w:w="20" w:type="dxa"/>
            <w:vAlign w:val="bottom"/>
          </w:tcPr>
          <w:p>
            <w:pPr>
              <w:spacing w:after="0"/>
              <w:rPr>
                <w:sz w:val="16"/>
                <w:szCs w:val="16"/>
                <w:color w:val="auto"/>
              </w:rPr>
            </w:pPr>
          </w:p>
        </w:tc>
      </w:tr>
      <w:tr>
        <w:trPr>
          <w:trHeight w:val="189"/>
        </w:trPr>
        <w:tc>
          <w:tcPr>
            <w:tcW w:w="668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Foreign currency fluctuations</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r>
      <w:tr>
        <w:trPr>
          <w:trHeight w:val="371"/>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Gift card liability at end of year</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24"/>
                <w:szCs w:val="24"/>
                <w:color w:val="auto"/>
              </w:rPr>
            </w:pP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left="60" w:right="59"/>
        <w:spacing w:after="0" w:line="232" w:lineRule="auto"/>
        <w:rPr>
          <w:sz w:val="20"/>
          <w:szCs w:val="20"/>
          <w:color w:val="auto"/>
        </w:rPr>
      </w:pPr>
      <w:r>
        <w:rPr>
          <w:rFonts w:ascii="Arial" w:cs="Arial" w:eastAsia="Arial" w:hAnsi="Arial"/>
          <w:sz w:val="17"/>
          <w:szCs w:val="17"/>
          <w:color w:val="auto"/>
        </w:rPr>
        <w:t>We elected not to disclose the information about remaining performance obligations since the amount of gift cards redeemed after 12 months is not significant for both 2019 and 2018.</w:t>
      </w:r>
    </w:p>
    <w:p>
      <w:pPr>
        <w:ind w:left="7020"/>
        <w:spacing w:after="0"/>
        <w:rPr>
          <w:sz w:val="20"/>
          <w:szCs w:val="20"/>
          <w:color w:val="auto"/>
        </w:rPr>
      </w:pPr>
      <w:r>
        <w:rPr>
          <w:rFonts w:ascii="Arial" w:cs="Arial" w:eastAsia="Arial" w:hAnsi="Arial"/>
          <w:sz w:val="17"/>
          <w:szCs w:val="17"/>
          <w:color w:val="auto"/>
        </w:rPr>
        <w:t>2019 Form 10-K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46" w:name="page47"/>
    <w:bookmarkEnd w:id="46"/>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Advertising Costs and Sales Promotion</w:t>
      </w:r>
    </w:p>
    <w:p>
      <w:pPr>
        <w:spacing w:after="0" w:line="15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Advertising and sales promotion costs are expensed at the time the advertising or promotion takes place, net of reimbursements for cooperative advertising. Cooperative advertising reimbursements earned for the launch and promotion of certain products agreed upon with vendors are recorded in the same period as the associated expenses are incurred.</w:t>
      </w:r>
    </w:p>
    <w:p>
      <w:pPr>
        <w:spacing w:after="0" w:line="16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Digital advertising costs are expensed as incurred, net of reimbursements for cooperative advertising. Digital advertising includes search engine marketing, such as display ads and keyword search terms, and other various forms of digital advertising. Reimbursements received in excess of expenses incurred related to specific, incremental, and identifiable advertising costs are accounted for as a reduction to the cost of merchandise and are reflected in cost of sales when the merchandise is sold.</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Advertising costs, including digital advertising, which are included as a component of SG&amp;A, were as follows: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2018</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2017</w:t>
            </w:r>
          </w:p>
        </w:tc>
      </w:tr>
      <w:tr>
        <w:trPr>
          <w:trHeight w:val="183"/>
        </w:trPr>
        <w:tc>
          <w:tcPr>
            <w:tcW w:w="3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Pr>
          <w:p>
            <w:pPr>
              <w:jc w:val="right"/>
              <w:ind w:right="195"/>
              <w:spacing w:after="0" w:line="183" w:lineRule="exact"/>
              <w:rPr>
                <w:sz w:val="20"/>
                <w:szCs w:val="20"/>
                <w:color w:val="auto"/>
              </w:rPr>
            </w:pPr>
            <w:r>
              <w:rPr>
                <w:rFonts w:ascii="Arial" w:cs="Arial" w:eastAsia="Arial" w:hAnsi="Arial"/>
                <w:sz w:val="17"/>
                <w:szCs w:val="17"/>
                <w:color w:val="auto"/>
                <w:w w:val="99"/>
              </w:rPr>
              <w:t>in millions)</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3760" w:type="dxa"/>
            <w:vAlign w:val="bottom"/>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Advertising expenses </w:t>
            </w:r>
            <w:r>
              <w:rPr>
                <w:rFonts w:ascii="Arial" w:cs="Arial" w:eastAsia="Arial" w:hAnsi="Arial"/>
                <w:sz w:val="21"/>
                <w:szCs w:val="21"/>
                <w:color w:val="auto"/>
                <w:vertAlign w:val="superscript"/>
              </w:rPr>
              <w:t>(1)</w:t>
            </w:r>
          </w:p>
        </w:tc>
        <w:tc>
          <w:tcPr>
            <w:tcW w:w="9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91</w:t>
            </w:r>
          </w:p>
        </w:tc>
        <w:tc>
          <w:tcPr>
            <w:tcW w:w="46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111</w:t>
            </w:r>
          </w:p>
        </w:tc>
        <w:tc>
          <w:tcPr>
            <w:tcW w:w="4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108</w:t>
            </w:r>
          </w:p>
        </w:tc>
      </w:tr>
      <w:tr>
        <w:trPr>
          <w:trHeight w:val="189"/>
        </w:trPr>
        <w:tc>
          <w:tcPr>
            <w:tcW w:w="3760" w:type="dxa"/>
            <w:vAlign w:val="bottom"/>
          </w:tcPr>
          <w:p>
            <w:pPr>
              <w:ind w:left="20"/>
              <w:spacing w:after="0" w:line="189" w:lineRule="exact"/>
              <w:rPr>
                <w:sz w:val="20"/>
                <w:szCs w:val="20"/>
                <w:color w:val="auto"/>
              </w:rPr>
            </w:pPr>
            <w:r>
              <w:rPr>
                <w:rFonts w:ascii="Arial" w:cs="Arial" w:eastAsia="Arial" w:hAnsi="Arial"/>
                <w:sz w:val="17"/>
                <w:szCs w:val="17"/>
                <w:color w:val="auto"/>
              </w:rPr>
              <w:t>Digital advertising expenses</w:t>
            </w:r>
          </w:p>
        </w:tc>
        <w:tc>
          <w:tcPr>
            <w:tcW w:w="96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95</w:t>
            </w:r>
          </w:p>
        </w:tc>
        <w:tc>
          <w:tcPr>
            <w:tcW w:w="46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96</w:t>
            </w:r>
          </w:p>
        </w:tc>
        <w:tc>
          <w:tcPr>
            <w:tcW w:w="4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96</w:t>
            </w:r>
          </w:p>
        </w:tc>
      </w:tr>
      <w:tr>
        <w:trPr>
          <w:trHeight w:val="189"/>
        </w:trPr>
        <w:tc>
          <w:tcPr>
            <w:tcW w:w="37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Cooperative advertising reimbursements</w:t>
            </w:r>
          </w:p>
        </w:tc>
        <w:tc>
          <w:tcPr>
            <w:tcW w:w="9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(20)</w:t>
            </w:r>
          </w:p>
        </w:tc>
        <w:tc>
          <w:tcPr>
            <w:tcW w:w="4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(25)</w:t>
            </w:r>
          </w:p>
        </w:tc>
        <w:tc>
          <w:tcPr>
            <w:tcW w:w="4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r>
      <w:tr>
        <w:trPr>
          <w:trHeight w:val="183"/>
        </w:trPr>
        <w:tc>
          <w:tcPr>
            <w:tcW w:w="37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Net advertising expense</w:t>
            </w:r>
          </w:p>
        </w:tc>
        <w:tc>
          <w:tcPr>
            <w:tcW w:w="96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166</w:t>
            </w:r>
          </w:p>
        </w:tc>
        <w:tc>
          <w:tcPr>
            <w:tcW w:w="46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182</w:t>
            </w:r>
          </w:p>
        </w:tc>
        <w:tc>
          <w:tcPr>
            <w:tcW w:w="4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184</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80" w:right="79" w:hanging="330"/>
        <w:spacing w:after="0" w:line="258" w:lineRule="auto"/>
        <w:tabs>
          <w:tab w:leader="none" w:pos="3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Effective with the adoption of the new lease standard in 2019, advertising costs that are required by some of our mall-based leases are recorded as an element of rent expense. These costs were $14 million for both 2018 and 2017.</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Catalog Costs</w:t>
      </w:r>
    </w:p>
    <w:p>
      <w:pPr>
        <w:spacing w:after="0" w:line="18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Catalog costs, which are primarily comprised of paper, printing, and postage, are expensed at the time the catalogs are distributed. Prior to the adoption of Topic 606, catalog costs were capitalized and amortized over the expected customer response period related to each catalog, which was generally 90 days. Cooperative reimbursements earned for the promotion of certain products are agreed upon with vendors and are recorded in the same period as the associated catalog expenses are recorded.</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7"/>
          <w:szCs w:val="17"/>
          <w:color w:val="auto"/>
        </w:rPr>
        <w:t>Catalog costs, which are included as a component of SG&amp;A, were as follows: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2018</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2017</w:t>
            </w:r>
          </w:p>
        </w:tc>
      </w:tr>
      <w:tr>
        <w:trPr>
          <w:trHeight w:val="183"/>
        </w:trPr>
        <w:tc>
          <w:tcPr>
            <w:tcW w:w="3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175"/>
              <w:spacing w:after="0" w:line="183" w:lineRule="exact"/>
              <w:rPr>
                <w:sz w:val="20"/>
                <w:szCs w:val="20"/>
                <w:color w:val="auto"/>
              </w:rPr>
            </w:pPr>
            <w:r>
              <w:rPr>
                <w:rFonts w:ascii="Arial" w:cs="Arial" w:eastAsia="Arial" w:hAnsi="Arial"/>
                <w:sz w:val="17"/>
                <w:szCs w:val="17"/>
                <w:color w:val="auto"/>
                <w:w w:val="99"/>
              </w:rPr>
              <w:t>in millions)</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33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Catalog costs</w:t>
            </w:r>
          </w:p>
        </w:tc>
        <w:tc>
          <w:tcPr>
            <w:tcW w:w="14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15</w:t>
            </w:r>
          </w:p>
        </w:tc>
        <w:tc>
          <w:tcPr>
            <w:tcW w:w="4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18</w:t>
            </w:r>
          </w:p>
        </w:tc>
        <w:tc>
          <w:tcPr>
            <w:tcW w:w="4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w:t>
            </w:r>
          </w:p>
        </w:tc>
      </w:tr>
      <w:tr>
        <w:trPr>
          <w:trHeight w:val="189"/>
        </w:trPr>
        <w:tc>
          <w:tcPr>
            <w:tcW w:w="33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Cooperative reimbursements</w:t>
            </w:r>
          </w:p>
        </w:tc>
        <w:tc>
          <w:tcPr>
            <w:tcW w:w="1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2"/>
        </w:trPr>
        <w:tc>
          <w:tcPr>
            <w:tcW w:w="332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Net catalog expense</w:t>
            </w:r>
          </w:p>
        </w:tc>
        <w:tc>
          <w:tcPr>
            <w:tcW w:w="14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15</w:t>
            </w:r>
          </w:p>
        </w:tc>
        <w:tc>
          <w:tcPr>
            <w:tcW w:w="48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18</w:t>
            </w:r>
          </w:p>
        </w:tc>
        <w:tc>
          <w:tcPr>
            <w:tcW w:w="42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w:t>
            </w: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Share-Based Compensation</w:t>
      </w:r>
    </w:p>
    <w:p>
      <w:pPr>
        <w:spacing w:after="0" w:line="147"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 xml:space="preserve">We recognize compensation expense for share-based awards based on the grant date fair value of those awards. Share-based compensation expense is recognized on a straight-line basis over the requisite service period for each vesting tranche of the award. We use the Black-Scholes option-pricing model to determine the fair value of stock options, which requires the input of subjective assumptions regarding the expected term, expected volatility, and risk-free interest rate. See Note 21, </w:t>
      </w:r>
      <w:r>
        <w:rPr>
          <w:rFonts w:ascii="Arial" w:cs="Arial" w:eastAsia="Arial" w:hAnsi="Arial"/>
          <w:sz w:val="17"/>
          <w:szCs w:val="17"/>
          <w:i w:val="1"/>
          <w:iCs w:val="1"/>
          <w:color w:val="auto"/>
        </w:rPr>
        <w:t>Share-Based Compensation,</w:t>
      </w:r>
      <w:r>
        <w:rPr>
          <w:rFonts w:ascii="Arial" w:cs="Arial" w:eastAsia="Arial" w:hAnsi="Arial"/>
          <w:sz w:val="17"/>
          <w:szCs w:val="17"/>
          <w:color w:val="auto"/>
        </w:rPr>
        <w:t xml:space="preserve"> for information on the assumptions used to calculate the fair value of stock options. Awards of restricted stock units, cliff vest after the passage of time, generally three years. Performance-based restricted stock unit awards are earned on achievement of pre-established goals and with regards to certain awards, vest after an additional one-year period. Upon exercise of stock options, issuance of restricted stock or units, or issuance of shares under the employee stock purchase plan, we will issue authorized but unissued common stock or use common stock held in treasury.</w:t>
      </w:r>
    </w:p>
    <w:p>
      <w:pPr>
        <w:spacing w:after="0" w:line="200" w:lineRule="exact"/>
        <w:rPr>
          <w:sz w:val="20"/>
          <w:szCs w:val="20"/>
          <w:color w:val="auto"/>
        </w:rPr>
      </w:pPr>
    </w:p>
    <w:p>
      <w:pPr>
        <w:spacing w:after="0" w:line="359"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47" w:name="page48"/>
    <w:bookmarkEnd w:id="47"/>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Earnings Per Share</w:t>
      </w:r>
    </w:p>
    <w:p>
      <w:pPr>
        <w:spacing w:after="0" w:line="174" w:lineRule="exact"/>
        <w:rPr>
          <w:sz w:val="20"/>
          <w:szCs w:val="20"/>
          <w:color w:val="auto"/>
        </w:rPr>
      </w:pPr>
    </w:p>
    <w:p>
      <w:pPr>
        <w:jc w:val="both"/>
        <w:ind w:left="60" w:right="100"/>
        <w:spacing w:after="0" w:line="236" w:lineRule="auto"/>
        <w:rPr>
          <w:sz w:val="20"/>
          <w:szCs w:val="20"/>
          <w:color w:val="auto"/>
        </w:rPr>
      </w:pPr>
      <w:r>
        <w:rPr>
          <w:rFonts w:ascii="Arial" w:cs="Arial" w:eastAsia="Arial" w:hAnsi="Arial"/>
          <w:sz w:val="17"/>
          <w:szCs w:val="17"/>
          <w:color w:val="auto"/>
        </w:rPr>
        <w:t>We account for earnings per share (“EPS”) using the treasury stock method. Basic EPS is computed by dividing net income for the period by the weighted-average number of common shares outstanding at the end of the period. Diluted EPS reflects the weighted-average number of common shares outstanding during the period used in the basic EPS computation plus dilutive common stock equivalents. The computation of basic and diluted EPS is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2018</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3320" w:type="dxa"/>
            <w:vAlign w:val="bottom"/>
            <w:gridSpan w:val="4"/>
          </w:tcPr>
          <w:p>
            <w:pPr>
              <w:jc w:val="right"/>
              <w:ind w:right="135"/>
              <w:spacing w:after="0" w:line="183" w:lineRule="exact"/>
              <w:rPr>
                <w:sz w:val="20"/>
                <w:szCs w:val="20"/>
                <w:color w:val="auto"/>
              </w:rPr>
            </w:pPr>
            <w:r>
              <w:rPr>
                <w:rFonts w:ascii="Arial" w:cs="Arial" w:eastAsia="Arial" w:hAnsi="Arial"/>
                <w:sz w:val="17"/>
                <w:szCs w:val="17"/>
                <w:color w:val="auto"/>
              </w:rPr>
              <w:t>(in millions, except per share data)</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Income</w:t>
            </w:r>
          </w:p>
        </w:tc>
        <w:tc>
          <w:tcPr>
            <w:tcW w:w="1160" w:type="dxa"/>
            <w:vAlign w:val="bottom"/>
            <w:shd w:val="clear" w:color="auto" w:fill="CCEEFF"/>
          </w:tcPr>
          <w:p>
            <w:pPr>
              <w:jc w:val="right"/>
              <w:ind w:right="755"/>
              <w:spacing w:after="0" w:line="189" w:lineRule="exact"/>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491</w:t>
            </w:r>
          </w:p>
        </w:tc>
        <w:tc>
          <w:tcPr>
            <w:tcW w:w="46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541</w:t>
            </w:r>
          </w:p>
        </w:tc>
        <w:tc>
          <w:tcPr>
            <w:tcW w:w="2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Weighted-average common shares outstanding</w:t>
            </w:r>
          </w:p>
        </w:tc>
        <w:tc>
          <w:tcPr>
            <w:tcW w:w="1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108.7</w:t>
            </w: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115.6</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127.2</w:t>
            </w:r>
          </w:p>
        </w:tc>
        <w:tc>
          <w:tcPr>
            <w:tcW w:w="0" w:type="dxa"/>
            <w:vAlign w:val="bottom"/>
          </w:tcPr>
          <w:p>
            <w:pPr>
              <w:spacing w:after="0"/>
              <w:rPr>
                <w:sz w:val="1"/>
                <w:szCs w:val="1"/>
                <w:color w:val="auto"/>
              </w:rPr>
            </w:pPr>
          </w:p>
        </w:tc>
      </w:tr>
      <w:tr>
        <w:trPr>
          <w:trHeight w:val="189"/>
        </w:trPr>
        <w:tc>
          <w:tcPr>
            <w:tcW w:w="43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Dilutive effect of potential common shares</w:t>
            </w:r>
          </w:p>
        </w:tc>
        <w:tc>
          <w:tcPr>
            <w:tcW w:w="1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0.4</w:t>
            </w: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0.5</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Weighted-average common shares outstanding</w:t>
            </w:r>
          </w:p>
        </w:tc>
        <w:tc>
          <w:tcPr>
            <w:tcW w:w="11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109.1</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assuming dilution</w:t>
            </w:r>
          </w:p>
        </w:tc>
        <w:tc>
          <w:tcPr>
            <w:tcW w:w="1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116.1</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127.9</w:t>
            </w:r>
          </w:p>
        </w:tc>
        <w:tc>
          <w:tcPr>
            <w:tcW w:w="0" w:type="dxa"/>
            <w:vAlign w:val="bottom"/>
          </w:tcPr>
          <w:p>
            <w:pPr>
              <w:spacing w:after="0"/>
              <w:rPr>
                <w:sz w:val="1"/>
                <w:szCs w:val="1"/>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Earnings per share - basic</w:t>
            </w:r>
          </w:p>
        </w:tc>
        <w:tc>
          <w:tcPr>
            <w:tcW w:w="1160" w:type="dxa"/>
            <w:vAlign w:val="bottom"/>
            <w:shd w:val="clear" w:color="auto" w:fill="CCEEFF"/>
          </w:tcPr>
          <w:p>
            <w:pPr>
              <w:jc w:val="right"/>
              <w:ind w:right="755"/>
              <w:spacing w:after="0" w:line="189" w:lineRule="exact"/>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4.52</w:t>
            </w:r>
          </w:p>
        </w:tc>
        <w:tc>
          <w:tcPr>
            <w:tcW w:w="46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4.68</w:t>
            </w:r>
          </w:p>
        </w:tc>
        <w:tc>
          <w:tcPr>
            <w:tcW w:w="2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189"/>
        </w:trPr>
        <w:tc>
          <w:tcPr>
            <w:tcW w:w="4380" w:type="dxa"/>
            <w:vAlign w:val="bottom"/>
          </w:tcPr>
          <w:p>
            <w:pPr>
              <w:ind w:left="20"/>
              <w:spacing w:after="0" w:line="189" w:lineRule="exact"/>
              <w:rPr>
                <w:sz w:val="20"/>
                <w:szCs w:val="20"/>
                <w:color w:val="auto"/>
              </w:rPr>
            </w:pPr>
            <w:r>
              <w:rPr>
                <w:rFonts w:ascii="Arial" w:cs="Arial" w:eastAsia="Arial" w:hAnsi="Arial"/>
                <w:sz w:val="17"/>
                <w:szCs w:val="17"/>
                <w:color w:val="auto"/>
              </w:rPr>
              <w:t>Earnings per share - diluted</w:t>
            </w:r>
          </w:p>
        </w:tc>
        <w:tc>
          <w:tcPr>
            <w:tcW w:w="1160" w:type="dxa"/>
            <w:vAlign w:val="bottom"/>
          </w:tcPr>
          <w:p>
            <w:pPr>
              <w:jc w:val="right"/>
              <w:ind w:right="755"/>
              <w:spacing w:after="0" w:line="189" w:lineRule="exact"/>
              <w:rPr>
                <w:sz w:val="20"/>
                <w:szCs w:val="20"/>
                <w:color w:val="auto"/>
              </w:rPr>
            </w:pPr>
            <w:r>
              <w:rPr>
                <w:rFonts w:ascii="Arial" w:cs="Arial" w:eastAsia="Arial" w:hAnsi="Arial"/>
                <w:sz w:val="17"/>
                <w:szCs w:val="17"/>
                <w:b w:val="1"/>
                <w:bCs w:val="1"/>
                <w:color w:val="auto"/>
              </w:rPr>
              <w:t>$</w:t>
            </w:r>
          </w:p>
        </w:tc>
        <w:tc>
          <w:tcPr>
            <w:tcW w:w="6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4.50</w:t>
            </w:r>
          </w:p>
        </w:tc>
        <w:tc>
          <w:tcPr>
            <w:tcW w:w="46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4.66</w:t>
            </w:r>
          </w:p>
        </w:tc>
        <w:tc>
          <w:tcPr>
            <w:tcW w:w="2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189"/>
        </w:trPr>
        <w:tc>
          <w:tcPr>
            <w:tcW w:w="4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80" w:type="dxa"/>
            <w:vAlign w:val="bottom"/>
          </w:tcPr>
          <w:p>
            <w:pPr>
              <w:ind w:left="20"/>
              <w:spacing w:after="0" w:line="183" w:lineRule="exact"/>
              <w:rPr>
                <w:sz w:val="20"/>
                <w:szCs w:val="20"/>
                <w:color w:val="auto"/>
              </w:rPr>
            </w:pPr>
            <w:r>
              <w:rPr>
                <w:rFonts w:ascii="Arial" w:cs="Arial" w:eastAsia="Arial" w:hAnsi="Arial"/>
                <w:sz w:val="17"/>
                <w:szCs w:val="17"/>
                <w:color w:val="auto"/>
              </w:rPr>
              <w:t>Anti-dilutive share-based awards excluded from diluted</w:t>
            </w:r>
          </w:p>
        </w:tc>
        <w:tc>
          <w:tcPr>
            <w:tcW w:w="1160" w:type="dxa"/>
            <w:vAlign w:val="bottom"/>
          </w:tcPr>
          <w:p>
            <w:pPr>
              <w:spacing w:after="0"/>
              <w:rPr>
                <w:sz w:val="15"/>
                <w:szCs w:val="15"/>
                <w:color w:val="auto"/>
              </w:rPr>
            </w:pPr>
          </w:p>
        </w:tc>
        <w:tc>
          <w:tcPr>
            <w:tcW w:w="60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2.2</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38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calculation</w:t>
            </w:r>
          </w:p>
        </w:tc>
        <w:tc>
          <w:tcPr>
            <w:tcW w:w="1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left="60" w:right="120"/>
        <w:spacing w:after="0" w:line="238" w:lineRule="auto"/>
        <w:rPr>
          <w:sz w:val="20"/>
          <w:szCs w:val="20"/>
          <w:color w:val="auto"/>
        </w:rPr>
      </w:pPr>
      <w:r>
        <w:rPr>
          <w:rFonts w:ascii="Arial" w:cs="Arial" w:eastAsia="Arial" w:hAnsi="Arial"/>
          <w:sz w:val="17"/>
          <w:szCs w:val="17"/>
          <w:color w:val="auto"/>
        </w:rPr>
        <w:t>Contingently issuable shares of 0.5 million for 2019, 0.9 million for 2018, and 0.2 million for 2017, have not been included as the vesting conditions have not been satisfied. These shares relate to restricted stock unit awards issued in connection with the Company’s long-term incentive program.</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Cash, Cash Equivalents, and Restricted Cash</w:t>
      </w:r>
    </w:p>
    <w:p>
      <w:pPr>
        <w:spacing w:after="0" w:line="147" w:lineRule="exact"/>
        <w:rPr>
          <w:sz w:val="20"/>
          <w:szCs w:val="20"/>
          <w:color w:val="auto"/>
        </w:rPr>
      </w:pPr>
    </w:p>
    <w:p>
      <w:pPr>
        <w:jc w:val="both"/>
        <w:ind w:left="60" w:right="100"/>
        <w:spacing w:after="0" w:line="235" w:lineRule="auto"/>
        <w:rPr>
          <w:sz w:val="20"/>
          <w:szCs w:val="20"/>
          <w:color w:val="auto"/>
        </w:rPr>
      </w:pPr>
      <w:r>
        <w:rPr>
          <w:rFonts w:ascii="Arial" w:cs="Arial" w:eastAsia="Arial" w:hAnsi="Arial"/>
          <w:sz w:val="17"/>
          <w:szCs w:val="17"/>
          <w:color w:val="auto"/>
        </w:rPr>
        <w:t>Cash consists of funds held on hand and in bank accounts. Cash equivalents include amounts on demand with banks and all highly liquid investments with original maturities of three months or less, including money market funds. Additionally, amounts due from third-party credit card processors for the settlement of debit and credit card transactions are included as cash equivalents as they are generally collected within three business days. We present book overdrafts, representing checks issued but still outstanding in excess of bank balances, as part of accounts payable.</w:t>
      </w:r>
    </w:p>
    <w:p>
      <w:pPr>
        <w:spacing w:after="0" w:line="107" w:lineRule="exact"/>
        <w:rPr>
          <w:sz w:val="20"/>
          <w:szCs w:val="20"/>
          <w:color w:val="auto"/>
        </w:rPr>
      </w:pPr>
    </w:p>
    <w:p>
      <w:pPr>
        <w:jc w:val="both"/>
        <w:ind w:left="60" w:right="120"/>
        <w:spacing w:after="0" w:line="236" w:lineRule="auto"/>
        <w:rPr>
          <w:sz w:val="20"/>
          <w:szCs w:val="20"/>
          <w:color w:val="auto"/>
        </w:rPr>
      </w:pPr>
      <w:r>
        <w:rPr>
          <w:rFonts w:ascii="Arial" w:cs="Arial" w:eastAsia="Arial" w:hAnsi="Arial"/>
          <w:sz w:val="17"/>
          <w:szCs w:val="17"/>
          <w:color w:val="auto"/>
        </w:rPr>
        <w:t>Restricted cash represents cash that is restricted as to withdrawal or use under the terms of various agreements. Restricted cash includes amounts held in escrow in connection with various leasing arrangements in Europe, and deposits held in insurance trusts to satisfy the requirement to collateralize part of the self-insured workers’ compensation and liability claims.</w:t>
      </w:r>
    </w:p>
    <w:p>
      <w:pPr>
        <w:spacing w:after="0" w:line="109" w:lineRule="exact"/>
        <w:rPr>
          <w:sz w:val="20"/>
          <w:szCs w:val="20"/>
          <w:color w:val="auto"/>
        </w:rPr>
      </w:pPr>
    </w:p>
    <w:p>
      <w:pPr>
        <w:jc w:val="both"/>
        <w:ind w:left="60" w:right="100"/>
        <w:spacing w:after="0" w:line="243" w:lineRule="auto"/>
        <w:rPr>
          <w:sz w:val="20"/>
          <w:szCs w:val="20"/>
          <w:color w:val="auto"/>
        </w:rPr>
      </w:pPr>
      <w:r>
        <w:rPr>
          <w:rFonts w:ascii="Arial" w:cs="Arial" w:eastAsia="Arial" w:hAnsi="Arial"/>
          <w:sz w:val="17"/>
          <w:szCs w:val="17"/>
          <w:color w:val="auto"/>
        </w:rPr>
        <w:t>The following table provides the reconciliation of cash, cash equivalents, and restricted cash, as reported on our consolidated statements of cash flows.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2018</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2017</w:t>
            </w:r>
          </w:p>
        </w:tc>
      </w:tr>
      <w:tr>
        <w:trPr>
          <w:trHeight w:val="183"/>
        </w:trPr>
        <w:tc>
          <w:tcPr>
            <w:tcW w:w="4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155"/>
              <w:spacing w:after="0" w:line="183" w:lineRule="exact"/>
              <w:rPr>
                <w:sz w:val="20"/>
                <w:szCs w:val="20"/>
                <w:color w:val="auto"/>
              </w:rPr>
            </w:pPr>
            <w:r>
              <w:rPr>
                <w:rFonts w:ascii="Arial" w:cs="Arial" w:eastAsia="Arial" w:hAnsi="Arial"/>
                <w:sz w:val="17"/>
                <w:szCs w:val="17"/>
                <w:color w:val="auto"/>
              </w:rPr>
              <w:t>in millions)</w:t>
            </w: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4320" w:type="dxa"/>
            <w:vAlign w:val="bottom"/>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Cash and cash equivalents </w:t>
            </w:r>
            <w:r>
              <w:rPr>
                <w:rFonts w:ascii="Arial" w:cs="Arial" w:eastAsia="Arial" w:hAnsi="Arial"/>
                <w:sz w:val="21"/>
                <w:szCs w:val="21"/>
                <w:color w:val="auto"/>
                <w:vertAlign w:val="superscript"/>
              </w:rPr>
              <w:t>(1)</w:t>
            </w:r>
          </w:p>
        </w:tc>
        <w:tc>
          <w:tcPr>
            <w:tcW w:w="4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907</w:t>
            </w:r>
          </w:p>
        </w:tc>
        <w:tc>
          <w:tcPr>
            <w:tcW w:w="4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891</w:t>
            </w:r>
          </w:p>
        </w:tc>
        <w:tc>
          <w:tcPr>
            <w:tcW w:w="44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849</w:t>
            </w:r>
          </w:p>
        </w:tc>
      </w:tr>
      <w:tr>
        <w:trPr>
          <w:trHeight w:val="189"/>
        </w:trPr>
        <w:tc>
          <w:tcPr>
            <w:tcW w:w="4320" w:type="dxa"/>
            <w:vAlign w:val="bottom"/>
          </w:tcPr>
          <w:p>
            <w:pPr>
              <w:ind w:left="20"/>
              <w:spacing w:after="0" w:line="189" w:lineRule="exact"/>
              <w:rPr>
                <w:sz w:val="20"/>
                <w:szCs w:val="20"/>
                <w:color w:val="auto"/>
              </w:rPr>
            </w:pPr>
            <w:r>
              <w:rPr>
                <w:rFonts w:ascii="Arial" w:cs="Arial" w:eastAsia="Arial" w:hAnsi="Arial"/>
                <w:sz w:val="15"/>
                <w:szCs w:val="15"/>
                <w:color w:val="auto"/>
              </w:rPr>
              <w:t xml:space="preserve">Restricted cash included in other current assets </w:t>
            </w:r>
            <w:r>
              <w:rPr>
                <w:rFonts w:ascii="Arial" w:cs="Arial" w:eastAsia="Arial" w:hAnsi="Arial"/>
                <w:sz w:val="21"/>
                <w:szCs w:val="21"/>
                <w:color w:val="auto"/>
                <w:vertAlign w:val="superscript"/>
              </w:rPr>
              <w:t>(2)</w:t>
            </w:r>
          </w:p>
        </w:tc>
        <w:tc>
          <w:tcPr>
            <w:tcW w:w="46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6</w:t>
            </w:r>
          </w:p>
        </w:tc>
        <w:tc>
          <w:tcPr>
            <w:tcW w:w="480" w:type="dxa"/>
            <w:vAlign w:val="bottom"/>
          </w:tcPr>
          <w:p>
            <w:pPr>
              <w:spacing w:after="0"/>
              <w:rPr>
                <w:sz w:val="16"/>
                <w:szCs w:val="16"/>
                <w:color w:val="auto"/>
              </w:rPr>
            </w:pPr>
          </w:p>
        </w:tc>
        <w:tc>
          <w:tcPr>
            <w:tcW w:w="10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59</w:t>
            </w:r>
          </w:p>
        </w:tc>
        <w:tc>
          <w:tcPr>
            <w:tcW w:w="4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432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Restricted cash included in other non-current assets </w:t>
            </w:r>
            <w:r>
              <w:rPr>
                <w:rFonts w:ascii="Arial" w:cs="Arial" w:eastAsia="Arial" w:hAnsi="Arial"/>
                <w:sz w:val="21"/>
                <w:szCs w:val="21"/>
                <w:color w:val="auto"/>
                <w:vertAlign w:val="superscript"/>
              </w:rPr>
              <w:t>(2)</w:t>
            </w:r>
          </w:p>
        </w:tc>
        <w:tc>
          <w:tcPr>
            <w:tcW w:w="4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29</w:t>
            </w: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31</w:t>
            </w:r>
          </w:p>
        </w:tc>
        <w:tc>
          <w:tcPr>
            <w:tcW w:w="4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181</w:t>
            </w:r>
          </w:p>
        </w:tc>
      </w:tr>
      <w:tr>
        <w:trPr>
          <w:trHeight w:val="183"/>
        </w:trPr>
        <w:tc>
          <w:tcPr>
            <w:tcW w:w="432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Cash, cash equivalents, and restricted cash</w:t>
            </w:r>
          </w:p>
        </w:tc>
        <w:tc>
          <w:tcPr>
            <w:tcW w:w="46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942</w:t>
            </w:r>
          </w:p>
        </w:tc>
        <w:tc>
          <w:tcPr>
            <w:tcW w:w="48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981</w:t>
            </w:r>
          </w:p>
        </w:tc>
        <w:tc>
          <w:tcPr>
            <w:tcW w:w="44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1,031</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80" w:right="120" w:hanging="330"/>
        <w:spacing w:after="0" w:line="258" w:lineRule="auto"/>
        <w:tabs>
          <w:tab w:leader="none" w:pos="3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cash equivalents of $878 million, $834 million, and $780 million for the year ended February 1, 2020, February 2, 2019, and February 3, 2018, respectively.</w:t>
      </w:r>
    </w:p>
    <w:p>
      <w:pPr>
        <w:spacing w:after="0" w:line="2" w:lineRule="exact"/>
        <w:rPr>
          <w:rFonts w:ascii="Arial" w:cs="Arial" w:eastAsia="Arial" w:hAnsi="Arial"/>
          <w:sz w:val="13"/>
          <w:szCs w:val="13"/>
          <w:color w:val="auto"/>
        </w:rPr>
      </w:pPr>
    </w:p>
    <w:p>
      <w:pPr>
        <w:jc w:val="both"/>
        <w:ind w:left="380" w:right="120" w:hanging="330"/>
        <w:spacing w:after="0" w:line="252" w:lineRule="auto"/>
        <w:tabs>
          <w:tab w:leader="none" w:pos="3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 xml:space="preserve">In connection with the pension matter, as further discussed in Note 3, </w:t>
      </w:r>
      <w:r>
        <w:rPr>
          <w:rFonts w:ascii="Arial" w:cs="Arial" w:eastAsia="Arial" w:hAnsi="Arial"/>
          <w:sz w:val="13"/>
          <w:szCs w:val="13"/>
          <w:i w:val="1"/>
          <w:iCs w:val="1"/>
          <w:color w:val="auto"/>
        </w:rPr>
        <w:t>Impairment and Other Charges</w:t>
      </w:r>
      <w:r>
        <w:rPr>
          <w:rFonts w:ascii="Arial" w:cs="Arial" w:eastAsia="Arial" w:hAnsi="Arial"/>
          <w:sz w:val="13"/>
          <w:szCs w:val="13"/>
          <w:color w:val="auto"/>
        </w:rPr>
        <w:t>, we deposited $150 million to a qualified settlement fund during 2017, classified as long-term at that time. The qualified settlement fund was used in 2018 to pay $97 million in class counsel fees. The balance of the fund and related interest was $55 million and was included in the current portion of restricted cash as of February 2, 2019. The remaining fund was contributed to the pension plan in 2019.</w:t>
      </w:r>
    </w:p>
    <w:p>
      <w:pPr>
        <w:spacing w:after="0" w:line="326"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1264" w:right="1399" w:bottom="1440" w:gutter="0" w:footer="0" w:header="0"/>
        </w:sectPr>
      </w:pPr>
    </w:p>
    <w:bookmarkStart w:id="48" w:name="page49"/>
    <w:bookmarkEnd w:id="48"/>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Merchandise Inventories and Cost of Sales</w:t>
      </w:r>
    </w:p>
    <w:p>
      <w:pPr>
        <w:spacing w:after="0" w:line="14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Merchandise inventories for our stores are valued at the lower of cost or market using the retail inventory method. Cost for retail stores is determined on the last-in, first-out (“LIFO”) basis for domestic inventories and on the first-in, first-out (“FIFO”) basis for international inventories. Merchandise inventories of the e-commerce business are valued at net realizable value using weighted-average cost, which approximates FIFO.</w:t>
      </w:r>
    </w:p>
    <w:p>
      <w:pPr>
        <w:spacing w:after="0" w:line="12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retail inventory method is used by retail companies to value inventories at cost and calculate gross margins due to its practicality. Under the retail inventory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 We provide reserves based on current selling prices when the inventory has not been marked down to market.</w:t>
      </w:r>
    </w:p>
    <w:p>
      <w:pPr>
        <w:spacing w:after="0" w:line="12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Transportation, distribution center, and sourcing costs are capitalized in merchandise inventories. We expense the freight associated with transfers between our store locations in the period incurred. We maintain an accrual for shrinkage based on historical rates.</w:t>
      </w:r>
    </w:p>
    <w:p>
      <w:pPr>
        <w:spacing w:after="0" w:line="12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Cost of sales is comprised of the cost of merchandise, as well as occupancy, buyers’ compensation, and shipping and handling costs. The cost of merchandise is recorded net of amounts received from suppliers for damaged product returns, markdown allowances, and volume rebates, as well as cooperative advertising reimbursements received in excess of specific, incremental advertising expenses.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Investments</w:t>
      </w:r>
    </w:p>
    <w:p>
      <w:pPr>
        <w:spacing w:after="0" w:line="12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 xml:space="preserve">In 2018, we adopted ASU 2016-01, </w:t>
      </w:r>
      <w:r>
        <w:rPr>
          <w:rFonts w:ascii="Arial" w:cs="Arial" w:eastAsia="Arial" w:hAnsi="Arial"/>
          <w:sz w:val="17"/>
          <w:szCs w:val="17"/>
          <w:i w:val="1"/>
          <w:iCs w:val="1"/>
          <w:color w:val="auto"/>
        </w:rPr>
        <w:t>Financial Instruments – Overall (Subtopic 825-10): Recognition and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of Financial Assets and Financial Liabilities</w:t>
      </w:r>
      <w:r>
        <w:rPr>
          <w:rFonts w:ascii="Arial" w:cs="Arial" w:eastAsia="Arial" w:hAnsi="Arial"/>
          <w:sz w:val="17"/>
          <w:szCs w:val="17"/>
          <w:color w:val="auto"/>
        </w:rPr>
        <w:t>. Our equity investments that are not accounted for under the equity</w:t>
      </w:r>
      <w:r>
        <w:rPr>
          <w:rFonts w:ascii="Arial" w:cs="Arial" w:eastAsia="Arial" w:hAnsi="Arial"/>
          <w:sz w:val="17"/>
          <w:szCs w:val="17"/>
          <w:i w:val="1"/>
          <w:iCs w:val="1"/>
          <w:color w:val="auto"/>
        </w:rPr>
        <w:t xml:space="preserve"> </w:t>
      </w:r>
      <w:r>
        <w:rPr>
          <w:rFonts w:ascii="Arial" w:cs="Arial" w:eastAsia="Arial" w:hAnsi="Arial"/>
          <w:sz w:val="17"/>
          <w:szCs w:val="17"/>
          <w:color w:val="auto"/>
        </w:rPr>
        <w:t>method are measured at cost adjusted for changes in observable prices minus impairment, under the practicability exception. As of February 1, 2020 and February 2, 2019, we had $137 million and $94 million, respectively, of investments which are accounted for under this method. Additionally, our auction rate security, classified as available-for-sale, is recorded at fair value with gains and losses reported in Other income, net in our Consolidated Statements of Operations, whereas previously changes in the fair value were reported as a component of accumulated other comprehensive loss (“AOCL”) in the Consolidated Statements of Shareholders’ Equity and were not reflected in the Consolidated Statements of Operations until a sale transaction occurred or when declines in fair value were deemed to be other-than-temporary. The adjustment recorded in 2018 to retained earnings as a result of adopting ASU 2016-01 was not significant.</w:t>
      </w:r>
    </w:p>
    <w:p>
      <w:pPr>
        <w:spacing w:after="0" w:line="127"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7"/>
          <w:szCs w:val="17"/>
          <w:color w:val="auto"/>
        </w:rPr>
        <w:t>Minority interests, including our equity method investment, had a carrying value of $142 million and $104 million as of February 1, 2020 and February 2, 2019, respectively, and are included within Other assets. As of February 1, 2020, we held one available-for-sale security, which was our $7 million auction rate security.</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See Note 19</w:t>
      </w:r>
      <w:r>
        <w:rPr>
          <w:rFonts w:ascii="Arial" w:cs="Arial" w:eastAsia="Arial" w:hAnsi="Arial"/>
          <w:sz w:val="17"/>
          <w:szCs w:val="17"/>
          <w:i w:val="1"/>
          <w:iCs w:val="1"/>
          <w:color w:val="auto"/>
        </w:rPr>
        <w:t>, Fair Value Measurements</w:t>
      </w:r>
      <w:r>
        <w:rPr>
          <w:rFonts w:ascii="Arial" w:cs="Arial" w:eastAsia="Arial" w:hAnsi="Arial"/>
          <w:sz w:val="17"/>
          <w:szCs w:val="17"/>
          <w:color w:val="auto"/>
        </w:rPr>
        <w:t>, for further discussion.</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Property and Equipment</w:t>
      </w:r>
    </w:p>
    <w:p>
      <w:pPr>
        <w:spacing w:after="0" w:line="14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Property and equipment are recorded at cost, less accumulated depreciation and amortization. Significant additions and improvements to property and equipment are capitalized. Major renewals or replacements that substantially extend the useful life of an asset are capitalized. Maintenance and repairs are expensed as incurred.</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Depreciation and amortization are computed on a straight-line basis over the following estimated useful lives: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Buildings</w:t>
            </w:r>
          </w:p>
        </w:tc>
        <w:tc>
          <w:tcPr>
            <w:tcW w:w="548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Maximum of 50 years</w:t>
            </w:r>
          </w:p>
        </w:tc>
      </w:tr>
      <w:tr>
        <w:trPr>
          <w:trHeight w:val="189"/>
        </w:trPr>
        <w:tc>
          <w:tcPr>
            <w:tcW w:w="20" w:type="dxa"/>
            <w:vAlign w:val="bottom"/>
          </w:tcPr>
          <w:p>
            <w:pPr>
              <w:spacing w:after="0"/>
              <w:rPr>
                <w:sz w:val="16"/>
                <w:szCs w:val="16"/>
                <w:color w:val="auto"/>
              </w:rPr>
            </w:pPr>
          </w:p>
        </w:tc>
        <w:tc>
          <w:tcPr>
            <w:tcW w:w="3420" w:type="dxa"/>
            <w:vAlign w:val="bottom"/>
          </w:tcPr>
          <w:p>
            <w:pPr>
              <w:spacing w:after="0" w:line="189" w:lineRule="exact"/>
              <w:rPr>
                <w:sz w:val="20"/>
                <w:szCs w:val="20"/>
                <w:color w:val="auto"/>
              </w:rPr>
            </w:pPr>
            <w:r>
              <w:rPr>
                <w:rFonts w:ascii="Arial" w:cs="Arial" w:eastAsia="Arial" w:hAnsi="Arial"/>
                <w:sz w:val="17"/>
                <w:szCs w:val="17"/>
                <w:color w:val="auto"/>
              </w:rPr>
              <w:t>Store leasehold improvements</w:t>
            </w:r>
          </w:p>
        </w:tc>
        <w:tc>
          <w:tcPr>
            <w:tcW w:w="5480" w:type="dxa"/>
            <w:vAlign w:val="bottom"/>
          </w:tcPr>
          <w:p>
            <w:pPr>
              <w:ind w:left="860"/>
              <w:spacing w:after="0" w:line="189" w:lineRule="exact"/>
              <w:rPr>
                <w:sz w:val="20"/>
                <w:szCs w:val="20"/>
                <w:color w:val="auto"/>
              </w:rPr>
            </w:pPr>
            <w:r>
              <w:rPr>
                <w:rFonts w:ascii="Arial" w:cs="Arial" w:eastAsia="Arial" w:hAnsi="Arial"/>
                <w:sz w:val="17"/>
                <w:szCs w:val="17"/>
                <w:color w:val="auto"/>
              </w:rPr>
              <w:t>Shorter of the asset useful life or expected term of the lease</w:t>
            </w: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equipment</w:t>
            </w:r>
          </w:p>
        </w:tc>
        <w:tc>
          <w:tcPr>
            <w:tcW w:w="5480" w:type="dxa"/>
            <w:vAlign w:val="bottom"/>
            <w:shd w:val="clear" w:color="auto" w:fill="CCEEFF"/>
          </w:tcPr>
          <w:p>
            <w:pPr>
              <w:ind w:left="860"/>
              <w:spacing w:after="0" w:line="196" w:lineRule="exact"/>
              <w:rPr>
                <w:sz w:val="20"/>
                <w:szCs w:val="20"/>
                <w:color w:val="auto"/>
              </w:rPr>
            </w:pPr>
            <w:r>
              <w:rPr>
                <w:rFonts w:ascii="Arial" w:cs="Arial" w:eastAsia="Arial" w:hAnsi="Arial"/>
                <w:sz w:val="17"/>
                <w:szCs w:val="17"/>
                <w:color w:val="auto"/>
              </w:rPr>
              <w:t>3</w:t>
            </w:r>
            <w:r>
              <w:rPr>
                <w:rFonts w:ascii="MS PGothic" w:cs="MS PGothic" w:eastAsia="MS PGothic" w:hAnsi="MS PGothic"/>
                <w:sz w:val="17"/>
                <w:szCs w:val="17"/>
                <w:color w:val="auto"/>
              </w:rPr>
              <w:t>‑</w:t>
            </w:r>
            <w:r>
              <w:rPr>
                <w:rFonts w:ascii="Arial" w:cs="Arial" w:eastAsia="Arial" w:hAnsi="Arial"/>
                <w:sz w:val="17"/>
                <w:szCs w:val="17"/>
                <w:color w:val="auto"/>
              </w:rPr>
              <w:t>10 years</w:t>
            </w:r>
          </w:p>
        </w:tc>
      </w:tr>
      <w:tr>
        <w:trPr>
          <w:trHeight w:val="203"/>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Software</w:t>
            </w:r>
          </w:p>
        </w:tc>
        <w:tc>
          <w:tcPr>
            <w:tcW w:w="5480" w:type="dxa"/>
            <w:vAlign w:val="bottom"/>
          </w:tcPr>
          <w:p>
            <w:pPr>
              <w:ind w:left="860"/>
              <w:spacing w:after="0" w:line="196" w:lineRule="exact"/>
              <w:rPr>
                <w:sz w:val="20"/>
                <w:szCs w:val="20"/>
                <w:color w:val="auto"/>
              </w:rPr>
            </w:pPr>
            <w:r>
              <w:rPr>
                <w:rFonts w:ascii="Arial" w:cs="Arial" w:eastAsia="Arial" w:hAnsi="Arial"/>
                <w:sz w:val="17"/>
                <w:szCs w:val="17"/>
                <w:color w:val="auto"/>
              </w:rPr>
              <w:t>2</w:t>
            </w:r>
            <w:r>
              <w:rPr>
                <w:rFonts w:ascii="MS PGothic" w:cs="MS PGothic" w:eastAsia="MS PGothic" w:hAnsi="MS PGothic"/>
                <w:sz w:val="17"/>
                <w:szCs w:val="17"/>
                <w:color w:val="auto"/>
              </w:rPr>
              <w:t>‑</w:t>
            </w:r>
            <w:r>
              <w:rPr>
                <w:rFonts w:ascii="Arial" w:cs="Arial" w:eastAsia="Arial" w:hAnsi="Arial"/>
                <w:sz w:val="17"/>
                <w:szCs w:val="17"/>
                <w:color w:val="auto"/>
              </w:rPr>
              <w:t>7 years</w:t>
            </w:r>
          </w:p>
        </w:tc>
      </w:tr>
      <w:tr>
        <w:trPr>
          <w:trHeight w:val="732"/>
        </w:trPr>
        <w:tc>
          <w:tcPr>
            <w:tcW w:w="20" w:type="dxa"/>
            <w:vAlign w:val="bottom"/>
          </w:tcPr>
          <w:p>
            <w:pPr>
              <w:spacing w:after="0"/>
              <w:rPr>
                <w:sz w:val="24"/>
                <w:szCs w:val="24"/>
                <w:color w:val="auto"/>
              </w:rPr>
            </w:pPr>
          </w:p>
        </w:tc>
        <w:tc>
          <w:tcPr>
            <w:tcW w:w="3420" w:type="dxa"/>
            <w:vAlign w:val="bottom"/>
            <w:tcBorders>
              <w:top w:val="single" w:sz="8" w:color="auto"/>
            </w:tcBorders>
          </w:tcPr>
          <w:p>
            <w:pPr>
              <w:spacing w:after="0"/>
              <w:rPr>
                <w:sz w:val="24"/>
                <w:szCs w:val="24"/>
                <w:color w:val="auto"/>
              </w:rPr>
            </w:pPr>
          </w:p>
        </w:tc>
        <w:tc>
          <w:tcPr>
            <w:tcW w:w="5480" w:type="dxa"/>
            <w:vAlign w:val="bottom"/>
            <w:tcBorders>
              <w:top w:val="single" w:sz="8" w:color="auto"/>
            </w:tcBorders>
          </w:tcPr>
          <w:p>
            <w:pPr>
              <w:ind w:left="3540"/>
              <w:spacing w:after="0"/>
              <w:rPr>
                <w:sz w:val="20"/>
                <w:szCs w:val="20"/>
                <w:color w:val="auto"/>
              </w:rPr>
            </w:pPr>
            <w:r>
              <w:rPr>
                <w:rFonts w:ascii="Arial" w:cs="Arial" w:eastAsia="Arial" w:hAnsi="Arial"/>
                <w:sz w:val="17"/>
                <w:szCs w:val="17"/>
                <w:color w:val="auto"/>
              </w:rPr>
              <w:t>2019 Form 10-K Page 46</w:t>
            </w:r>
          </w:p>
        </w:tc>
      </w:tr>
      <w:tr>
        <w:trPr>
          <w:trHeight w:val="740"/>
        </w:trPr>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4" w:right="1440" w:bottom="1440" w:gutter="0" w:footer="0" w:header="0"/>
        </w:sectPr>
      </w:pPr>
    </w:p>
    <w:bookmarkStart w:id="49" w:name="page50"/>
    <w:bookmarkEnd w:id="49"/>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Internal-Use Software Development Costs</w:t>
      </w:r>
    </w:p>
    <w:p>
      <w:pPr>
        <w:spacing w:after="0" w:line="174"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We capitalize certain external and internal computer software and software development costs incurred during the application development stage. The application development stage generally includes software design and configuration, coding, testing, and installation activities. Capitalized costs include only external direct cost of materials and services consumed in developing or obtaining internal-use software, and payroll and payroll-related costs for employees who are directly associated with and devote time to the internal-use software project. Capitalization of such costs ceases no later than the point at which the project is substantially complete and ready for its intended use. Training and maintenance costs are expensed as incurred, while upgrades and enhancements are capitalized if it is probable that such expenditures will result in additional functionality. Capitalized software, net of accumulated amortization, is included as a component of Property and equipment, net and was $80 million at both February 1, 2020 and February 2, 2019.</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Impairment of Long-Lived Tangible Assets and Right-of-Use Assets</w:t>
      </w:r>
    </w:p>
    <w:p>
      <w:pPr>
        <w:spacing w:after="0" w:line="187"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We perform an impairment review when circumstances indicate that the carrying value of long-lived tangible assets and right-of-use assets may not be recoverable (“a triggering event”). Our policy in determining whether a triggering event exists comprises the evaluation of measurable operating performance criteria and qualitative measures at the lowest level for which identifiable cash flows are largely independent of cash flows for other assets and liabilities, which is at the store level. We also evaluate triggering events at the banner level. In evaluating potential store level impairment, we compare future undiscounted cash flows expected to result from the use of the asset group to the carrying amount of the asset group. The future cash flows are estimated predominately based on our historical performance and long-range strategic plans. If the carrying amount of the asset group exceeds the estimated undiscounted future cash flows, we measure the amount of the impairment by comparing the carrying amount of the asset group with its estimated fair value. The estimation of fair value is measured by discounting expected future cash flows using a risk adjusted discount rate and using current market-based information for right-of-use assets. We estimate fair value based on the best information available using estimates, judgments, and projections as considered necessary.</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Leases</w:t>
      </w:r>
    </w:p>
    <w:p>
      <w:pPr>
        <w:spacing w:after="0" w:line="18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Lease liabilities are recognized at the commencement date based on the present value of lease payments over the lease term for those arrangements where there is an identified asset and the contract conveys the right to control its use. The lease term includes options to extend or terminate a lease only when we are reasonably certain that we will exercise that option. The right-of-use asset is measured at the initial amount of the lease liability adjusted for lease payments made at or before the lease commencement date, initial direct costs, and any tenant improvement allowances received. For operating leases, right-of-use assets are reduced over the lease term by the straight-line lease expense recognized less the amount of accretion of the lease liability determined using the effective interest method.</w:t>
      </w:r>
    </w:p>
    <w:p>
      <w:pPr>
        <w:spacing w:after="0" w:line="163"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combine lease components and non-lease components. Given our policy election to combine lease and non-lease components, we also consider fixed common area maintenance (“CAM”) part of our fixed future lease payments; therefore, fixed CAM is also included in our lease liability. We recognize rent expense for operating leases as of the possession date for store leases or the commencement of the agreement for a non-store lease. Rental expense, inclusive of rent holidays, concessions, and tenant allowances are recognized over the lease term on a straight-line basis. Contingent payments based upon sales and future increases determined by inflation related indices cannot be estimated at the inception of the lease and, accordingly, are charged to operations as incurred.</w:t>
      </w:r>
    </w:p>
    <w:p>
      <w:pPr>
        <w:spacing w:after="0" w:line="15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As most of our leases do not provide an implicit interest rate, we use our incremental borrowing rates based on the remaining lease term to determine the present value of future lease payments. Our incremental borrowing rate for a lease is the rate of interest we would have to pay on a collateralized basis to borrow an amount equal to the lease payments under similar terms.</w:t>
      </w:r>
    </w:p>
    <w:p>
      <w:pPr>
        <w:spacing w:after="0" w:line="163"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Leases with an initial term of 12 months or less are not recorded on the balance sheet. We recognize lease expense for short-term leases on a straight-line basis over the lease term.</w:t>
      </w:r>
    </w:p>
    <w:p>
      <w:pPr>
        <w:spacing w:after="0" w:line="158"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0" w:name="page51"/>
    <w:bookmarkEnd w:id="50"/>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Impairment of Goodwill and Other Intangible Assets</w:t>
      </w:r>
    </w:p>
    <w:p>
      <w:pPr>
        <w:spacing w:after="0" w:line="93"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Goodwill and intangible assets with indefinite lives are reviewed for impairment annually during the first quarter of each fiscal year or more frequently if impairment indicators arise. The review of goodwill impairment consists of either using a qualitative approach to determine whether it is more likely than not that the fair value of the assets is less than their respective carrying values or a two-step impairment test, if necessary. If, based on the results of the qualitative assessment, it is concluded that it is not more likely than not that the fair value of the intangible asset is greater than its carrying value, the two-step test is performed to identify potential impairment. If it is determined that it is not more likely than not that the fair value of the reporting unit is less than its carrying value, it is unnecessary to perform the two-step impairment test. Based on certain circumstances, we may elect to bypass the qualitative assessment and proceed directly to performing the first step of the two-step impairment test. The first step of the two-step goodwill impairment test compares the fair value of the reporting unit to its carrying amount, including goodwill. The second step includes hypothetically valuing all the tangible and intangible assets of the reporting unit as if the reporting unit had been acquired in a business combination. Then, the implied fair value of the reporting unit’s goodwill is compared to the carrying amount of that goodwill. If the carrying value of the asset exceeds its fair value, an impairment loss is recognized in the amount of the excess. The fair value of each reporting unit is determined using a discounted cash flow approach.</w:t>
      </w:r>
    </w:p>
    <w:p>
      <w:pPr>
        <w:spacing w:after="0" w:line="16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Intangible assets with indefinite lives are tested for impairment if impairment indicators arise and, at a minimum, annually. The impairment review for intangible assets with indefinite lives consists of either performing a qualitative or a quantitative assessment. If the results of the qualitative assessment indicate that it is more likely than not that the fair value of the indefinite-lived intangible is less than its carrying amount, or if we elect to proceed directly to a quantitative assessment, we calculate the fair value using a discounted cash flow method, based on the relief from royalty method, and compare the fair value to the carrying value to determine if the asset is impaired. Intangible assets that are determined to have finite lives are amortized over their useful lives and are measured for impairment only when events or changes in circumstances indicate that the carrying value may be impaired.</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Derivative Financial Instruments</w:t>
      </w:r>
    </w:p>
    <w:p>
      <w:pPr>
        <w:spacing w:after="0" w:line="93"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All derivative financial instruments are recorded in our Consolidated Balance Sheets at their fair values. For derivatives designated as a hedge, and effective as part of a hedge transaction, the effective portion of the gain or loss on the hedging derivative instrument is reported as a component of other comprehensive income/loss or as a basis adjustment to the underlying hedged item and reclassified to earnings in the period in which the hedged item affects earnings. The effective portion of the gain or loss on hedges of foreign net investments is generally not reclassified to earnings unless the net investment is disposed of. To the extent derivatives do not qualify or are not designated as hedges, or are ineffective, their changes in fair value are recorded in earnings immediately, which may subject us to increased earnings volatility.</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Income Taxes</w:t>
      </w:r>
    </w:p>
    <w:p>
      <w:pPr>
        <w:spacing w:after="0" w:line="106"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account for our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the tax basis of assets and liabilities, using enacted tax rates in effect for the year in which the differences are expected to reverse. Deferred tax assets are recognized for tax credits and net operating loss carryforwards, reduced by a valuation allowance, which is established when it is more likely than not that some portion or all of the deferred tax assets will not be realized. The effect of a change in tax rates on deferred tax assets and liabilities is recognized in income in the period that includes the enactment date.</w:t>
      </w:r>
    </w:p>
    <w:p>
      <w:pPr>
        <w:spacing w:after="0" w:line="6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recognize net deferred tax assets to the extent that we believe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w:t>
      </w:r>
    </w:p>
    <w:p>
      <w:pPr>
        <w:spacing w:after="0" w:line="8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A taxing authority may challenge positions that we adopted in our income tax filings. Accordingly, we may apply different tax treatments for transactions in filing our income tax returns than for income tax financial reporting. We regularly assess our tax positions for such transactions and record reserves for those differences when considered necessary. Tax positions are recognized only when it is more likely than not, based on technical merits, that the positions will be sustained upon examination. Tax positions that meet the more-likely-than-not threshold are measured using a probability weighted approach as the largest amount of tax benefit that is greater than fifty percent likely of being realized upon settlement. Whether the more-likely-than-not recognition threshold is met for a tax position is a matter of judgment based on the individual facts and circumstances of that position evaluated in light of all available evidence. We recognize interest and penalties related to unrecognized tax benefits within income tax expense in the accompanying Consolidated Statement of Operations. Accrued interest and penalties are included within the related tax liability line in the Consolidated Balance Sheet.</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Pension and Postretirement Obligations</w:t>
      </w:r>
    </w:p>
    <w:p>
      <w:pPr>
        <w:spacing w:after="0" w:line="18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Pension benefit obligations and net periodic pension costs are calculated using many actuarial assumptions. Two key assumptions used in accounting for pension liabilities and expenses are the discount rate and expected rate of return on plan assets. The discount rate for the U.S. plans is determined by reference to the Bond:Link interest rate model based upon a portfolio of highly-rated U.S. corporate bonds with individual bonds that are theoretically purchased to settle the plan’s anticipated cash outflows. The cash flows are discounted to their present value and an overall discount rate is determined. The discount rate selected to measure the present value of the Canadian benefit obligations was developed by using that plan’s bond portfolio indices, which match the benefit obligations. We measure our plan assets and benefit obligations using the month-end date that is closest to our fiscal year end. The expected return on plan assets assumption is derived using the current and expected asset allocation of the pension</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7"/>
          <w:szCs w:val="17"/>
          <w:color w:val="auto"/>
        </w:rPr>
        <w:t>plan assets and considering historical as well as expected performance of those assets.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Insurance Liabilities</w:t>
      </w:r>
    </w:p>
    <w:p>
      <w:pPr>
        <w:spacing w:after="0" w:line="17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are primarily self-insured for health care, workers’ compensation, and general liability costs. Accordingly, provisions are made for actuarially determined estimates of discounted future claim costs for such risks, for the aggregate of claims reported, and claims incurred but not yet reported. Self-insured liabilities totaled $12 million for both February 1, 2020 and February 2, 2019. Workers’ compensation and general liability reserves are discounted using a risk-free interest rate. Imputed interest expense related to these liabilities was not significant for any of the periods presented.</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Treasury Stock Retirement</w:t>
      </w:r>
    </w:p>
    <w:p>
      <w:pPr>
        <w:spacing w:after="0" w:line="18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periodically retire treasury shares that we acquire through share repurchases and return those shares to the status of authorized but unissued. We account for treasury stock transactions under the cost method. For each reacquisition of common stock, the number of shares and the acquisition price for those shares is added to the existing treasury stock count and total value. When treasury shares are retired, our policy is to allocate the excess of the repurchase price over the par value of shares acquired to both retained earnings and additional paid-in capital. The portion allocated to additional paid-in capital is determined by applying a percentage, which is determined by dividing the number of shares to be retired by the number of shares issued, to the balance of additional paid-in capital as of the retirement date.</w:t>
      </w:r>
    </w:p>
    <w:p>
      <w:pPr>
        <w:spacing w:after="0" w:line="14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We retired 9 million shares in both 2019 and 2018 of our common stock held in treasury. The shares were returned to the status of authorized but unissued. As a result, treasury stock decreased by $368 million and $400 million as of February 1, 2020 and February 2, 2019, respectively.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Foreign Currency Translation</w:t>
      </w:r>
    </w:p>
    <w:p>
      <w:pPr>
        <w:spacing w:after="0" w:line="18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functional currency of our international operations is the applicable local currency. The translation of the applicable foreign currency into U.S. dollars is performed for balance sheet accounts using current exchange rates in effect at the balance sheet date and for revenue and expense accounts using the weighted-average rates of exchange prevailing during the year. The unearned gains and losses resulting from such translation are included as a separate component of AOCL within shareholders’ equity.</w:t>
      </w:r>
    </w:p>
    <w:p>
      <w:pPr>
        <w:spacing w:after="0" w:line="15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2" w:name="page53"/>
    <w:bookmarkEnd w:id="52"/>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201"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adopted Financial Accounting Standards Board guidance on accounting for leases on February 3, 2019 (the “effective date”) using the optional transition method, which applies the lease guidance at the beginning of the period in which it is adopted. Prior period amounts have not been adjusted in connection with the adoption of this standard. We elected the package of practical expedients under the new standard, which permits companies to not reassess lease classification, lease identification, or initial direct costs for existing or expired leases prior to the effective date. We have lease agreements with non-lease components that relate to the lease components. We also elected the practical expedient to account for non-lease components and the lease components to which they relate, as a single lease component for all classes of underlying assets. Also, we elected to keep short-term leases with an initial term of twelve months or less off the balance sheet.</w:t>
      </w:r>
    </w:p>
    <w:p>
      <w:pPr>
        <w:spacing w:after="0" w:line="175"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Upon adoption of this new standard, as of February 3, 2019, we recorded right-of-use assets and lease obligations on the Consolidated Balance Sheet for our operating leases of $3,148 million and $3,422 million, respectively. As part of adopting the standard, previously recognized liabilities for deferred rent and lease incentives were reclassified as a component of the right-of-use assets. Additionally, upon adoption, we evaluated right-of-use assets for impairment and determined that approximately $29 million of impairment was required related to newly recognized right-of-use assets that would have been impaired in previous periods. This standard did not significantly affect our Consolidated Statements of Operations, Comprehensive Income, or Cash Flows.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Recent Accounting Pronouncements Not Yet Adopted</w:t>
      </w:r>
    </w:p>
    <w:p>
      <w:pPr>
        <w:spacing w:after="0" w:line="201"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All recently issued accounting pronouncements are not expected to have a material effect on the consolidated financial statements.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 Segment Information</w:t>
      </w:r>
    </w:p>
    <w:p>
      <w:pPr>
        <w:spacing w:after="0" w:line="176" w:lineRule="exact"/>
        <w:rPr>
          <w:sz w:val="20"/>
          <w:szCs w:val="20"/>
          <w:color w:val="auto"/>
        </w:rPr>
      </w:pPr>
    </w:p>
    <w:p>
      <w:pPr>
        <w:jc w:val="both"/>
        <w:ind w:left="60" w:right="79"/>
        <w:spacing w:after="0" w:line="235" w:lineRule="auto"/>
        <w:rPr>
          <w:sz w:val="20"/>
          <w:szCs w:val="20"/>
          <w:color w:val="auto"/>
        </w:rPr>
      </w:pPr>
      <w:r>
        <w:rPr>
          <w:rFonts w:ascii="Arial" w:cs="Arial" w:eastAsia="Arial" w:hAnsi="Arial"/>
          <w:sz w:val="17"/>
          <w:szCs w:val="17"/>
          <w:color w:val="auto"/>
        </w:rPr>
        <w:t>We have integrated all available shopping channels including stores, websites, apps, social channels, and catalogs. Store sales are primarily fulfilled from the store’s inventory but may also be shipped from our distribution centers or from a different store location if an item is not available at the original store. Direct-to-customer orders are primarily shipped to our customers through our distribution centers but may also be shipped from a store or a combination of our distribution centers and stores depending on the availability of particular items.</w:t>
      </w:r>
    </w:p>
    <w:p>
      <w:pPr>
        <w:spacing w:after="0" w:line="177" w:lineRule="exact"/>
        <w:rPr>
          <w:sz w:val="20"/>
          <w:szCs w:val="20"/>
          <w:color w:val="auto"/>
        </w:rPr>
      </w:pPr>
    </w:p>
    <w:p>
      <w:pPr>
        <w:jc w:val="both"/>
        <w:ind w:left="60" w:right="79"/>
        <w:spacing w:after="0" w:line="235" w:lineRule="auto"/>
        <w:rPr>
          <w:sz w:val="20"/>
          <w:szCs w:val="20"/>
          <w:color w:val="auto"/>
        </w:rPr>
      </w:pPr>
      <w:r>
        <w:rPr>
          <w:rFonts w:ascii="Arial" w:cs="Arial" w:eastAsia="Arial" w:hAnsi="Arial"/>
          <w:sz w:val="17"/>
          <w:szCs w:val="17"/>
          <w:color w:val="auto"/>
        </w:rPr>
        <w:t>Our operating segments are identified according to how our business activities are managed and evaluated by our chief operating decision maker, our CEO. During 2018, we expanded into Asia and launched our digital channels across Singapore, Hong Kong, and Malaysia. During the first quarter of 2019, we changed our organizational and internal reporting structure to support an accelerated growth strategy for the region. We opened an Asian headquarters in Singapore and realigned our organization into three distinct geographic regions: North America Europe, Middle East and Africa (“EMEA”), and Asia Pacific.</w:t>
      </w:r>
    </w:p>
    <w:p>
      <w:pPr>
        <w:spacing w:after="0" w:line="175" w:lineRule="exact"/>
        <w:rPr>
          <w:sz w:val="20"/>
          <w:szCs w:val="20"/>
          <w:color w:val="auto"/>
        </w:rPr>
      </w:pPr>
    </w:p>
    <w:p>
      <w:pPr>
        <w:jc w:val="both"/>
        <w:ind w:left="60" w:right="79"/>
        <w:spacing w:after="0" w:line="233" w:lineRule="auto"/>
        <w:rPr>
          <w:sz w:val="20"/>
          <w:szCs w:val="20"/>
          <w:color w:val="auto"/>
        </w:rPr>
      </w:pPr>
      <w:r>
        <w:rPr>
          <w:rFonts w:ascii="Arial" w:cs="Arial" w:eastAsia="Arial" w:hAnsi="Arial"/>
          <w:sz w:val="17"/>
          <w:szCs w:val="17"/>
          <w:color w:val="auto"/>
        </w:rPr>
        <w:t>Accordingly, in the first quarter of 2019 we re-evaluated our operating segments. We determined that we have three operating segments, North America, EMEA, and Asia Pacific. Our North America operating segment includes the results of the following banners operating in the U.S. and Canada: Foot Locker, Kids Foot Locker, Lady Foot Locker, Champs Sports, and Footaction, including each of their related e-commerce businesses, as well as our Eastbay business that includes internet, catalog, and team sales. Our EMEA operating segment includes the results of the following banners operating in Europe: Foot Locker, Runners Point, Sidestep, and Kids Foot Locker, including each of their related e-commerce businesses. Our Asia Pacific operating segment includes the results of Foot Locker and Kids Foot Locker operating in Australia, New Zealand, and Asia as well as the related e-commerce businesses operating in Australia and Asia. We further aggregated these operating segments into one reportable segment based upon their shared customer base and similar economic characteristics.</w:t>
      </w:r>
    </w:p>
    <w:p>
      <w:pPr>
        <w:spacing w:after="0" w:line="22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We evaluate performance based on several factors, of which the primary financial measure is the banner’s financial results referred to as division profit. Division profit reflects income before income taxes, other charges, corporate expense, non-operating income, and net interest income.</w:t>
      </w:r>
    </w:p>
    <w:p>
      <w:pPr>
        <w:spacing w:after="0" w:line="20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880" w:type="dxa"/>
            <w:vAlign w:val="bottom"/>
          </w:tcPr>
          <w:p>
            <w:pPr>
              <w:ind w:left="20"/>
              <w:spacing w:after="0"/>
              <w:rPr>
                <w:sz w:val="20"/>
                <w:szCs w:val="20"/>
                <w:color w:val="auto"/>
              </w:rPr>
            </w:pPr>
            <w:r>
              <w:rPr>
                <w:rFonts w:ascii="Arial" w:cs="Arial" w:eastAsia="Arial" w:hAnsi="Arial"/>
                <w:sz w:val="17"/>
                <w:szCs w:val="17"/>
                <w:color w:val="auto"/>
              </w:rPr>
              <w:t>The following table summarizes our results:</w:t>
            </w: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9"/>
        </w:trPr>
        <w:tc>
          <w:tcPr>
            <w:tcW w:w="3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2019</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2018</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2017</w:t>
            </w:r>
          </w:p>
        </w:tc>
      </w:tr>
      <w:tr>
        <w:trPr>
          <w:trHeight w:val="183"/>
        </w:trPr>
        <w:tc>
          <w:tcPr>
            <w:tcW w:w="3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Pr>
          <w:p>
            <w:pPr>
              <w:jc w:val="right"/>
              <w:ind w:right="215"/>
              <w:spacing w:after="0" w:line="183" w:lineRule="exact"/>
              <w:rPr>
                <w:sz w:val="20"/>
                <w:szCs w:val="20"/>
                <w:color w:val="auto"/>
              </w:rPr>
            </w:pPr>
            <w:r>
              <w:rPr>
                <w:rFonts w:ascii="Arial" w:cs="Arial" w:eastAsia="Arial" w:hAnsi="Arial"/>
                <w:sz w:val="17"/>
                <w:szCs w:val="17"/>
                <w:color w:val="auto"/>
                <w:w w:val="99"/>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9"/>
        </w:trPr>
        <w:tc>
          <w:tcPr>
            <w:tcW w:w="3880" w:type="dxa"/>
            <w:vAlign w:val="bottom"/>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Division profit </w:t>
            </w:r>
            <w:r>
              <w:rPr>
                <w:rFonts w:ascii="Arial" w:cs="Arial" w:eastAsia="Arial" w:hAnsi="Arial"/>
                <w:sz w:val="21"/>
                <w:szCs w:val="21"/>
                <w:color w:val="auto"/>
                <w:vertAlign w:val="superscript"/>
              </w:rPr>
              <w:t>(1)</w:t>
            </w:r>
          </w:p>
        </w:tc>
        <w:tc>
          <w:tcPr>
            <w:tcW w:w="8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738</w:t>
            </w:r>
          </w:p>
        </w:tc>
        <w:tc>
          <w:tcPr>
            <w:tcW w:w="4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789</w:t>
            </w:r>
          </w:p>
        </w:tc>
        <w:tc>
          <w:tcPr>
            <w:tcW w:w="3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810</w:t>
            </w:r>
          </w:p>
        </w:tc>
      </w:tr>
      <w:tr>
        <w:trPr>
          <w:trHeight w:val="189"/>
        </w:trPr>
        <w:tc>
          <w:tcPr>
            <w:tcW w:w="3880" w:type="dxa"/>
            <w:vAlign w:val="bottom"/>
          </w:tcPr>
          <w:p>
            <w:pPr>
              <w:ind w:left="20"/>
              <w:spacing w:after="0" w:line="189" w:lineRule="exact"/>
              <w:rPr>
                <w:sz w:val="20"/>
                <w:szCs w:val="20"/>
                <w:color w:val="auto"/>
              </w:rPr>
            </w:pPr>
            <w:r>
              <w:rPr>
                <w:rFonts w:ascii="Arial" w:cs="Arial" w:eastAsia="Arial" w:hAnsi="Arial"/>
                <w:sz w:val="15"/>
                <w:szCs w:val="15"/>
                <w:color w:val="auto"/>
              </w:rPr>
              <w:t xml:space="preserve">Less: Other charges </w:t>
            </w:r>
            <w:r>
              <w:rPr>
                <w:rFonts w:ascii="Arial" w:cs="Arial" w:eastAsia="Arial" w:hAnsi="Arial"/>
                <w:sz w:val="21"/>
                <w:szCs w:val="21"/>
                <w:color w:val="auto"/>
                <w:vertAlign w:val="superscript"/>
              </w:rPr>
              <w:t>(2)</w:t>
            </w:r>
          </w:p>
        </w:tc>
        <w:tc>
          <w:tcPr>
            <w:tcW w:w="880" w:type="dxa"/>
            <w:vAlign w:val="bottom"/>
          </w:tcPr>
          <w:p>
            <w:pPr>
              <w:spacing w:after="0"/>
              <w:rPr>
                <w:sz w:val="16"/>
                <w:szCs w:val="16"/>
                <w:color w:val="auto"/>
              </w:rPr>
            </w:pPr>
          </w:p>
        </w:tc>
        <w:tc>
          <w:tcPr>
            <w:tcW w:w="12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15</w:t>
            </w:r>
          </w:p>
        </w:tc>
        <w:tc>
          <w:tcPr>
            <w:tcW w:w="4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18</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191</w:t>
            </w:r>
          </w:p>
        </w:tc>
      </w:tr>
      <w:tr>
        <w:trPr>
          <w:trHeight w:val="189"/>
        </w:trPr>
        <w:tc>
          <w:tcPr>
            <w:tcW w:w="38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(3)</w:t>
            </w:r>
          </w:p>
        </w:tc>
        <w:tc>
          <w:tcPr>
            <w:tcW w:w="8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74</w:t>
            </w:r>
          </w:p>
        </w:tc>
        <w:tc>
          <w:tcPr>
            <w:tcW w:w="4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72</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48</w:t>
            </w:r>
          </w:p>
        </w:tc>
      </w:tr>
      <w:tr>
        <w:trPr>
          <w:trHeight w:val="183"/>
        </w:trPr>
        <w:tc>
          <w:tcPr>
            <w:tcW w:w="3880" w:type="dxa"/>
            <w:vAlign w:val="bottom"/>
          </w:tcPr>
          <w:p>
            <w:pPr>
              <w:ind w:left="20"/>
              <w:spacing w:after="0" w:line="183" w:lineRule="exact"/>
              <w:rPr>
                <w:sz w:val="20"/>
                <w:szCs w:val="20"/>
                <w:color w:val="auto"/>
              </w:rPr>
            </w:pPr>
            <w:r>
              <w:rPr>
                <w:rFonts w:ascii="Arial" w:cs="Arial" w:eastAsia="Arial" w:hAnsi="Arial"/>
                <w:sz w:val="17"/>
                <w:szCs w:val="17"/>
                <w:color w:val="auto"/>
              </w:rPr>
              <w:t>Income from operations</w:t>
            </w:r>
          </w:p>
        </w:tc>
        <w:tc>
          <w:tcPr>
            <w:tcW w:w="880" w:type="dxa"/>
            <w:vAlign w:val="bottom"/>
          </w:tcPr>
          <w:p>
            <w:pPr>
              <w:spacing w:after="0"/>
              <w:rPr>
                <w:sz w:val="15"/>
                <w:szCs w:val="15"/>
                <w:color w:val="auto"/>
              </w:rPr>
            </w:pPr>
          </w:p>
        </w:tc>
        <w:tc>
          <w:tcPr>
            <w:tcW w:w="120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649</w:t>
            </w:r>
          </w:p>
        </w:tc>
        <w:tc>
          <w:tcPr>
            <w:tcW w:w="40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7"/>
                <w:szCs w:val="17"/>
                <w:color w:val="auto"/>
              </w:rPr>
              <w:t>699</w:t>
            </w:r>
          </w:p>
        </w:tc>
        <w:tc>
          <w:tcPr>
            <w:tcW w:w="32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7"/>
                <w:szCs w:val="17"/>
                <w:color w:val="auto"/>
              </w:rPr>
              <w:t>571</w:t>
            </w:r>
          </w:p>
        </w:tc>
      </w:tr>
      <w:tr>
        <w:trPr>
          <w:trHeight w:val="189"/>
        </w:trPr>
        <w:tc>
          <w:tcPr>
            <w:tcW w:w="38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Interest income, net</w:t>
            </w:r>
          </w:p>
        </w:tc>
        <w:tc>
          <w:tcPr>
            <w:tcW w:w="8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11</w:t>
            </w: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38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Other income, net</w:t>
            </w: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12</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w:t>
            </w:r>
          </w:p>
        </w:tc>
      </w:tr>
      <w:tr>
        <w:trPr>
          <w:trHeight w:val="183"/>
        </w:trPr>
        <w:tc>
          <w:tcPr>
            <w:tcW w:w="38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Income before income taxes</w:t>
            </w:r>
          </w:p>
        </w:tc>
        <w:tc>
          <w:tcPr>
            <w:tcW w:w="88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672</w:t>
            </w:r>
          </w:p>
        </w:tc>
        <w:tc>
          <w:tcPr>
            <w:tcW w:w="4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713</w:t>
            </w:r>
          </w:p>
        </w:tc>
        <w:tc>
          <w:tcPr>
            <w:tcW w:w="3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578</w:t>
            </w: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right="79" w:hanging="330"/>
        <w:spacing w:after="0" w:line="258" w:lineRule="auto"/>
        <w:tabs>
          <w:tab w:leader="none" w:pos="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 xml:space="preserve">Included in the results for 2019, 2018, and 2017, are impairment charges of $50 million, $19 million, and $20 million, respectively. See Note 3, </w:t>
      </w:r>
      <w:r>
        <w:rPr>
          <w:rFonts w:ascii="Arial" w:cs="Arial" w:eastAsia="Arial" w:hAnsi="Arial"/>
          <w:sz w:val="13"/>
          <w:szCs w:val="13"/>
          <w:i w:val="1"/>
          <w:iCs w:val="1"/>
          <w:color w:val="auto"/>
        </w:rPr>
        <w:t xml:space="preserve">Impairment and Other Charges </w:t>
      </w:r>
      <w:r>
        <w:rPr>
          <w:rFonts w:ascii="Arial" w:cs="Arial" w:eastAsia="Arial" w:hAnsi="Arial"/>
          <w:sz w:val="13"/>
          <w:szCs w:val="13"/>
          <w:color w:val="auto"/>
        </w:rPr>
        <w:t>for additional information.</w:t>
      </w:r>
    </w:p>
    <w:p>
      <w:pPr>
        <w:spacing w:after="0" w:line="29" w:lineRule="exact"/>
        <w:rPr>
          <w:rFonts w:ascii="Arial" w:cs="Arial" w:eastAsia="Arial" w:hAnsi="Arial"/>
          <w:sz w:val="13"/>
          <w:szCs w:val="13"/>
          <w:color w:val="auto"/>
        </w:rPr>
      </w:pPr>
    </w:p>
    <w:p>
      <w:pPr>
        <w:jc w:val="both"/>
        <w:ind w:left="380" w:right="79" w:hanging="330"/>
        <w:spacing w:after="0" w:line="245" w:lineRule="auto"/>
        <w:tabs>
          <w:tab w:leader="none" w:pos="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 xml:space="preserve">Included in the 2019, 2018 and 2017 amounts are pre-tax charges of $4 million, $18 million and $178 million, respectively, relating to a pension litigation matter. Also included in 2019 are charges totaling $11 million related to impairments of our minority investments. See Note 3, </w:t>
      </w:r>
      <w:r>
        <w:rPr>
          <w:rFonts w:ascii="Arial" w:cs="Arial" w:eastAsia="Arial" w:hAnsi="Arial"/>
          <w:sz w:val="13"/>
          <w:szCs w:val="13"/>
          <w:i w:val="1"/>
          <w:iCs w:val="1"/>
          <w:color w:val="auto"/>
        </w:rPr>
        <w:t xml:space="preserve">Impairment and Other Charges </w:t>
      </w:r>
      <w:r>
        <w:rPr>
          <w:rFonts w:ascii="Arial" w:cs="Arial" w:eastAsia="Arial" w:hAnsi="Arial"/>
          <w:sz w:val="13"/>
          <w:szCs w:val="13"/>
          <w:color w:val="auto"/>
        </w:rPr>
        <w:t>for additional information. During 2017, we recorded a charge of $13 million pre-tax representing reorganization</w:t>
      </w:r>
      <w:r>
        <w:rPr>
          <w:rFonts w:ascii="Arial" w:cs="Arial" w:eastAsia="Arial" w:hAnsi="Arial"/>
          <w:sz w:val="13"/>
          <w:szCs w:val="13"/>
          <w:i w:val="1"/>
          <w:iCs w:val="1"/>
          <w:color w:val="auto"/>
        </w:rPr>
        <w:t xml:space="preserve"> </w:t>
      </w:r>
      <w:r>
        <w:rPr>
          <w:rFonts w:ascii="Arial" w:cs="Arial" w:eastAsia="Arial" w:hAnsi="Arial"/>
          <w:sz w:val="13"/>
          <w:szCs w:val="13"/>
          <w:color w:val="auto"/>
        </w:rPr>
        <w:t>costs related to the reduction and reorganization of division and corporate staff.</w:t>
      </w:r>
    </w:p>
    <w:p>
      <w:pPr>
        <w:spacing w:after="0" w:line="37" w:lineRule="exact"/>
        <w:rPr>
          <w:rFonts w:ascii="Arial" w:cs="Arial" w:eastAsia="Arial" w:hAnsi="Arial"/>
          <w:sz w:val="13"/>
          <w:szCs w:val="13"/>
          <w:color w:val="auto"/>
        </w:rPr>
      </w:pPr>
    </w:p>
    <w:p>
      <w:pPr>
        <w:jc w:val="both"/>
        <w:ind w:left="380" w:right="79" w:hanging="330"/>
        <w:spacing w:after="0" w:line="248" w:lineRule="auto"/>
        <w:tabs>
          <w:tab w:leader="none" w:pos="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Corporate expense for all years presented reflects the reallocation of expense between corporate and the operating divisions. Based upon annual internal studies of corporate expense, the allocation of such expenses to the operating divisions was increased by $32 million for 2019, $40 million for 2018, and $4 million for 2017, thereby reducing corporate expense.</w:t>
      </w:r>
    </w:p>
    <w:p>
      <w:pPr>
        <w:spacing w:after="0" w:line="19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Sales disaggregated based upon channel for the fiscal years ended February 1, 2020, February 2, 2019, and February 3, 2018 are presented in the following table.</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2018</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198"/>
        </w:trPr>
        <w:tc>
          <w:tcPr>
            <w:tcW w:w="30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Sales</w:t>
            </w:r>
          </w:p>
        </w:tc>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75"/>
              <w:spacing w:after="0"/>
              <w:rPr>
                <w:sz w:val="20"/>
                <w:szCs w:val="20"/>
                <w:color w:val="auto"/>
              </w:rPr>
            </w:pPr>
            <w:r>
              <w:rPr>
                <w:rFonts w:ascii="Arial" w:cs="Arial" w:eastAsia="Arial" w:hAnsi="Arial"/>
                <w:sz w:val="17"/>
                <w:szCs w:val="17"/>
                <w:color w:val="auto"/>
              </w:rPr>
              <w:t>in millions)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00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Stores</w:t>
            </w:r>
          </w:p>
        </w:tc>
        <w:tc>
          <w:tcPr>
            <w:tcW w:w="17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6,720</w:t>
            </w:r>
          </w:p>
        </w:tc>
        <w:tc>
          <w:tcPr>
            <w:tcW w:w="44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6,714</w:t>
            </w:r>
          </w:p>
        </w:tc>
        <w:tc>
          <w:tcPr>
            <w:tcW w:w="4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6,673</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Direct-to-customers</w:t>
            </w:r>
          </w:p>
        </w:tc>
        <w:tc>
          <w:tcPr>
            <w:tcW w:w="1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1,285</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1,225</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1,109</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sales</w:t>
            </w:r>
          </w:p>
        </w:tc>
        <w:tc>
          <w:tcPr>
            <w:tcW w:w="176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8,005</w:t>
            </w:r>
          </w:p>
        </w:tc>
        <w:tc>
          <w:tcPr>
            <w:tcW w:w="44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7,939</w:t>
            </w:r>
          </w:p>
        </w:tc>
        <w:tc>
          <w:tcPr>
            <w:tcW w:w="42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7,782</w:t>
            </w:r>
          </w:p>
        </w:tc>
        <w:tc>
          <w:tcPr>
            <w:tcW w:w="0" w:type="dxa"/>
            <w:vAlign w:val="bottom"/>
          </w:tcPr>
          <w:p>
            <w:pPr>
              <w:spacing w:after="0"/>
              <w:rPr>
                <w:sz w:val="1"/>
                <w:szCs w:val="1"/>
                <w:color w:val="auto"/>
              </w:rPr>
            </w:pP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Sales and long-lived asset information by geographic area as of and for the fiscal years ended February 1, 2020, February 2, 2019, and February 3, 2018 are presented in the following tables. Sales are attributed to the country in which the sales transaction is fulfilled. Long-lived assets reflect property and equipment and operating lease right-of-use assets.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2018</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198"/>
        </w:trPr>
        <w:tc>
          <w:tcPr>
            <w:tcW w:w="30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Sales by Geography</w:t>
            </w: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in millions)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0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United States</w:t>
            </w:r>
          </w:p>
        </w:tc>
        <w:tc>
          <w:tcPr>
            <w:tcW w:w="16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5,691</w:t>
            </w:r>
          </w:p>
        </w:tc>
        <w:tc>
          <w:tcPr>
            <w:tcW w:w="560" w:type="dxa"/>
            <w:vAlign w:val="bottom"/>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5,647</w:t>
            </w:r>
          </w:p>
        </w:tc>
        <w:tc>
          <w:tcPr>
            <w:tcW w:w="4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5,532</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International</w:t>
            </w:r>
          </w:p>
        </w:tc>
        <w:tc>
          <w:tcPr>
            <w:tcW w:w="1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2,314</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2,292</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2,250</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sales</w:t>
            </w:r>
          </w:p>
        </w:tc>
        <w:tc>
          <w:tcPr>
            <w:tcW w:w="168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8,005</w:t>
            </w:r>
          </w:p>
        </w:tc>
        <w:tc>
          <w:tcPr>
            <w:tcW w:w="560" w:type="dxa"/>
            <w:vAlign w:val="bottom"/>
            <w:tcBorders>
              <w:bottom w:val="single" w:sz="8" w:color="auto"/>
            </w:tcBorders>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7,939</w:t>
            </w:r>
          </w:p>
        </w:tc>
        <w:tc>
          <w:tcPr>
            <w:tcW w:w="42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7,782</w:t>
            </w: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Long-Lived Assets</w:t>
            </w:r>
          </w:p>
        </w:tc>
        <w:tc>
          <w:tcPr>
            <w:tcW w:w="16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line="189" w:lineRule="exact"/>
              <w:rPr>
                <w:sz w:val="20"/>
                <w:szCs w:val="20"/>
                <w:color w:val="auto"/>
              </w:rPr>
            </w:pPr>
            <w:r>
              <w:rPr>
                <w:rFonts w:ascii="Arial" w:cs="Arial" w:eastAsia="Arial" w:hAnsi="Arial"/>
                <w:sz w:val="17"/>
                <w:szCs w:val="17"/>
                <w:color w:val="auto"/>
              </w:rPr>
              <w:t>United States</w:t>
            </w:r>
          </w:p>
        </w:tc>
        <w:tc>
          <w:tcPr>
            <w:tcW w:w="16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2,479</w:t>
            </w:r>
          </w:p>
        </w:tc>
        <w:tc>
          <w:tcPr>
            <w:tcW w:w="560" w:type="dxa"/>
            <w:vAlign w:val="bottom"/>
          </w:tcPr>
          <w:p>
            <w:pPr>
              <w:jc w:val="right"/>
              <w:ind w:right="25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602</w:t>
            </w:r>
          </w:p>
        </w:tc>
        <w:tc>
          <w:tcPr>
            <w:tcW w:w="4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607</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International</w:t>
            </w:r>
          </w:p>
        </w:tc>
        <w:tc>
          <w:tcPr>
            <w:tcW w:w="16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1,244</w:t>
            </w:r>
          </w:p>
        </w:tc>
        <w:tc>
          <w:tcPr>
            <w:tcW w:w="5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234</w:t>
            </w: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long-lived assets</w:t>
            </w:r>
          </w:p>
        </w:tc>
        <w:tc>
          <w:tcPr>
            <w:tcW w:w="168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3,723</w:t>
            </w:r>
          </w:p>
        </w:tc>
        <w:tc>
          <w:tcPr>
            <w:tcW w:w="560" w:type="dxa"/>
            <w:vAlign w:val="bottom"/>
            <w:tcBorders>
              <w:bottom w:val="single" w:sz="8" w:color="auto"/>
            </w:tcBorders>
          </w:tcPr>
          <w:p>
            <w:pPr>
              <w:jc w:val="right"/>
              <w:ind w:right="25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836</w:t>
            </w:r>
          </w:p>
        </w:tc>
        <w:tc>
          <w:tcPr>
            <w:tcW w:w="42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866</w:t>
            </w: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For the year ended February 1, 2020, the countries that comprised the majority of the sales and long-lived assets for the international category were Canada, Italy, France, Germany, and England. No other individual country included in the international category was significant.</w:t>
      </w:r>
    </w:p>
    <w:p>
      <w:pPr>
        <w:spacing w:after="0" w:line="16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600" w:type="dxa"/>
            <w:vAlign w:val="bottom"/>
          </w:tcPr>
          <w:p>
            <w:pPr>
              <w:spacing w:after="0"/>
              <w:rPr>
                <w:sz w:val="16"/>
                <w:szCs w:val="16"/>
                <w:color w:val="auto"/>
              </w:rPr>
            </w:pPr>
          </w:p>
        </w:tc>
        <w:tc>
          <w:tcPr>
            <w:tcW w:w="2420" w:type="dxa"/>
            <w:vAlign w:val="bottom"/>
            <w:gridSpan w:val="3"/>
          </w:tcPr>
          <w:p>
            <w:pPr>
              <w:jc w:val="right"/>
              <w:ind w:right="255"/>
              <w:spacing w:after="0"/>
              <w:rPr>
                <w:sz w:val="20"/>
                <w:szCs w:val="20"/>
                <w:color w:val="auto"/>
              </w:rPr>
            </w:pPr>
            <w:r>
              <w:rPr>
                <w:rFonts w:ascii="Arial" w:cs="Arial" w:eastAsia="Arial" w:hAnsi="Arial"/>
                <w:sz w:val="17"/>
                <w:szCs w:val="17"/>
                <w:b w:val="1"/>
                <w:bCs w:val="1"/>
                <w:color w:val="auto"/>
              </w:rPr>
              <w:t>Depreciation and</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5"/>
        </w:trPr>
        <w:tc>
          <w:tcPr>
            <w:tcW w:w="16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7"/>
                <w:szCs w:val="17"/>
                <w:b w:val="1"/>
                <w:bCs w:val="1"/>
                <w:color w:val="auto"/>
              </w:rPr>
              <w:t>Amortization</w:t>
            </w: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jc w:val="right"/>
              <w:ind w:right="155"/>
              <w:spacing w:after="0" w:line="216" w:lineRule="exact"/>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24"/>
                <w:szCs w:val="24"/>
                <w:color w:val="auto"/>
                <w:vertAlign w:val="superscript"/>
              </w:rPr>
              <w:t>(1)</w:t>
            </w:r>
          </w:p>
        </w:tc>
        <w:tc>
          <w:tcPr>
            <w:tcW w:w="7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 Assets</w:t>
            </w:r>
          </w:p>
        </w:tc>
        <w:tc>
          <w:tcPr>
            <w:tcW w:w="640" w:type="dxa"/>
            <w:vAlign w:val="bottom"/>
            <w:tcBorders>
              <w:bottom w:val="single" w:sz="8" w:color="auto"/>
            </w:tcBorders>
          </w:tcPr>
          <w:p>
            <w:pPr>
              <w:spacing w:after="0"/>
              <w:rPr>
                <w:sz w:val="18"/>
                <w:szCs w:val="18"/>
                <w:color w:val="auto"/>
              </w:rPr>
            </w:pPr>
          </w:p>
        </w:tc>
      </w:tr>
      <w:tr>
        <w:trPr>
          <w:trHeight w:val="183"/>
        </w:trPr>
        <w:tc>
          <w:tcPr>
            <w:tcW w:w="1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2019</w:t>
            </w:r>
          </w:p>
        </w:tc>
        <w:tc>
          <w:tcPr>
            <w:tcW w:w="7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2018</w:t>
            </w:r>
          </w:p>
        </w:tc>
        <w:tc>
          <w:tcPr>
            <w:tcW w:w="7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2017</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2019</w:t>
            </w: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w w:val="95"/>
              </w:rPr>
              <w:t>2018</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2017</w:t>
            </w:r>
          </w:p>
        </w:tc>
        <w:tc>
          <w:tcPr>
            <w:tcW w:w="76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2019</w:t>
            </w:r>
          </w:p>
        </w:tc>
        <w:tc>
          <w:tcPr>
            <w:tcW w:w="106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7"/>
                <w:szCs w:val="17"/>
                <w:color w:val="auto"/>
              </w:rPr>
              <w:t>2018</w:t>
            </w:r>
          </w:p>
        </w:tc>
        <w:tc>
          <w:tcPr>
            <w:tcW w:w="6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2017</w:t>
            </w:r>
          </w:p>
        </w:tc>
      </w:tr>
      <w:tr>
        <w:trPr>
          <w:trHeight w:val="183"/>
        </w:trPr>
        <w:tc>
          <w:tcPr>
            <w:tcW w:w="1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20" w:type="dxa"/>
            <w:vAlign w:val="bottom"/>
            <w:gridSpan w:val="4"/>
          </w:tcPr>
          <w:p>
            <w:pPr>
              <w:ind w:left="140"/>
              <w:spacing w:after="0" w:line="183" w:lineRule="exact"/>
              <w:rPr>
                <w:sz w:val="20"/>
                <w:szCs w:val="20"/>
                <w:color w:val="auto"/>
              </w:rPr>
            </w:pPr>
            <w:r>
              <w:rPr>
                <w:rFonts w:ascii="Arial" w:cs="Arial" w:eastAsia="Arial" w:hAnsi="Arial"/>
                <w:sz w:val="17"/>
                <w:szCs w:val="17"/>
                <w:color w:val="auto"/>
              </w:rPr>
              <w:t>($ in millions)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9"/>
        </w:trPr>
        <w:tc>
          <w:tcPr>
            <w:tcW w:w="16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Division</w:t>
            </w:r>
          </w:p>
        </w:tc>
        <w:tc>
          <w:tcPr>
            <w:tcW w:w="10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$ 160</w:t>
            </w:r>
          </w:p>
        </w:tc>
        <w:tc>
          <w:tcPr>
            <w:tcW w:w="7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$ 160</w:t>
            </w:r>
          </w:p>
        </w:tc>
        <w:tc>
          <w:tcPr>
            <w:tcW w:w="7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$ 157</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105</w:t>
            </w:r>
          </w:p>
        </w:tc>
        <w:tc>
          <w:tcPr>
            <w:tcW w:w="24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112</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205</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$ 5,523</w:t>
            </w:r>
          </w:p>
        </w:tc>
        <w:tc>
          <w:tcPr>
            <w:tcW w:w="10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$ 2,900</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$ 3,132</w:t>
            </w:r>
          </w:p>
        </w:tc>
      </w:tr>
      <w:tr>
        <w:trPr>
          <w:trHeight w:val="189"/>
        </w:trPr>
        <w:tc>
          <w:tcPr>
            <w:tcW w:w="16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Corporate</w:t>
            </w:r>
          </w:p>
        </w:tc>
        <w:tc>
          <w:tcPr>
            <w:tcW w:w="10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19</w:t>
            </w:r>
          </w:p>
        </w:tc>
        <w:tc>
          <w:tcPr>
            <w:tcW w:w="7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18</w:t>
            </w:r>
          </w:p>
        </w:tc>
        <w:tc>
          <w:tcPr>
            <w:tcW w:w="7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16</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82</w:t>
            </w: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75</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69</w:t>
            </w: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1,066</w:t>
            </w:r>
          </w:p>
        </w:tc>
        <w:tc>
          <w:tcPr>
            <w:tcW w:w="106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color w:val="auto"/>
              </w:rPr>
              <w:t>920</w:t>
            </w: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829</w:t>
            </w:r>
          </w:p>
        </w:tc>
      </w:tr>
      <w:tr>
        <w:trPr>
          <w:trHeight w:val="183"/>
        </w:trPr>
        <w:tc>
          <w:tcPr>
            <w:tcW w:w="16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Company</w:t>
            </w:r>
          </w:p>
        </w:tc>
        <w:tc>
          <w:tcPr>
            <w:tcW w:w="10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$ 179</w:t>
            </w:r>
          </w:p>
        </w:tc>
        <w:tc>
          <w:tcPr>
            <w:tcW w:w="7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$ 178</w:t>
            </w:r>
          </w:p>
        </w:tc>
        <w:tc>
          <w:tcPr>
            <w:tcW w:w="7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$ 173</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187</w:t>
            </w:r>
          </w:p>
        </w:tc>
        <w:tc>
          <w:tcPr>
            <w:tcW w:w="240" w:type="dxa"/>
            <w:vAlign w:val="bottom"/>
            <w:tcBorders>
              <w:bottom w:val="single" w:sz="8" w:color="auto"/>
            </w:tcBorders>
            <w:shd w:val="clear" w:color="auto" w:fill="CCEEFF"/>
          </w:tcPr>
          <w:p>
            <w:pPr>
              <w:ind w:left="140"/>
              <w:spacing w:after="0" w:line="183" w:lineRule="exact"/>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187</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274</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$ 6,589</w:t>
            </w:r>
          </w:p>
        </w:tc>
        <w:tc>
          <w:tcPr>
            <w:tcW w:w="106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$ 3,820</w:t>
            </w:r>
          </w:p>
        </w:tc>
        <w:tc>
          <w:tcPr>
            <w:tcW w:w="6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$ 3,961</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Arial" w:cs="Arial" w:eastAsia="Arial" w:hAnsi="Arial"/>
                <w:sz w:val="13"/>
                <w:szCs w:val="13"/>
                <w:color w:val="auto"/>
              </w:rPr>
              <w:t>(1) Represents cash capital expenditures for all years presented.</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4100" w:type="dxa"/>
            <w:vAlign w:val="bottom"/>
          </w:tcPr>
          <w:p>
            <w:pPr>
              <w:spacing w:after="0"/>
              <w:rPr>
                <w:sz w:val="20"/>
                <w:szCs w:val="20"/>
                <w:color w:val="auto"/>
              </w:rPr>
            </w:pPr>
            <w:r>
              <w:rPr>
                <w:rFonts w:ascii="Arial" w:cs="Arial" w:eastAsia="Arial" w:hAnsi="Arial"/>
                <w:sz w:val="17"/>
                <w:szCs w:val="17"/>
                <w:b w:val="1"/>
                <w:bCs w:val="1"/>
                <w:color w:val="auto"/>
              </w:rPr>
              <w:t>3. Impairment and Other Charges</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4"/>
        </w:trPr>
        <w:tc>
          <w:tcPr>
            <w:tcW w:w="4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2018</w:t>
            </w: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2017</w:t>
            </w:r>
          </w:p>
        </w:tc>
      </w:tr>
      <w:tr>
        <w:trPr>
          <w:trHeight w:val="183"/>
        </w:trPr>
        <w:tc>
          <w:tcPr>
            <w:tcW w:w="4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Pr>
          <w:p>
            <w:pPr>
              <w:jc w:val="right"/>
              <w:ind w:right="175"/>
              <w:spacing w:after="0" w:line="183" w:lineRule="exact"/>
              <w:rPr>
                <w:sz w:val="20"/>
                <w:szCs w:val="20"/>
                <w:color w:val="auto"/>
              </w:rPr>
            </w:pPr>
            <w:r>
              <w:rPr>
                <w:rFonts w:ascii="Arial" w:cs="Arial" w:eastAsia="Arial" w:hAnsi="Arial"/>
                <w:sz w:val="17"/>
                <w:szCs w:val="17"/>
                <w:color w:val="auto"/>
              </w:rPr>
              <w:t>in millions)</w:t>
            </w: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Impairment of long-lived assets</w:t>
            </w:r>
          </w:p>
        </w:tc>
        <w:tc>
          <w:tcPr>
            <w:tcW w:w="54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37</w:t>
            </w:r>
          </w:p>
        </w:tc>
        <w:tc>
          <w:tcPr>
            <w:tcW w:w="5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w:t>
            </w:r>
          </w:p>
        </w:tc>
        <w:tc>
          <w:tcPr>
            <w:tcW w:w="44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r>
      <w:tr>
        <w:trPr>
          <w:trHeight w:val="189"/>
        </w:trPr>
        <w:tc>
          <w:tcPr>
            <w:tcW w:w="4100" w:type="dxa"/>
            <w:vAlign w:val="bottom"/>
          </w:tcPr>
          <w:p>
            <w:pPr>
              <w:spacing w:after="0" w:line="189" w:lineRule="exact"/>
              <w:rPr>
                <w:sz w:val="20"/>
                <w:szCs w:val="20"/>
                <w:color w:val="auto"/>
              </w:rPr>
            </w:pPr>
            <w:r>
              <w:rPr>
                <w:rFonts w:ascii="Arial" w:cs="Arial" w:eastAsia="Arial" w:hAnsi="Arial"/>
                <w:sz w:val="17"/>
                <w:szCs w:val="17"/>
                <w:color w:val="auto"/>
              </w:rPr>
              <w:t>Lease termination costs</w:t>
            </w:r>
          </w:p>
        </w:tc>
        <w:tc>
          <w:tcPr>
            <w:tcW w:w="540" w:type="dxa"/>
            <w:vAlign w:val="bottom"/>
          </w:tcPr>
          <w:p>
            <w:pPr>
              <w:spacing w:after="0"/>
              <w:rPr>
                <w:sz w:val="16"/>
                <w:szCs w:val="16"/>
                <w:color w:val="auto"/>
              </w:rPr>
            </w:pP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13</w:t>
            </w:r>
          </w:p>
        </w:tc>
        <w:tc>
          <w:tcPr>
            <w:tcW w:w="500" w:type="dxa"/>
            <w:vAlign w:val="bottom"/>
          </w:tcPr>
          <w:p>
            <w:pPr>
              <w:spacing w:after="0"/>
              <w:rPr>
                <w:sz w:val="16"/>
                <w:szCs w:val="16"/>
                <w:color w:val="auto"/>
              </w:rPr>
            </w:pP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Impairment of investments</w:t>
            </w: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11</w:t>
            </w:r>
          </w:p>
        </w:tc>
        <w:tc>
          <w:tcPr>
            <w:tcW w:w="5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4100" w:type="dxa"/>
            <w:vAlign w:val="bottom"/>
          </w:tcPr>
          <w:p>
            <w:pPr>
              <w:spacing w:after="0" w:line="189" w:lineRule="exact"/>
              <w:rPr>
                <w:sz w:val="20"/>
                <w:szCs w:val="20"/>
                <w:color w:val="auto"/>
              </w:rPr>
            </w:pPr>
            <w:r>
              <w:rPr>
                <w:rFonts w:ascii="Arial" w:cs="Arial" w:eastAsia="Arial" w:hAnsi="Arial"/>
                <w:sz w:val="17"/>
                <w:szCs w:val="17"/>
                <w:color w:val="auto"/>
              </w:rPr>
              <w:t>Pension litigation related charges</w:t>
            </w:r>
          </w:p>
        </w:tc>
        <w:tc>
          <w:tcPr>
            <w:tcW w:w="540" w:type="dxa"/>
            <w:vAlign w:val="bottom"/>
          </w:tcPr>
          <w:p>
            <w:pPr>
              <w:spacing w:after="0"/>
              <w:rPr>
                <w:sz w:val="16"/>
                <w:szCs w:val="16"/>
                <w:color w:val="auto"/>
              </w:rPr>
            </w:pP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500" w:type="dxa"/>
            <w:vAlign w:val="bottom"/>
          </w:tcPr>
          <w:p>
            <w:pPr>
              <w:spacing w:after="0"/>
              <w:rPr>
                <w:sz w:val="16"/>
                <w:szCs w:val="16"/>
                <w:color w:val="auto"/>
              </w:rPr>
            </w:pP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18</w:t>
            </w:r>
          </w:p>
        </w:tc>
        <w:tc>
          <w:tcPr>
            <w:tcW w:w="4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178</w:t>
            </w:r>
          </w:p>
        </w:tc>
      </w:tr>
      <w:tr>
        <w:trPr>
          <w:trHeight w:val="189"/>
        </w:trPr>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intangible asset impairments</w:t>
            </w: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15</w:t>
            </w: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41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Reorganization costs</w:t>
            </w: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w:t>
            </w:r>
          </w:p>
        </w:tc>
      </w:tr>
      <w:tr>
        <w:trPr>
          <w:trHeight w:val="183"/>
        </w:trPr>
        <w:tc>
          <w:tcPr>
            <w:tcW w:w="4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impairment and other charges</w:t>
            </w:r>
          </w:p>
        </w:tc>
        <w:tc>
          <w:tcPr>
            <w:tcW w:w="5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65</w:t>
            </w:r>
          </w:p>
        </w:tc>
        <w:tc>
          <w:tcPr>
            <w:tcW w:w="50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37</w:t>
            </w:r>
          </w:p>
        </w:tc>
        <w:tc>
          <w:tcPr>
            <w:tcW w:w="4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211</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7"/>
          <w:szCs w:val="17"/>
          <w:color w:val="auto"/>
        </w:rPr>
        <w:t xml:space="preserve">The Company and the Company’s U.S. pension plan were involved in litigation related to the conversion of the plan to a cash balance plan. The court entered its final judgment in 2018, which required the plan be reformed as directed by the court order. </w:t>
      </w:r>
      <w:r>
        <w:rPr>
          <w:rFonts w:ascii="Arial" w:cs="Arial" w:eastAsia="Arial" w:hAnsi="Arial"/>
          <w:sz w:val="16"/>
          <w:szCs w:val="16"/>
          <w:color w:val="auto"/>
        </w:rPr>
        <w:t>W</w:t>
      </w:r>
      <w:r>
        <w:rPr>
          <w:rFonts w:ascii="Arial" w:cs="Arial" w:eastAsia="Arial" w:hAnsi="Arial"/>
          <w:sz w:val="17"/>
          <w:szCs w:val="17"/>
          <w:color w:val="auto"/>
        </w:rPr>
        <w:t>e recorded charges in 2019, 2018, and 2017 related to the pension matter and related plan reformation totaling $4 million, $18 million, and $178 million, respectively. These charges recorded represented the cost of the reformation and related administrative expenses.</w:t>
      </w:r>
    </w:p>
    <w:p>
      <w:pPr>
        <w:spacing w:after="0" w:line="22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During 2019, due to the underperformance of our Footaction stores we determined that a triggering event had occurred and, therefore, an impairment review was conducted. Additionally, we evaluated certain other underperforming stores and a vacant store that had been previously subleased. We evaluated the long-lived assets, including the right-of-use assets, of these stores and recorded non-cash charges of $37 million to write down right-of-use assets, store fixtures and leasehold improvements. During the year, we also recorded $13 million of lease termination costs related to the closure of our SIX:02 locations.</w:t>
      </w:r>
    </w:p>
    <w:p>
      <w:pPr>
        <w:spacing w:after="0" w:line="17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recorded non-cash charges of $11 million related to the write-down of two minority investments in 2019. Super Heroic, a children’s athletics start up, filed for bankruptcy and, accordingly, we have fully written off the investment. Rockets of Awesome, a children’s clothing brand, has had deterioration in their future outlook and has initiated efforts to preserve cash by reducing expenses. Due to the underperformance of this investee, we have partially written down our investment to fair value, determined by utilizing revenue multiples of similar companies.</w:t>
      </w:r>
    </w:p>
    <w:p>
      <w:pPr>
        <w:spacing w:after="0" w:line="17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During 2018 and 2017, due to the underperformance of our SIX:02 stores, Runners Point, and Sidestep stores, we recorded non-cash impairment charges of $4 million and $20 million, respectively, to write down store fixtures and leasehold improvements. In 2018, we also performed an impairment review of other intangible assets for Runners Point and Sidestep and recorded a charge of $15 million to write down the value of the trademarks/trade names associated with Runners Point.</w:t>
      </w:r>
    </w:p>
    <w:p>
      <w:pPr>
        <w:spacing w:after="0" w:line="16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During 2017, we recorded a charge of $13 million as a result of reorganizing our organizational structure by adjusting certain responsibilities between our various businesses and certain corporate staff reductions taken to improve corporate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4. Other Income, net</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income, net includes non-operating items, such as:</w:t>
      </w:r>
    </w:p>
    <w:p>
      <w:pPr>
        <w:spacing w:after="0" w:line="109" w:lineRule="exact"/>
        <w:rPr>
          <w:sz w:val="20"/>
          <w:szCs w:val="20"/>
          <w:color w:val="auto"/>
        </w:rPr>
      </w:pPr>
    </w:p>
    <w:p>
      <w:pPr>
        <w:ind w:left="1100" w:hanging="334"/>
        <w:spacing w:after="0"/>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gains from insurance recoveries,</w:t>
      </w:r>
    </w:p>
    <w:p>
      <w:pPr>
        <w:ind w:left="1100" w:hanging="334"/>
        <w:spacing w:after="0" w:line="232" w:lineRule="auto"/>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lease termination gains related to the sales of leasehold interests,</w:t>
      </w:r>
    </w:p>
    <w:p>
      <w:pPr>
        <w:ind w:left="1100" w:hanging="334"/>
        <w:spacing w:after="0" w:line="232" w:lineRule="auto"/>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franchise royalty income,</w:t>
      </w:r>
    </w:p>
    <w:p>
      <w:pPr>
        <w:ind w:left="1100" w:right="79" w:hanging="334"/>
        <w:spacing w:after="0" w:line="232" w:lineRule="auto"/>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fair value, premiums paid, and realized gains associated with foreign currency option contracts,</w:t>
      </w:r>
    </w:p>
    <w:p>
      <w:pPr>
        <w:ind w:left="1100" w:right="79" w:hanging="334"/>
        <w:spacing w:after="0" w:line="232" w:lineRule="auto"/>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the market value of our available-for-sale security in conjunction with the adoption of ASU 2016-01 effective with the beginning of 2018,</w:t>
      </w:r>
    </w:p>
    <w:p>
      <w:pPr>
        <w:ind w:left="1100" w:hanging="334"/>
        <w:spacing w:after="0" w:line="232" w:lineRule="auto"/>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share of earnings or losses related to our equity method investment, and</w:t>
      </w:r>
    </w:p>
    <w:p>
      <w:pPr>
        <w:ind w:left="1100" w:right="79" w:hanging="334"/>
        <w:spacing w:after="0" w:line="243" w:lineRule="auto"/>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net benefit expense related to our pension and postretirement programs excluding the service cost component as required by the adoption of ASU 2017-07 as of the beginning of 2018.</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income, net was $12 million in 2019 and $5 million in both 2018 and 2017.</w:t>
      </w:r>
    </w:p>
    <w:p>
      <w:pPr>
        <w:spacing w:after="0" w:line="12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For 2019, Other income, net included $8 million of royalty income, a $4 million gain associated with the acquisition of a Canadian distribution center lease and related assets from the partial exchange of a note that had previously been written down to zero, a $2 million gain related to the sale of a building, a $1 million gain on our available-for-sale security, partially offset by $2 million of net benefit expense relating to our pension and post retirement programs, and a $1 million loss related to an equity method investment.</w:t>
      </w:r>
    </w:p>
    <w:p>
      <w:pPr>
        <w:spacing w:after="0" w:line="10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For 2018, Other income, net included $6 million of royalty income, $1 million of lease termination gains, a $1 million loss on our available-for-sale security, and $1 million of net benefit expense relating to our pension and post retirement programs. Included in 2017 was $4 million of royalty income and $1 million of lease termination gains.</w:t>
      </w:r>
    </w:p>
    <w:p>
      <w:pPr>
        <w:spacing w:after="0" w:line="87"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4040" w:type="dxa"/>
            <w:vAlign w:val="bottom"/>
          </w:tcPr>
          <w:p>
            <w:pPr>
              <w:spacing w:after="0"/>
              <w:rPr>
                <w:sz w:val="20"/>
                <w:szCs w:val="20"/>
                <w:color w:val="auto"/>
              </w:rPr>
            </w:pPr>
            <w:r>
              <w:rPr>
                <w:rFonts w:ascii="Arial" w:cs="Arial" w:eastAsia="Arial" w:hAnsi="Arial"/>
                <w:sz w:val="17"/>
                <w:szCs w:val="17"/>
                <w:b w:val="1"/>
                <w:bCs w:val="1"/>
                <w:color w:val="auto"/>
              </w:rPr>
              <w:t>5. Merchandise Inventories</w:t>
            </w:r>
          </w:p>
        </w:tc>
        <w:tc>
          <w:tcPr>
            <w:tcW w:w="1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02"/>
        </w:trPr>
        <w:tc>
          <w:tcPr>
            <w:tcW w:w="4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40" w:type="dxa"/>
            <w:vAlign w:val="bottom"/>
          </w:tcPr>
          <w:p>
            <w:pPr>
              <w:jc w:val="right"/>
              <w:ind w:right="255"/>
              <w:spacing w:after="0"/>
              <w:rPr>
                <w:sz w:val="20"/>
                <w:szCs w:val="20"/>
                <w:color w:val="auto"/>
              </w:rPr>
            </w:pPr>
            <w:r>
              <w:rPr>
                <w:rFonts w:ascii="Arial" w:cs="Arial" w:eastAsia="Arial" w:hAnsi="Arial"/>
                <w:sz w:val="17"/>
                <w:szCs w:val="17"/>
                <w:b w:val="1"/>
                <w:bCs w:val="1"/>
                <w:color w:val="auto"/>
              </w:rPr>
              <w:t>February 1,</w:t>
            </w:r>
          </w:p>
        </w:tc>
        <w:tc>
          <w:tcPr>
            <w:tcW w:w="320" w:type="dxa"/>
            <w:vAlign w:val="bottom"/>
          </w:tcPr>
          <w:p>
            <w:pPr>
              <w:spacing w:after="0"/>
              <w:rPr>
                <w:sz w:val="24"/>
                <w:szCs w:val="24"/>
                <w:color w:val="auto"/>
              </w:rPr>
            </w:pPr>
          </w:p>
        </w:tc>
        <w:tc>
          <w:tcPr>
            <w:tcW w:w="1260" w:type="dxa"/>
            <w:vAlign w:val="bottom"/>
          </w:tcPr>
          <w:p>
            <w:pPr>
              <w:jc w:val="right"/>
              <w:ind w:right="215"/>
              <w:spacing w:after="0"/>
              <w:rPr>
                <w:sz w:val="20"/>
                <w:szCs w:val="20"/>
                <w:color w:val="auto"/>
              </w:rPr>
            </w:pPr>
            <w:r>
              <w:rPr>
                <w:rFonts w:ascii="Arial" w:cs="Arial" w:eastAsia="Arial" w:hAnsi="Arial"/>
                <w:sz w:val="17"/>
                <w:szCs w:val="17"/>
                <w:color w:val="auto"/>
              </w:rPr>
              <w:t>February 2,</w:t>
            </w:r>
          </w:p>
        </w:tc>
      </w:tr>
      <w:tr>
        <w:trPr>
          <w:trHeight w:val="215"/>
        </w:trPr>
        <w:tc>
          <w:tcPr>
            <w:tcW w:w="40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2019</w:t>
            </w:r>
          </w:p>
        </w:tc>
      </w:tr>
      <w:tr>
        <w:trPr>
          <w:trHeight w:val="183"/>
        </w:trPr>
        <w:tc>
          <w:tcPr>
            <w:tcW w:w="40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920" w:type="dxa"/>
            <w:vAlign w:val="bottom"/>
            <w:gridSpan w:val="3"/>
          </w:tcPr>
          <w:p>
            <w:pPr>
              <w:jc w:val="right"/>
              <w:ind w:right="95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4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LIFO inventories</w:t>
            </w:r>
          </w:p>
        </w:tc>
        <w:tc>
          <w:tcPr>
            <w:tcW w:w="1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810</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838</w:t>
            </w:r>
          </w:p>
        </w:tc>
      </w:tr>
      <w:tr>
        <w:trPr>
          <w:trHeight w:val="189"/>
        </w:trPr>
        <w:tc>
          <w:tcPr>
            <w:tcW w:w="40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FIFO inventories</w:t>
            </w:r>
          </w:p>
        </w:tc>
        <w:tc>
          <w:tcPr>
            <w:tcW w:w="1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398</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431</w:t>
            </w:r>
          </w:p>
        </w:tc>
      </w:tr>
      <w:tr>
        <w:trPr>
          <w:trHeight w:val="183"/>
        </w:trPr>
        <w:tc>
          <w:tcPr>
            <w:tcW w:w="40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merchandise inventories</w:t>
            </w:r>
          </w:p>
        </w:tc>
        <w:tc>
          <w:tcPr>
            <w:tcW w:w="1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1,208</w:t>
            </w:r>
          </w:p>
        </w:tc>
        <w:tc>
          <w:tcPr>
            <w:tcW w:w="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1,269</w:t>
            </w: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The value of our LIFO inventories, as calculated on a LIFO basis, approximates their value as calculated on a FIFO basis.</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3860" w:type="dxa"/>
            <w:vAlign w:val="bottom"/>
          </w:tcPr>
          <w:p>
            <w:pPr>
              <w:spacing w:after="0"/>
              <w:rPr>
                <w:sz w:val="20"/>
                <w:szCs w:val="20"/>
                <w:color w:val="auto"/>
              </w:rPr>
            </w:pPr>
            <w:r>
              <w:rPr>
                <w:rFonts w:ascii="Arial" w:cs="Arial" w:eastAsia="Arial" w:hAnsi="Arial"/>
                <w:sz w:val="17"/>
                <w:szCs w:val="17"/>
                <w:b w:val="1"/>
                <w:bCs w:val="1"/>
                <w:color w:val="auto"/>
              </w:rPr>
              <w:t>6. Other Current Assets</w:t>
            </w:r>
          </w:p>
        </w:tc>
        <w:tc>
          <w:tcPr>
            <w:tcW w:w="2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88"/>
        </w:trPr>
        <w:tc>
          <w:tcPr>
            <w:tcW w:w="38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40" w:type="dxa"/>
            <w:vAlign w:val="bottom"/>
          </w:tcPr>
          <w:p>
            <w:pPr>
              <w:jc w:val="right"/>
              <w:ind w:right="255"/>
              <w:spacing w:after="0"/>
              <w:rPr>
                <w:sz w:val="20"/>
                <w:szCs w:val="20"/>
                <w:color w:val="auto"/>
              </w:rPr>
            </w:pPr>
            <w:r>
              <w:rPr>
                <w:rFonts w:ascii="Arial" w:cs="Arial" w:eastAsia="Arial" w:hAnsi="Arial"/>
                <w:sz w:val="17"/>
                <w:szCs w:val="17"/>
                <w:b w:val="1"/>
                <w:bCs w:val="1"/>
                <w:color w:val="auto"/>
              </w:rPr>
              <w:t>February 1,</w:t>
            </w:r>
          </w:p>
        </w:tc>
        <w:tc>
          <w:tcPr>
            <w:tcW w:w="320" w:type="dxa"/>
            <w:vAlign w:val="bottom"/>
          </w:tcPr>
          <w:p>
            <w:pPr>
              <w:spacing w:after="0"/>
              <w:rPr>
                <w:sz w:val="24"/>
                <w:szCs w:val="24"/>
                <w:color w:val="auto"/>
              </w:rPr>
            </w:pPr>
          </w:p>
        </w:tc>
        <w:tc>
          <w:tcPr>
            <w:tcW w:w="1260" w:type="dxa"/>
            <w:vAlign w:val="bottom"/>
          </w:tcPr>
          <w:p>
            <w:pPr>
              <w:jc w:val="right"/>
              <w:ind w:right="215"/>
              <w:spacing w:after="0"/>
              <w:rPr>
                <w:sz w:val="20"/>
                <w:szCs w:val="20"/>
                <w:color w:val="auto"/>
              </w:rPr>
            </w:pPr>
            <w:r>
              <w:rPr>
                <w:rFonts w:ascii="Arial" w:cs="Arial" w:eastAsia="Arial" w:hAnsi="Arial"/>
                <w:sz w:val="17"/>
                <w:szCs w:val="17"/>
                <w:color w:val="auto"/>
              </w:rPr>
              <w:t>February 2,</w:t>
            </w:r>
          </w:p>
        </w:tc>
      </w:tr>
      <w:tr>
        <w:trPr>
          <w:trHeight w:val="215"/>
        </w:trPr>
        <w:tc>
          <w:tcPr>
            <w:tcW w:w="38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2019</w:t>
            </w:r>
          </w:p>
        </w:tc>
      </w:tr>
      <w:tr>
        <w:trPr>
          <w:trHeight w:val="183"/>
        </w:trPr>
        <w:tc>
          <w:tcPr>
            <w:tcW w:w="38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920" w:type="dxa"/>
            <w:vAlign w:val="bottom"/>
            <w:gridSpan w:val="3"/>
          </w:tcPr>
          <w:p>
            <w:pPr>
              <w:jc w:val="right"/>
              <w:ind w:right="95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receivables</w:t>
            </w:r>
          </w:p>
        </w:tc>
        <w:tc>
          <w:tcPr>
            <w:tcW w:w="2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100</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87</w:t>
            </w: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7"/>
                <w:szCs w:val="17"/>
                <w:color w:val="auto"/>
              </w:rPr>
              <w:t>Prepaid rent</w:t>
            </w:r>
          </w:p>
        </w:tc>
        <w:tc>
          <w:tcPr>
            <w:tcW w:w="2120" w:type="dxa"/>
            <w:vAlign w:val="bottom"/>
          </w:tcPr>
          <w:p>
            <w:pPr>
              <w:spacing w:after="0"/>
              <w:rPr>
                <w:sz w:val="16"/>
                <w:szCs w:val="16"/>
                <w:color w:val="auto"/>
              </w:rPr>
            </w:pPr>
          </w:p>
        </w:tc>
        <w:tc>
          <w:tcPr>
            <w:tcW w:w="13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55</w:t>
            </w:r>
          </w:p>
        </w:tc>
        <w:tc>
          <w:tcPr>
            <w:tcW w:w="3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93</w:t>
            </w: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Prepaid income taxes</w:t>
            </w:r>
          </w:p>
        </w:tc>
        <w:tc>
          <w:tcPr>
            <w:tcW w:w="2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48</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46</w:t>
            </w: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7"/>
                <w:szCs w:val="17"/>
                <w:color w:val="auto"/>
              </w:rPr>
              <w:t>Other prepaid expenses</w:t>
            </w:r>
          </w:p>
        </w:tc>
        <w:tc>
          <w:tcPr>
            <w:tcW w:w="2120" w:type="dxa"/>
            <w:vAlign w:val="bottom"/>
          </w:tcPr>
          <w:p>
            <w:pPr>
              <w:spacing w:after="0"/>
              <w:rPr>
                <w:sz w:val="16"/>
                <w:szCs w:val="16"/>
                <w:color w:val="auto"/>
              </w:rPr>
            </w:pPr>
          </w:p>
        </w:tc>
        <w:tc>
          <w:tcPr>
            <w:tcW w:w="13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46</w:t>
            </w:r>
          </w:p>
        </w:tc>
        <w:tc>
          <w:tcPr>
            <w:tcW w:w="3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35</w:t>
            </w: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tax costs</w:t>
            </w:r>
          </w:p>
        </w:tc>
        <w:tc>
          <w:tcPr>
            <w:tcW w:w="2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w:t>
            </w: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5"/>
                <w:szCs w:val="15"/>
                <w:color w:val="auto"/>
              </w:rPr>
              <w:t xml:space="preserve">Restricted cash </w:t>
            </w:r>
            <w:r>
              <w:rPr>
                <w:rFonts w:ascii="Arial" w:cs="Arial" w:eastAsia="Arial" w:hAnsi="Arial"/>
                <w:sz w:val="21"/>
                <w:szCs w:val="21"/>
                <w:color w:val="auto"/>
                <w:vertAlign w:val="superscript"/>
              </w:rPr>
              <w:t>(1)</w:t>
            </w:r>
          </w:p>
        </w:tc>
        <w:tc>
          <w:tcPr>
            <w:tcW w:w="2120" w:type="dxa"/>
            <w:vAlign w:val="bottom"/>
          </w:tcPr>
          <w:p>
            <w:pPr>
              <w:spacing w:after="0"/>
              <w:rPr>
                <w:sz w:val="16"/>
                <w:szCs w:val="16"/>
                <w:color w:val="auto"/>
              </w:rPr>
            </w:pPr>
          </w:p>
        </w:tc>
        <w:tc>
          <w:tcPr>
            <w:tcW w:w="13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6</w:t>
            </w:r>
          </w:p>
        </w:tc>
        <w:tc>
          <w:tcPr>
            <w:tcW w:w="3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59</w:t>
            </w: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taxes receivable</w:t>
            </w:r>
          </w:p>
        </w:tc>
        <w:tc>
          <w:tcPr>
            <w:tcW w:w="2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r>
      <w:tr>
        <w:trPr>
          <w:trHeight w:val="189"/>
        </w:trPr>
        <w:tc>
          <w:tcPr>
            <w:tcW w:w="38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w:t>
            </w:r>
          </w:p>
        </w:tc>
        <w:tc>
          <w:tcPr>
            <w:tcW w:w="2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6</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w:t>
            </w:r>
          </w:p>
        </w:tc>
      </w:tr>
      <w:tr>
        <w:trPr>
          <w:trHeight w:val="183"/>
        </w:trPr>
        <w:tc>
          <w:tcPr>
            <w:tcW w:w="3860" w:type="dxa"/>
            <w:vAlign w:val="bottom"/>
            <w:tcBorders>
              <w:bottom w:val="single" w:sz="8" w:color="auto"/>
            </w:tcBorders>
            <w:shd w:val="clear" w:color="auto" w:fill="CCEEFF"/>
          </w:tcPr>
          <w:p>
            <w:pPr>
              <w:spacing w:after="0"/>
              <w:rPr>
                <w:sz w:val="15"/>
                <w:szCs w:val="15"/>
                <w:color w:val="auto"/>
              </w:rPr>
            </w:pPr>
          </w:p>
        </w:tc>
        <w:tc>
          <w:tcPr>
            <w:tcW w:w="2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271</w:t>
            </w:r>
          </w:p>
        </w:tc>
        <w:tc>
          <w:tcPr>
            <w:tcW w:w="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358</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80" w:right="79" w:hanging="330"/>
        <w:spacing w:after="0" w:line="258" w:lineRule="auto"/>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Restricted cash as of February 2, 2019 included $55 million of the qualified settlement fund that was established during 2017 in connection with the pension matter.</w:t>
      </w:r>
    </w:p>
    <w:p>
      <w:pPr>
        <w:spacing w:after="0" w:line="213"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397"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5500" w:type="dxa"/>
            <w:vAlign w:val="bottom"/>
          </w:tcPr>
          <w:p>
            <w:pPr>
              <w:spacing w:after="0"/>
              <w:rPr>
                <w:sz w:val="20"/>
                <w:szCs w:val="20"/>
                <w:color w:val="auto"/>
              </w:rPr>
            </w:pPr>
            <w:r>
              <w:rPr>
                <w:rFonts w:ascii="Arial" w:cs="Arial" w:eastAsia="Arial" w:hAnsi="Arial"/>
                <w:sz w:val="17"/>
                <w:szCs w:val="17"/>
                <w:b w:val="1"/>
                <w:bCs w:val="1"/>
                <w:color w:val="auto"/>
              </w:rPr>
              <w:t>7. Property and Equipment, net</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29"/>
        </w:trPr>
        <w:tc>
          <w:tcPr>
            <w:tcW w:w="5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jc w:val="right"/>
              <w:ind w:right="275"/>
              <w:spacing w:after="0"/>
              <w:rPr>
                <w:sz w:val="20"/>
                <w:szCs w:val="20"/>
                <w:color w:val="auto"/>
              </w:rPr>
            </w:pPr>
            <w:r>
              <w:rPr>
                <w:rFonts w:ascii="Arial" w:cs="Arial" w:eastAsia="Arial" w:hAnsi="Arial"/>
                <w:sz w:val="17"/>
                <w:szCs w:val="17"/>
                <w:b w:val="1"/>
                <w:bCs w:val="1"/>
                <w:color w:val="auto"/>
              </w:rPr>
              <w:t>February 1,</w:t>
            </w:r>
          </w:p>
        </w:tc>
        <w:tc>
          <w:tcPr>
            <w:tcW w:w="280" w:type="dxa"/>
            <w:vAlign w:val="bottom"/>
          </w:tcPr>
          <w:p>
            <w:pPr>
              <w:spacing w:after="0"/>
              <w:rPr>
                <w:sz w:val="24"/>
                <w:szCs w:val="24"/>
                <w:color w:val="auto"/>
              </w:rPr>
            </w:pPr>
          </w:p>
        </w:tc>
        <w:tc>
          <w:tcPr>
            <w:tcW w:w="1260" w:type="dxa"/>
            <w:vAlign w:val="bottom"/>
          </w:tcPr>
          <w:p>
            <w:pPr>
              <w:jc w:val="right"/>
              <w:ind w:right="215"/>
              <w:spacing w:after="0"/>
              <w:rPr>
                <w:sz w:val="20"/>
                <w:szCs w:val="20"/>
                <w:color w:val="auto"/>
              </w:rPr>
            </w:pPr>
            <w:r>
              <w:rPr>
                <w:rFonts w:ascii="Arial" w:cs="Arial" w:eastAsia="Arial" w:hAnsi="Arial"/>
                <w:sz w:val="17"/>
                <w:szCs w:val="17"/>
                <w:color w:val="auto"/>
              </w:rPr>
              <w:t>February 2,</w:t>
            </w:r>
          </w:p>
        </w:tc>
      </w:tr>
      <w:tr>
        <w:trPr>
          <w:trHeight w:val="215"/>
        </w:trPr>
        <w:tc>
          <w:tcPr>
            <w:tcW w:w="5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2019</w:t>
            </w:r>
          </w:p>
        </w:tc>
      </w:tr>
      <w:tr>
        <w:trPr>
          <w:trHeight w:val="183"/>
        </w:trPr>
        <w:tc>
          <w:tcPr>
            <w:tcW w:w="5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00" w:type="dxa"/>
            <w:vAlign w:val="bottom"/>
            <w:gridSpan w:val="3"/>
          </w:tcPr>
          <w:p>
            <w:pPr>
              <w:jc w:val="right"/>
              <w:ind w:right="95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Land</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4</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r>
      <w:tr>
        <w:trPr>
          <w:trHeight w:val="189"/>
        </w:trPr>
        <w:tc>
          <w:tcPr>
            <w:tcW w:w="5500" w:type="dxa"/>
            <w:vAlign w:val="bottom"/>
          </w:tcPr>
          <w:p>
            <w:pPr>
              <w:spacing w:after="0" w:line="189" w:lineRule="exact"/>
              <w:rPr>
                <w:sz w:val="20"/>
                <w:szCs w:val="20"/>
                <w:color w:val="auto"/>
              </w:rPr>
            </w:pPr>
            <w:r>
              <w:rPr>
                <w:rFonts w:ascii="Arial" w:cs="Arial" w:eastAsia="Arial" w:hAnsi="Arial"/>
                <w:sz w:val="17"/>
                <w:szCs w:val="17"/>
                <w:b w:val="1"/>
                <w:bCs w:val="1"/>
                <w:color w:val="auto"/>
              </w:rPr>
              <w:t>Buildings:</w:t>
            </w: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5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Owned</w:t>
            </w:r>
          </w:p>
        </w:tc>
        <w:tc>
          <w:tcPr>
            <w:tcW w:w="5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54</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46</w:t>
            </w:r>
          </w:p>
        </w:tc>
      </w:tr>
      <w:tr>
        <w:trPr>
          <w:trHeight w:val="189"/>
        </w:trPr>
        <w:tc>
          <w:tcPr>
            <w:tcW w:w="5500" w:type="dxa"/>
            <w:vAlign w:val="bottom"/>
          </w:tcPr>
          <w:p>
            <w:pPr>
              <w:spacing w:after="0" w:line="189" w:lineRule="exact"/>
              <w:rPr>
                <w:sz w:val="20"/>
                <w:szCs w:val="20"/>
                <w:color w:val="auto"/>
              </w:rPr>
            </w:pPr>
            <w:r>
              <w:rPr>
                <w:rFonts w:ascii="Arial" w:cs="Arial" w:eastAsia="Arial" w:hAnsi="Arial"/>
                <w:sz w:val="17"/>
                <w:szCs w:val="17"/>
                <w:b w:val="1"/>
                <w:bCs w:val="1"/>
                <w:color w:val="auto"/>
              </w:rPr>
              <w:t>Furniture, fixtures, equipment and software development costs:</w:t>
            </w: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550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Owned</w:t>
            </w:r>
          </w:p>
        </w:tc>
        <w:tc>
          <w:tcPr>
            <w:tcW w:w="5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1,203</w:t>
            </w: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1,177</w:t>
            </w:r>
          </w:p>
        </w:tc>
      </w:tr>
      <w:tr>
        <w:trPr>
          <w:trHeight w:val="183"/>
        </w:trPr>
        <w:tc>
          <w:tcPr>
            <w:tcW w:w="5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jc w:val="right"/>
              <w:ind w:right="95"/>
              <w:spacing w:after="0" w:line="183" w:lineRule="exact"/>
              <w:rPr>
                <w:sz w:val="20"/>
                <w:szCs w:val="20"/>
                <w:color w:val="auto"/>
              </w:rPr>
            </w:pPr>
            <w:r>
              <w:rPr>
                <w:rFonts w:ascii="Arial" w:cs="Arial" w:eastAsia="Arial" w:hAnsi="Arial"/>
                <w:sz w:val="17"/>
                <w:szCs w:val="17"/>
                <w:b w:val="1"/>
                <w:bCs w:val="1"/>
                <w:color w:val="auto"/>
              </w:rPr>
              <w:t>1,261</w:t>
            </w:r>
          </w:p>
        </w:tc>
        <w:tc>
          <w:tcPr>
            <w:tcW w:w="28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7"/>
                <w:szCs w:val="17"/>
                <w:color w:val="auto"/>
              </w:rPr>
              <w:t>1,227</w:t>
            </w:r>
          </w:p>
        </w:tc>
      </w:tr>
      <w:tr>
        <w:trPr>
          <w:trHeight w:val="189"/>
        </w:trPr>
        <w:tc>
          <w:tcPr>
            <w:tcW w:w="550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Less: accumulated depreciation</w:t>
            </w:r>
          </w:p>
        </w:tc>
        <w:tc>
          <w:tcPr>
            <w:tcW w:w="5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(818)</w:t>
            </w: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(785)</w:t>
            </w:r>
          </w:p>
        </w:tc>
      </w:tr>
      <w:tr>
        <w:trPr>
          <w:trHeight w:val="183"/>
        </w:trPr>
        <w:tc>
          <w:tcPr>
            <w:tcW w:w="5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jc w:val="right"/>
              <w:ind w:right="95"/>
              <w:spacing w:after="0" w:line="183" w:lineRule="exact"/>
              <w:rPr>
                <w:sz w:val="20"/>
                <w:szCs w:val="20"/>
                <w:color w:val="auto"/>
              </w:rPr>
            </w:pPr>
            <w:r>
              <w:rPr>
                <w:rFonts w:ascii="Arial" w:cs="Arial" w:eastAsia="Arial" w:hAnsi="Arial"/>
                <w:sz w:val="17"/>
                <w:szCs w:val="17"/>
                <w:b w:val="1"/>
                <w:bCs w:val="1"/>
                <w:color w:val="auto"/>
              </w:rPr>
              <w:t>443</w:t>
            </w:r>
          </w:p>
        </w:tc>
        <w:tc>
          <w:tcPr>
            <w:tcW w:w="28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7"/>
                <w:szCs w:val="17"/>
                <w:color w:val="auto"/>
              </w:rPr>
              <w:t>442</w:t>
            </w: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Alterations to leased and owned buildings:</w:t>
            </w:r>
          </w:p>
        </w:tc>
        <w:tc>
          <w:tcPr>
            <w:tcW w:w="5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5500" w:type="dxa"/>
            <w:vAlign w:val="bottom"/>
          </w:tcPr>
          <w:p>
            <w:pPr>
              <w:ind w:left="100"/>
              <w:spacing w:after="0" w:line="189" w:lineRule="exact"/>
              <w:rPr>
                <w:sz w:val="20"/>
                <w:szCs w:val="20"/>
                <w:color w:val="auto"/>
              </w:rPr>
            </w:pPr>
            <w:r>
              <w:rPr>
                <w:rFonts w:ascii="Arial" w:cs="Arial" w:eastAsia="Arial" w:hAnsi="Arial"/>
                <w:sz w:val="17"/>
                <w:szCs w:val="17"/>
                <w:color w:val="auto"/>
              </w:rPr>
              <w:t>Cost</w:t>
            </w:r>
          </w:p>
        </w:tc>
        <w:tc>
          <w:tcPr>
            <w:tcW w:w="500" w:type="dxa"/>
            <w:vAlign w:val="bottom"/>
          </w:tcPr>
          <w:p>
            <w:pPr>
              <w:spacing w:after="0"/>
              <w:rPr>
                <w:sz w:val="16"/>
                <w:szCs w:val="16"/>
                <w:color w:val="auto"/>
              </w:rPr>
            </w:pPr>
          </w:p>
        </w:tc>
        <w:tc>
          <w:tcPr>
            <w:tcW w:w="13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937</w:t>
            </w:r>
          </w:p>
        </w:tc>
        <w:tc>
          <w:tcPr>
            <w:tcW w:w="2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926</w:t>
            </w:r>
          </w:p>
        </w:tc>
      </w:tr>
      <w:tr>
        <w:trPr>
          <w:trHeight w:val="189"/>
        </w:trPr>
        <w:tc>
          <w:tcPr>
            <w:tcW w:w="550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Less: accumulated amortization</w:t>
            </w:r>
          </w:p>
        </w:tc>
        <w:tc>
          <w:tcPr>
            <w:tcW w:w="5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(556)</w:t>
            </w: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(532)</w:t>
            </w:r>
          </w:p>
        </w:tc>
      </w:tr>
      <w:tr>
        <w:trPr>
          <w:trHeight w:val="183"/>
        </w:trPr>
        <w:tc>
          <w:tcPr>
            <w:tcW w:w="5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381</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394</w:t>
            </w:r>
          </w:p>
        </w:tc>
      </w:tr>
      <w:tr>
        <w:trPr>
          <w:trHeight w:val="183"/>
        </w:trPr>
        <w:tc>
          <w:tcPr>
            <w:tcW w:w="55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6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824</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836</w:t>
            </w: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8. Goodwill</w:t>
      </w:r>
    </w:p>
    <w:p>
      <w:pPr>
        <w:spacing w:after="0" w:line="19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a result of the change in our organizational and internal reporting structures, we reassessed our reporting units and deemed the collective omni-channel banners in North America, EMEA, and Asia Pacific to be the three reporting units at which goodwill is tested. Therefore, goodwill was re-allocated to these reporting units based on their relative fair values. We conducted our 2019 annual impairment review both before and after this change and neither review resulted in the recognition of impairment, as the fair value of each reporting unit exceeded its carrying value. Goodwill is net of accumulated impairment charges of $167 million for all periods presented.</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2960" w:type="dxa"/>
            <w:vAlign w:val="bottom"/>
            <w:gridSpan w:val="2"/>
          </w:tcPr>
          <w:p>
            <w:pPr>
              <w:spacing w:after="0"/>
              <w:rPr>
                <w:sz w:val="20"/>
                <w:szCs w:val="20"/>
                <w:color w:val="auto"/>
              </w:rPr>
            </w:pPr>
            <w:r>
              <w:rPr>
                <w:rFonts w:ascii="Arial" w:cs="Arial" w:eastAsia="Arial" w:hAnsi="Arial"/>
                <w:sz w:val="17"/>
                <w:szCs w:val="17"/>
                <w:b w:val="1"/>
                <w:bCs w:val="1"/>
                <w:color w:val="auto"/>
              </w:rPr>
              <w:t>9. Other Intangible Assets, net</w:t>
            </w: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355"/>
              <w:spacing w:after="0"/>
              <w:rPr>
                <w:sz w:val="20"/>
                <w:szCs w:val="20"/>
                <w:color w:val="auto"/>
              </w:rPr>
            </w:pPr>
            <w:r>
              <w:rPr>
                <w:rFonts w:ascii="Arial" w:cs="Arial" w:eastAsia="Arial" w:hAnsi="Arial"/>
                <w:sz w:val="17"/>
                <w:szCs w:val="17"/>
                <w:b w:val="1"/>
                <w:bCs w:val="1"/>
                <w:color w:val="auto"/>
              </w:rPr>
              <w:t>February 1, 2020</w:t>
            </w: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395"/>
              <w:spacing w:after="0"/>
              <w:rPr>
                <w:sz w:val="20"/>
                <w:szCs w:val="20"/>
                <w:color w:val="auto"/>
              </w:rPr>
            </w:pPr>
            <w:r>
              <w:rPr>
                <w:rFonts w:ascii="Arial" w:cs="Arial" w:eastAsia="Arial" w:hAnsi="Arial"/>
                <w:sz w:val="17"/>
                <w:szCs w:val="17"/>
                <w:color w:val="auto"/>
              </w:rPr>
              <w:t>February 2, 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jc w:val="right"/>
              <w:ind w:right="55"/>
              <w:spacing w:after="0" w:line="156" w:lineRule="exact"/>
              <w:rPr>
                <w:sz w:val="20"/>
                <w:szCs w:val="20"/>
                <w:color w:val="auto"/>
              </w:rPr>
            </w:pPr>
            <w:r>
              <w:rPr>
                <w:rFonts w:ascii="Arial" w:cs="Arial" w:eastAsia="Arial" w:hAnsi="Arial"/>
                <w:sz w:val="17"/>
                <w:szCs w:val="17"/>
                <w:b w:val="1"/>
                <w:bCs w:val="1"/>
                <w:color w:val="auto"/>
                <w:w w:val="93"/>
              </w:rPr>
              <w:t>Gross</w:t>
            </w:r>
          </w:p>
        </w:tc>
        <w:tc>
          <w:tcPr>
            <w:tcW w:w="820" w:type="dxa"/>
            <w:vAlign w:val="bottom"/>
            <w:gridSpan w:val="2"/>
          </w:tcPr>
          <w:p>
            <w:pPr>
              <w:jc w:val="right"/>
              <w:ind w:right="15"/>
              <w:spacing w:after="0" w:line="156" w:lineRule="exact"/>
              <w:rPr>
                <w:sz w:val="20"/>
                <w:szCs w:val="20"/>
                <w:color w:val="auto"/>
              </w:rPr>
            </w:pPr>
            <w:r>
              <w:rPr>
                <w:rFonts w:ascii="Arial" w:cs="Arial" w:eastAsia="Arial" w:hAnsi="Arial"/>
                <w:sz w:val="17"/>
                <w:szCs w:val="17"/>
                <w:b w:val="1"/>
                <w:bCs w:val="1"/>
                <w:color w:val="auto"/>
              </w:rPr>
              <w:t>Accum.</w:t>
            </w:r>
          </w:p>
        </w:tc>
        <w:tc>
          <w:tcPr>
            <w:tcW w:w="160" w:type="dxa"/>
            <w:vAlign w:val="bottom"/>
          </w:tcPr>
          <w:p>
            <w:pPr>
              <w:spacing w:after="0"/>
              <w:rPr>
                <w:sz w:val="13"/>
                <w:szCs w:val="13"/>
                <w:color w:val="auto"/>
              </w:rPr>
            </w:pPr>
          </w:p>
        </w:tc>
        <w:tc>
          <w:tcPr>
            <w:tcW w:w="600" w:type="dxa"/>
            <w:vAlign w:val="bottom"/>
          </w:tcPr>
          <w:p>
            <w:pPr>
              <w:jc w:val="right"/>
              <w:ind w:right="135"/>
              <w:spacing w:after="0" w:line="156" w:lineRule="exact"/>
              <w:rPr>
                <w:sz w:val="20"/>
                <w:szCs w:val="20"/>
                <w:color w:val="auto"/>
              </w:rPr>
            </w:pPr>
            <w:r>
              <w:rPr>
                <w:rFonts w:ascii="Arial" w:cs="Arial" w:eastAsia="Arial" w:hAnsi="Arial"/>
                <w:sz w:val="17"/>
                <w:szCs w:val="17"/>
                <w:b w:val="1"/>
                <w:bCs w:val="1"/>
                <w:color w:val="auto"/>
              </w:rPr>
              <w:t>Net</w:t>
            </w:r>
          </w:p>
        </w:tc>
        <w:tc>
          <w:tcPr>
            <w:tcW w:w="780" w:type="dxa"/>
            <w:vAlign w:val="bottom"/>
          </w:tcPr>
          <w:p>
            <w:pPr>
              <w:ind w:left="80"/>
              <w:spacing w:after="0" w:line="156" w:lineRule="exact"/>
              <w:rPr>
                <w:sz w:val="20"/>
                <w:szCs w:val="20"/>
                <w:color w:val="auto"/>
              </w:rPr>
            </w:pPr>
            <w:r>
              <w:rPr>
                <w:rFonts w:ascii="Arial" w:cs="Arial" w:eastAsia="Arial" w:hAnsi="Arial"/>
                <w:sz w:val="17"/>
                <w:szCs w:val="17"/>
                <w:b w:val="1"/>
                <w:bCs w:val="1"/>
                <w:color w:val="auto"/>
              </w:rPr>
              <w:t>Life in</w:t>
            </w:r>
          </w:p>
        </w:tc>
        <w:tc>
          <w:tcPr>
            <w:tcW w:w="160" w:type="dxa"/>
            <w:vAlign w:val="bottom"/>
          </w:tcPr>
          <w:p>
            <w:pPr>
              <w:spacing w:after="0"/>
              <w:rPr>
                <w:sz w:val="13"/>
                <w:szCs w:val="13"/>
                <w:color w:val="auto"/>
              </w:rPr>
            </w:pPr>
          </w:p>
        </w:tc>
        <w:tc>
          <w:tcPr>
            <w:tcW w:w="620" w:type="dxa"/>
            <w:vAlign w:val="bottom"/>
          </w:tcPr>
          <w:p>
            <w:pPr>
              <w:jc w:val="right"/>
              <w:ind w:right="55"/>
              <w:spacing w:after="0" w:line="156" w:lineRule="exact"/>
              <w:rPr>
                <w:sz w:val="20"/>
                <w:szCs w:val="20"/>
                <w:color w:val="auto"/>
              </w:rPr>
            </w:pPr>
            <w:r>
              <w:rPr>
                <w:rFonts w:ascii="Arial" w:cs="Arial" w:eastAsia="Arial" w:hAnsi="Arial"/>
                <w:sz w:val="17"/>
                <w:szCs w:val="17"/>
                <w:color w:val="auto"/>
              </w:rPr>
              <w:t>Gross</w:t>
            </w:r>
          </w:p>
        </w:tc>
        <w:tc>
          <w:tcPr>
            <w:tcW w:w="840" w:type="dxa"/>
            <w:vAlign w:val="bottom"/>
            <w:gridSpan w:val="2"/>
          </w:tcPr>
          <w:p>
            <w:pPr>
              <w:jc w:val="right"/>
              <w:ind w:right="35"/>
              <w:spacing w:after="0" w:line="156" w:lineRule="exact"/>
              <w:rPr>
                <w:sz w:val="20"/>
                <w:szCs w:val="20"/>
                <w:color w:val="auto"/>
              </w:rPr>
            </w:pPr>
            <w:r>
              <w:rPr>
                <w:rFonts w:ascii="Arial" w:cs="Arial" w:eastAsia="Arial" w:hAnsi="Arial"/>
                <w:sz w:val="17"/>
                <w:szCs w:val="17"/>
                <w:color w:val="auto"/>
              </w:rPr>
              <w:t>Accum.</w:t>
            </w:r>
          </w:p>
        </w:tc>
        <w:tc>
          <w:tcPr>
            <w:tcW w:w="180" w:type="dxa"/>
            <w:vAlign w:val="bottom"/>
          </w:tcPr>
          <w:p>
            <w:pPr>
              <w:spacing w:after="0"/>
              <w:rPr>
                <w:sz w:val="13"/>
                <w:szCs w:val="13"/>
                <w:color w:val="auto"/>
              </w:rPr>
            </w:pPr>
          </w:p>
        </w:tc>
        <w:tc>
          <w:tcPr>
            <w:tcW w:w="600" w:type="dxa"/>
            <w:vAlign w:val="bottom"/>
          </w:tcPr>
          <w:p>
            <w:pPr>
              <w:jc w:val="right"/>
              <w:ind w:right="155"/>
              <w:spacing w:after="0" w:line="156" w:lineRule="exact"/>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215"/>
        </w:trPr>
        <w:tc>
          <w:tcPr>
            <w:tcW w:w="2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in millions)</w:t>
            </w:r>
          </w:p>
        </w:tc>
        <w:tc>
          <w:tcPr>
            <w:tcW w:w="5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value</w:t>
            </w:r>
          </w:p>
        </w:tc>
        <w:tc>
          <w:tcPr>
            <w:tcW w:w="82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7"/>
                <w:szCs w:val="17"/>
                <w:b w:val="1"/>
                <w:bCs w:val="1"/>
                <w:color w:val="auto"/>
              </w:rPr>
              <w:t>amort.</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value</w:t>
            </w:r>
          </w:p>
        </w:tc>
        <w:tc>
          <w:tcPr>
            <w:tcW w:w="780" w:type="dxa"/>
            <w:vAlign w:val="bottom"/>
            <w:tcBorders>
              <w:bottom w:val="single" w:sz="8" w:color="auto"/>
            </w:tcBorders>
          </w:tcPr>
          <w:p>
            <w:pPr>
              <w:ind w:left="80"/>
              <w:spacing w:after="0" w:line="216" w:lineRule="exact"/>
              <w:rPr>
                <w:sz w:val="20"/>
                <w:szCs w:val="20"/>
                <w:color w:val="auto"/>
              </w:rPr>
            </w:pPr>
            <w:r>
              <w:rPr>
                <w:rFonts w:ascii="Arial" w:cs="Arial" w:eastAsia="Arial" w:hAnsi="Arial"/>
                <w:sz w:val="16"/>
                <w:szCs w:val="16"/>
                <w:b w:val="1"/>
                <w:bCs w:val="1"/>
                <w:color w:val="auto"/>
              </w:rPr>
              <w:t xml:space="preserve">Years </w:t>
            </w:r>
            <w:r>
              <w:rPr>
                <w:rFonts w:ascii="Arial" w:cs="Arial" w:eastAsia="Arial" w:hAnsi="Arial"/>
                <w:sz w:val="24"/>
                <w:szCs w:val="24"/>
                <w:b w:val="1"/>
                <w:bCs w:val="1"/>
                <w:color w:val="auto"/>
                <w:vertAlign w:val="superscript"/>
              </w:rPr>
              <w:t>(2)</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value</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99"/>
              </w:rPr>
              <w:t>amort.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value</w:t>
            </w:r>
          </w:p>
        </w:tc>
        <w:tc>
          <w:tcPr>
            <w:tcW w:w="0" w:type="dxa"/>
            <w:vAlign w:val="bottom"/>
          </w:tcPr>
          <w:p>
            <w:pPr>
              <w:spacing w:after="0"/>
              <w:rPr>
                <w:sz w:val="1"/>
                <w:szCs w:val="1"/>
                <w:color w:val="auto"/>
              </w:rPr>
            </w:pPr>
          </w:p>
        </w:tc>
      </w:tr>
      <w:tr>
        <w:trPr>
          <w:trHeight w:val="176"/>
        </w:trPr>
        <w:tc>
          <w:tcPr>
            <w:tcW w:w="2960" w:type="dxa"/>
            <w:vAlign w:val="bottom"/>
            <w:gridSpan w:val="2"/>
          </w:tcPr>
          <w:p>
            <w:pPr>
              <w:spacing w:after="0" w:line="177" w:lineRule="exact"/>
              <w:rPr>
                <w:sz w:val="20"/>
                <w:szCs w:val="20"/>
                <w:color w:val="auto"/>
              </w:rPr>
            </w:pPr>
            <w:r>
              <w:rPr>
                <w:rFonts w:ascii="Arial" w:cs="Arial" w:eastAsia="Arial" w:hAnsi="Arial"/>
                <w:sz w:val="14"/>
                <w:szCs w:val="14"/>
                <w:color w:val="auto"/>
              </w:rPr>
              <w:t xml:space="preserve">Amortized intangible assets: </w:t>
            </w:r>
            <w:r>
              <w:rPr>
                <w:rFonts w:ascii="Arial" w:cs="Arial" w:eastAsia="Arial" w:hAnsi="Arial"/>
                <w:sz w:val="20"/>
                <w:szCs w:val="20"/>
                <w:color w:val="auto"/>
                <w:vertAlign w:val="superscript"/>
              </w:rPr>
              <w:t>(1)</w:t>
            </w:r>
          </w:p>
        </w:tc>
        <w:tc>
          <w:tcPr>
            <w:tcW w:w="5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115</w:t>
            </w:r>
          </w:p>
        </w:tc>
        <w:tc>
          <w:tcPr>
            <w:tcW w:w="2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(108)</w:t>
            </w: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w:t>
            </w: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9.8</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tcPr>
          <w:p>
            <w:pPr>
              <w:ind w:left="200"/>
              <w:spacing w:after="0"/>
              <w:rPr>
                <w:sz w:val="20"/>
                <w:szCs w:val="20"/>
                <w:color w:val="auto"/>
              </w:rPr>
            </w:pPr>
            <w:r>
              <w:rPr>
                <w:rFonts w:ascii="Arial" w:cs="Arial" w:eastAsia="Arial" w:hAnsi="Arial"/>
                <w:sz w:val="17"/>
                <w:szCs w:val="17"/>
                <w:color w:val="auto"/>
              </w:rPr>
              <w:t>Lease acquisition costs</w:t>
            </w:r>
          </w:p>
        </w:tc>
        <w:tc>
          <w:tcPr>
            <w:tcW w:w="5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120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Trademarks / trade names</w:t>
            </w:r>
          </w:p>
        </w:tc>
        <w:tc>
          <w:tcPr>
            <w:tcW w:w="5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20</w:t>
            </w: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(16)</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w:t>
            </w:r>
          </w:p>
        </w:tc>
        <w:tc>
          <w:tcPr>
            <w:tcW w:w="7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20.0</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tcBorders>
              <w:bottom w:val="single" w:sz="8" w:color="auto"/>
            </w:tcBorders>
          </w:tcPr>
          <w:p>
            <w:pPr>
              <w:ind w:left="200"/>
              <w:spacing w:after="0" w:line="189" w:lineRule="exact"/>
              <w:rPr>
                <w:sz w:val="20"/>
                <w:szCs w:val="20"/>
                <w:color w:val="auto"/>
              </w:rPr>
            </w:pPr>
            <w:r>
              <w:rPr>
                <w:rFonts w:ascii="Arial" w:cs="Arial" w:eastAsia="Arial" w:hAnsi="Arial"/>
                <w:sz w:val="17"/>
                <w:szCs w:val="17"/>
                <w:color w:val="auto"/>
              </w:rPr>
              <w:t>Favorable leases</w:t>
            </w:r>
          </w:p>
        </w:tc>
        <w:tc>
          <w:tcPr>
            <w:tcW w:w="5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135</w:t>
            </w:r>
          </w:p>
        </w:tc>
        <w:tc>
          <w:tcPr>
            <w:tcW w:w="2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(124)</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11</w:t>
            </w:r>
          </w:p>
        </w:tc>
        <w:tc>
          <w:tcPr>
            <w:tcW w:w="78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14.6</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147</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(132)</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4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21"/>
                <w:szCs w:val="21"/>
                <w:color w:val="auto"/>
                <w:vertAlign w:val="superscript"/>
              </w:rPr>
              <w:t>(1)</w:t>
            </w:r>
          </w:p>
        </w:tc>
        <w:tc>
          <w:tcPr>
            <w:tcW w:w="5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tcBorders>
              <w:bottom w:val="single" w:sz="8" w:color="auto"/>
            </w:tcBorders>
          </w:tcPr>
          <w:p>
            <w:pPr>
              <w:ind w:left="200"/>
              <w:spacing w:after="0" w:line="189" w:lineRule="exact"/>
              <w:rPr>
                <w:sz w:val="20"/>
                <w:szCs w:val="20"/>
                <w:color w:val="auto"/>
              </w:rPr>
            </w:pPr>
            <w:r>
              <w:rPr>
                <w:rFonts w:ascii="Arial" w:cs="Arial" w:eastAsia="Arial" w:hAnsi="Arial"/>
                <w:sz w:val="17"/>
                <w:szCs w:val="17"/>
                <w:color w:val="auto"/>
              </w:rPr>
              <w:t>Trademarks / trade names</w:t>
            </w:r>
          </w:p>
        </w:tc>
        <w:tc>
          <w:tcPr>
            <w:tcW w:w="5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9</w:t>
            </w: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Other intangible assets, net</w:t>
            </w:r>
          </w:p>
        </w:tc>
        <w:tc>
          <w:tcPr>
            <w:tcW w:w="5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20</w:t>
            </w:r>
          </w:p>
        </w:tc>
        <w:tc>
          <w:tcPr>
            <w:tcW w:w="7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80" w:right="79" w:hanging="330"/>
        <w:spacing w:after="0" w:line="258" w:lineRule="auto"/>
        <w:tabs>
          <w:tab w:leader="none" w:pos="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change in the ending balances also reflect the effect of foreign currency fluctuations due primarily to the movements of the euro in relation to the U.S. dollar.</w:t>
      </w:r>
    </w:p>
    <w:p>
      <w:pPr>
        <w:spacing w:after="0" w:line="2" w:lineRule="exact"/>
        <w:rPr>
          <w:rFonts w:ascii="Arial" w:cs="Arial" w:eastAsia="Arial" w:hAnsi="Arial"/>
          <w:sz w:val="13"/>
          <w:szCs w:val="13"/>
          <w:color w:val="auto"/>
        </w:rPr>
      </w:pPr>
    </w:p>
    <w:p>
      <w:pPr>
        <w:ind w:left="380" w:hanging="330"/>
        <w:spacing w:after="0"/>
        <w:tabs>
          <w:tab w:leader="none" w:pos="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Represents the weighted-average useful life as of February 1, 2020 and excludes those assets that are fully amortized.</w:t>
      </w:r>
    </w:p>
    <w:p>
      <w:pPr>
        <w:spacing w:after="0" w:line="399"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Amortizing intangible assets primarily represent lease acquisition costs, which are amounts that are required to secure prime lease locations and other lease rights, primarily in Europe. Amortization expense recorded is as follows:</w:t>
      </w:r>
    </w:p>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2019</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2018</w:t>
            </w:r>
          </w:p>
        </w:tc>
        <w:tc>
          <w:tcPr>
            <w:tcW w:w="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2017</w:t>
            </w:r>
          </w:p>
        </w:tc>
      </w:tr>
      <w:tr>
        <w:trPr>
          <w:trHeight w:val="183"/>
        </w:trPr>
        <w:tc>
          <w:tcPr>
            <w:tcW w:w="29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expense</w:t>
            </w:r>
          </w:p>
        </w:tc>
        <w:tc>
          <w:tcPr>
            <w:tcW w:w="2360" w:type="dxa"/>
            <w:vAlign w:val="bottom"/>
            <w:tcBorders>
              <w:bottom w:val="single" w:sz="8" w:color="auto"/>
            </w:tcBorders>
            <w:shd w:val="clear" w:color="auto" w:fill="CCEEFF"/>
          </w:tcPr>
          <w:p>
            <w:pPr>
              <w:jc w:val="right"/>
              <w:ind w:right="895"/>
              <w:spacing w:after="0" w:line="183" w:lineRule="exact"/>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w:t>
            </w:r>
          </w:p>
        </w:tc>
        <w:tc>
          <w:tcPr>
            <w:tcW w:w="1220" w:type="dxa"/>
            <w:vAlign w:val="bottom"/>
            <w:tcBorders>
              <w:bottom w:val="single" w:sz="8" w:color="auto"/>
            </w:tcBorders>
            <w:shd w:val="clear" w:color="auto" w:fill="CCEEFF"/>
          </w:tcPr>
          <w:p>
            <w:pPr>
              <w:jc w:val="right"/>
              <w:ind w:right="895"/>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4</w:t>
            </w:r>
          </w:p>
        </w:tc>
        <w:tc>
          <w:tcPr>
            <w:tcW w:w="46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7"/>
          <w:szCs w:val="17"/>
          <w:color w:val="auto"/>
        </w:rPr>
        <w:t>Estimated future amortization expense for finite lived intangibles for the next five years is as follows: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0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rPr>
              <w:t>($ in millions)</w:t>
            </w:r>
          </w:p>
        </w:tc>
      </w:tr>
      <w:tr>
        <w:trPr>
          <w:trHeight w:val="183"/>
        </w:trPr>
        <w:tc>
          <w:tcPr>
            <w:tcW w:w="50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2020</w:t>
            </w:r>
          </w:p>
        </w:tc>
        <w:tc>
          <w:tcPr>
            <w:tcW w:w="10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10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2023</w:t>
            </w: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50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2024</w:t>
            </w:r>
          </w:p>
        </w:tc>
        <w:tc>
          <w:tcPr>
            <w:tcW w:w="10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r>
        <w:trPr>
          <w:trHeight w:val="394"/>
        </w:trPr>
        <w:tc>
          <w:tcPr>
            <w:tcW w:w="5000" w:type="dxa"/>
            <w:vAlign w:val="bottom"/>
          </w:tcPr>
          <w:p>
            <w:pPr>
              <w:spacing w:after="0"/>
              <w:rPr>
                <w:sz w:val="20"/>
                <w:szCs w:val="20"/>
                <w:color w:val="auto"/>
              </w:rPr>
            </w:pPr>
            <w:r>
              <w:rPr>
                <w:rFonts w:ascii="Arial" w:cs="Arial" w:eastAsia="Arial" w:hAnsi="Arial"/>
                <w:sz w:val="17"/>
                <w:szCs w:val="17"/>
                <w:b w:val="1"/>
                <w:bCs w:val="1"/>
                <w:color w:val="auto"/>
              </w:rPr>
              <w:t>10. Other Assets</w:t>
            </w: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2"/>
        </w:trPr>
        <w:tc>
          <w:tcPr>
            <w:tcW w:w="5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jc w:val="center"/>
              <w:ind w:right="175"/>
              <w:spacing w:after="0"/>
              <w:rPr>
                <w:sz w:val="20"/>
                <w:szCs w:val="20"/>
                <w:color w:val="auto"/>
              </w:rPr>
            </w:pPr>
            <w:r>
              <w:rPr>
                <w:rFonts w:ascii="Arial" w:cs="Arial" w:eastAsia="Arial" w:hAnsi="Arial"/>
                <w:sz w:val="17"/>
                <w:szCs w:val="17"/>
                <w:b w:val="1"/>
                <w:bCs w:val="1"/>
                <w:color w:val="auto"/>
              </w:rPr>
              <w:t>February 1,</w:t>
            </w:r>
          </w:p>
        </w:tc>
        <w:tc>
          <w:tcPr>
            <w:tcW w:w="300" w:type="dxa"/>
            <w:vAlign w:val="bottom"/>
          </w:tcPr>
          <w:p>
            <w:pPr>
              <w:spacing w:after="0"/>
              <w:rPr>
                <w:sz w:val="24"/>
                <w:szCs w:val="24"/>
                <w:color w:val="auto"/>
              </w:rPr>
            </w:pPr>
          </w:p>
        </w:tc>
        <w:tc>
          <w:tcPr>
            <w:tcW w:w="1260" w:type="dxa"/>
            <w:vAlign w:val="bottom"/>
          </w:tcPr>
          <w:p>
            <w:pPr>
              <w:jc w:val="center"/>
              <w:ind w:right="135"/>
              <w:spacing w:after="0"/>
              <w:rPr>
                <w:sz w:val="20"/>
                <w:szCs w:val="20"/>
                <w:color w:val="auto"/>
              </w:rPr>
            </w:pPr>
            <w:r>
              <w:rPr>
                <w:rFonts w:ascii="Arial" w:cs="Arial" w:eastAsia="Arial" w:hAnsi="Arial"/>
                <w:sz w:val="17"/>
                <w:szCs w:val="17"/>
                <w:color w:val="auto"/>
              </w:rPr>
              <w:t>February 2,</w:t>
            </w:r>
          </w:p>
        </w:tc>
      </w:tr>
      <w:tr>
        <w:trPr>
          <w:trHeight w:val="215"/>
        </w:trPr>
        <w:tc>
          <w:tcPr>
            <w:tcW w:w="50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75"/>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rPr>
              <w:t>2019</w:t>
            </w:r>
          </w:p>
        </w:tc>
      </w:tr>
      <w:tr>
        <w:trPr>
          <w:trHeight w:val="183"/>
        </w:trPr>
        <w:tc>
          <w:tcPr>
            <w:tcW w:w="5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80" w:type="dxa"/>
            <w:vAlign w:val="bottom"/>
            <w:gridSpan w:val="3"/>
          </w:tcPr>
          <w:p>
            <w:pPr>
              <w:jc w:val="right"/>
              <w:ind w:right="93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Minority investments</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142</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104</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Restricted cash</w:t>
            </w:r>
          </w:p>
        </w:tc>
        <w:tc>
          <w:tcPr>
            <w:tcW w:w="10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29</w:t>
            </w:r>
          </w:p>
        </w:tc>
        <w:tc>
          <w:tcPr>
            <w:tcW w:w="30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31</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Pension asset</w:t>
            </w:r>
          </w:p>
        </w:tc>
        <w:tc>
          <w:tcPr>
            <w:tcW w:w="10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Auction rate security</w:t>
            </w:r>
          </w:p>
        </w:tc>
        <w:tc>
          <w:tcPr>
            <w:tcW w:w="10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7</w:t>
            </w:r>
          </w:p>
        </w:tc>
        <w:tc>
          <w:tcPr>
            <w:tcW w:w="30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6</w:t>
            </w:r>
          </w:p>
        </w:tc>
      </w:tr>
      <w:tr>
        <w:trPr>
          <w:trHeight w:val="189"/>
        </w:trPr>
        <w:tc>
          <w:tcPr>
            <w:tcW w:w="50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10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42</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50</w:t>
            </w:r>
          </w:p>
        </w:tc>
      </w:tr>
      <w:tr>
        <w:trPr>
          <w:trHeight w:val="183"/>
        </w:trPr>
        <w:tc>
          <w:tcPr>
            <w:tcW w:w="50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223</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198</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28"/>
        </w:trPr>
        <w:tc>
          <w:tcPr>
            <w:tcW w:w="5000" w:type="dxa"/>
            <w:vAlign w:val="bottom"/>
          </w:tcPr>
          <w:p>
            <w:pPr>
              <w:spacing w:after="0"/>
              <w:rPr>
                <w:sz w:val="20"/>
                <w:szCs w:val="20"/>
                <w:color w:val="auto"/>
              </w:rPr>
            </w:pPr>
            <w:r>
              <w:rPr>
                <w:rFonts w:ascii="Arial" w:cs="Arial" w:eastAsia="Arial" w:hAnsi="Arial"/>
                <w:sz w:val="17"/>
                <w:szCs w:val="17"/>
                <w:b w:val="1"/>
                <w:bCs w:val="1"/>
                <w:color w:val="auto"/>
              </w:rPr>
              <w:t>11. Accrued and Other Liabilities</w:t>
            </w: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9"/>
        </w:trPr>
        <w:tc>
          <w:tcPr>
            <w:tcW w:w="5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jc w:val="center"/>
              <w:ind w:right="155"/>
              <w:spacing w:after="0"/>
              <w:rPr>
                <w:sz w:val="20"/>
                <w:szCs w:val="20"/>
                <w:color w:val="auto"/>
              </w:rPr>
            </w:pPr>
            <w:r>
              <w:rPr>
                <w:rFonts w:ascii="Arial" w:cs="Arial" w:eastAsia="Arial" w:hAnsi="Arial"/>
                <w:sz w:val="17"/>
                <w:szCs w:val="17"/>
                <w:b w:val="1"/>
                <w:bCs w:val="1"/>
                <w:color w:val="auto"/>
              </w:rPr>
              <w:t>February 1,</w:t>
            </w:r>
          </w:p>
        </w:tc>
        <w:tc>
          <w:tcPr>
            <w:tcW w:w="300" w:type="dxa"/>
            <w:vAlign w:val="bottom"/>
          </w:tcPr>
          <w:p>
            <w:pPr>
              <w:spacing w:after="0"/>
              <w:rPr>
                <w:sz w:val="24"/>
                <w:szCs w:val="24"/>
                <w:color w:val="auto"/>
              </w:rPr>
            </w:pPr>
          </w:p>
        </w:tc>
        <w:tc>
          <w:tcPr>
            <w:tcW w:w="1260" w:type="dxa"/>
            <w:vAlign w:val="bottom"/>
          </w:tcPr>
          <w:p>
            <w:pPr>
              <w:jc w:val="center"/>
              <w:ind w:right="135"/>
              <w:spacing w:after="0"/>
              <w:rPr>
                <w:sz w:val="20"/>
                <w:szCs w:val="20"/>
                <w:color w:val="auto"/>
              </w:rPr>
            </w:pPr>
            <w:r>
              <w:rPr>
                <w:rFonts w:ascii="Arial" w:cs="Arial" w:eastAsia="Arial" w:hAnsi="Arial"/>
                <w:sz w:val="17"/>
                <w:szCs w:val="17"/>
                <w:color w:val="auto"/>
              </w:rPr>
              <w:t>February 2,</w:t>
            </w:r>
          </w:p>
        </w:tc>
      </w:tr>
      <w:tr>
        <w:trPr>
          <w:trHeight w:val="215"/>
        </w:trPr>
        <w:tc>
          <w:tcPr>
            <w:tcW w:w="50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rPr>
              <w:t>2019</w:t>
            </w:r>
          </w:p>
        </w:tc>
      </w:tr>
      <w:tr>
        <w:trPr>
          <w:trHeight w:val="183"/>
        </w:trPr>
        <w:tc>
          <w:tcPr>
            <w:tcW w:w="5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80" w:type="dxa"/>
            <w:vAlign w:val="bottom"/>
            <w:gridSpan w:val="3"/>
          </w:tcPr>
          <w:p>
            <w:pPr>
              <w:jc w:val="right"/>
              <w:ind w:right="93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payroll and payroll related costs, excluding taxes</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64</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70</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Taxes other than income taxes</w:t>
            </w:r>
          </w:p>
        </w:tc>
        <w:tc>
          <w:tcPr>
            <w:tcW w:w="10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57</w:t>
            </w:r>
          </w:p>
        </w:tc>
        <w:tc>
          <w:tcPr>
            <w:tcW w:w="30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64</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Customer deposits</w:t>
            </w:r>
          </w:p>
        </w:tc>
        <w:tc>
          <w:tcPr>
            <w:tcW w:w="10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43</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41</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5"/>
                <w:szCs w:val="15"/>
                <w:color w:val="auto"/>
              </w:rPr>
              <w:t xml:space="preserve">Property and equipment </w:t>
            </w:r>
            <w:r>
              <w:rPr>
                <w:rFonts w:ascii="Arial" w:cs="Arial" w:eastAsia="Arial" w:hAnsi="Arial"/>
                <w:sz w:val="21"/>
                <w:szCs w:val="21"/>
                <w:color w:val="auto"/>
                <w:vertAlign w:val="superscript"/>
              </w:rPr>
              <w:t>(1)</w:t>
            </w:r>
          </w:p>
        </w:tc>
        <w:tc>
          <w:tcPr>
            <w:tcW w:w="10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40</w:t>
            </w:r>
          </w:p>
        </w:tc>
        <w:tc>
          <w:tcPr>
            <w:tcW w:w="30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26</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Incentive bonuses</w:t>
            </w:r>
          </w:p>
        </w:tc>
        <w:tc>
          <w:tcPr>
            <w:tcW w:w="10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28</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41</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Advertising</w:t>
            </w:r>
          </w:p>
        </w:tc>
        <w:tc>
          <w:tcPr>
            <w:tcW w:w="10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21</w:t>
            </w:r>
          </w:p>
        </w:tc>
        <w:tc>
          <w:tcPr>
            <w:tcW w:w="30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37</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taxes payable</w:t>
            </w:r>
          </w:p>
        </w:tc>
        <w:tc>
          <w:tcPr>
            <w:tcW w:w="10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r>
      <w:tr>
        <w:trPr>
          <w:trHeight w:val="189"/>
        </w:trPr>
        <w:tc>
          <w:tcPr>
            <w:tcW w:w="5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w:t>
            </w: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86</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93</w:t>
            </w:r>
          </w:p>
        </w:tc>
      </w:tr>
      <w:tr>
        <w:trPr>
          <w:trHeight w:val="183"/>
        </w:trPr>
        <w:tc>
          <w:tcPr>
            <w:tcW w:w="50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343</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377</w:t>
            </w:r>
          </w:p>
        </w:tc>
      </w:tr>
    </w:tbl>
    <w:p>
      <w:pPr>
        <w:spacing w:after="0" w:line="188" w:lineRule="exact"/>
        <w:rPr>
          <w:sz w:val="20"/>
          <w:szCs w:val="20"/>
          <w:color w:val="auto"/>
        </w:rPr>
      </w:pPr>
    </w:p>
    <w:p>
      <w:pPr>
        <w:ind w:left="380" w:hanging="330"/>
        <w:spacing w:after="0"/>
        <w:tabs>
          <w:tab w:leader="none" w:pos="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Accruals for property and equipment are excluded from the Statements of Cash Flows for all years presented.</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12. Revolving Credit Facility</w:t>
      </w:r>
    </w:p>
    <w:p>
      <w:pPr>
        <w:spacing w:after="0" w:line="189" w:lineRule="exact"/>
        <w:rPr>
          <w:sz w:val="20"/>
          <w:szCs w:val="20"/>
          <w:color w:val="auto"/>
        </w:rPr>
      </w:pPr>
    </w:p>
    <w:p>
      <w:pPr>
        <w:jc w:val="both"/>
        <w:ind w:left="60" w:right="59"/>
        <w:spacing w:after="0" w:line="232" w:lineRule="auto"/>
        <w:rPr>
          <w:sz w:val="20"/>
          <w:szCs w:val="20"/>
          <w:color w:val="auto"/>
        </w:rPr>
      </w:pPr>
      <w:r>
        <w:rPr>
          <w:rFonts w:ascii="Arial" w:cs="Arial" w:eastAsia="Arial" w:hAnsi="Arial"/>
          <w:sz w:val="17"/>
          <w:szCs w:val="17"/>
          <w:color w:val="auto"/>
        </w:rPr>
        <w:t>On May 19, 2016, we entered into a credit agreement with our banks (“2016 Credit Agreement”). The 2016 Credit Agreement provides for a $400 million asset-based revolving credit facility maturing on May 19, 2021. During the term of the 2016 Credit Agreement, we may also increase the commitments by up to $200 million, subject to customary conditions. Interest is determined, at our option, by the federal funds rate plus a margin of 0.125 percent to 0.375 percent, or a Eurodollar rate, determined by reference to LIBOR, plus a margin of 1.125 percent to</w:t>
      </w:r>
    </w:p>
    <w:p>
      <w:pPr>
        <w:jc w:val="both"/>
        <w:ind w:left="60" w:right="79"/>
        <w:spacing w:after="0" w:line="243" w:lineRule="auto"/>
        <w:rPr>
          <w:sz w:val="20"/>
          <w:szCs w:val="20"/>
          <w:color w:val="auto"/>
        </w:rPr>
      </w:pPr>
      <w:r>
        <w:rPr>
          <w:rFonts w:ascii="Arial" w:cs="Arial" w:eastAsia="Arial" w:hAnsi="Arial"/>
          <w:sz w:val="17"/>
          <w:szCs w:val="17"/>
          <w:color w:val="auto"/>
        </w:rPr>
        <w:t>1.375 percent depending on availability under the 2016 Credit Agreement. In addition, we are paying a commitment fee of 0.20 percent per annum on the unused portion of the commitments.</w:t>
      </w:r>
    </w:p>
    <w:p>
      <w:pPr>
        <w:spacing w:after="0" w:line="104"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The 2016 Credit Agreement provides for a security interest in certain of our domestic store assets, including inventory assets, accounts receivable, cash deposits, and certain insurance proceeds. We are not required to comply with any financial covenants unless certain events of default have occurred and are continuing, or if availability under the 2016 Credit Agreement does not exceed the greater of $40 million and 10 percent of the Loan Cap (as defined in the 2016 Credit Agreement). There are no restrictions relating to the payment of dividends and share repurchases as long as no default or event of default has occurred and the aggregate principal amount of unused commitments under the 2016 Credit Agreement is not less than 15 percent of the lesser of the aggregate amount of the commitments and the Borrowing Base, determined as of the preceding fiscal month and on a proforma basis for the following six fiscal months.</w:t>
      </w:r>
    </w:p>
    <w:p>
      <w:pPr>
        <w:spacing w:after="0" w:line="107"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We use the 2016 Credit Agreement to support standby letters of credit in connection with insurance programs. The letters of credit outstanding as of February 1, 2020 were not significant.</w:t>
      </w:r>
    </w:p>
    <w:p>
      <w:pPr>
        <w:spacing w:after="0" w:line="10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fees relating to the 2016 Credit Agreement are amortized over the life of the facility. The unamortized balance at February 1, 2020 was not significant. Interest expense, including facility fees, related to the revolving credit facility was $1 million for all years presented.</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4800" w:type="dxa"/>
            <w:vAlign w:val="bottom"/>
          </w:tcPr>
          <w:p>
            <w:pPr>
              <w:spacing w:after="0"/>
              <w:rPr>
                <w:sz w:val="20"/>
                <w:szCs w:val="20"/>
                <w:color w:val="auto"/>
              </w:rPr>
            </w:pPr>
            <w:r>
              <w:rPr>
                <w:rFonts w:ascii="Arial" w:cs="Arial" w:eastAsia="Arial" w:hAnsi="Arial"/>
                <w:sz w:val="17"/>
                <w:szCs w:val="17"/>
                <w:b w:val="1"/>
                <w:bCs w:val="1"/>
                <w:color w:val="auto"/>
              </w:rPr>
              <w:t>13. Long-Term Debt</w:t>
            </w: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88"/>
        </w:trPr>
        <w:tc>
          <w:tcPr>
            <w:tcW w:w="4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jc w:val="right"/>
              <w:ind w:right="235"/>
              <w:spacing w:after="0"/>
              <w:rPr>
                <w:sz w:val="20"/>
                <w:szCs w:val="20"/>
                <w:color w:val="auto"/>
              </w:rPr>
            </w:pPr>
            <w:r>
              <w:rPr>
                <w:rFonts w:ascii="Arial" w:cs="Arial" w:eastAsia="Arial" w:hAnsi="Arial"/>
                <w:sz w:val="17"/>
                <w:szCs w:val="17"/>
                <w:b w:val="1"/>
                <w:bCs w:val="1"/>
                <w:color w:val="auto"/>
              </w:rPr>
              <w:t>February 1,</w:t>
            </w:r>
          </w:p>
        </w:tc>
        <w:tc>
          <w:tcPr>
            <w:tcW w:w="320" w:type="dxa"/>
            <w:vAlign w:val="bottom"/>
          </w:tcPr>
          <w:p>
            <w:pPr>
              <w:spacing w:after="0"/>
              <w:rPr>
                <w:sz w:val="24"/>
                <w:szCs w:val="24"/>
                <w:color w:val="auto"/>
              </w:rPr>
            </w:pPr>
          </w:p>
        </w:tc>
        <w:tc>
          <w:tcPr>
            <w:tcW w:w="1260" w:type="dxa"/>
            <w:vAlign w:val="bottom"/>
          </w:tcPr>
          <w:p>
            <w:pPr>
              <w:jc w:val="right"/>
              <w:ind w:right="215"/>
              <w:spacing w:after="0"/>
              <w:rPr>
                <w:sz w:val="20"/>
                <w:szCs w:val="20"/>
                <w:color w:val="auto"/>
              </w:rPr>
            </w:pPr>
            <w:r>
              <w:rPr>
                <w:rFonts w:ascii="Arial" w:cs="Arial" w:eastAsia="Arial" w:hAnsi="Arial"/>
                <w:sz w:val="17"/>
                <w:szCs w:val="17"/>
                <w:color w:val="auto"/>
              </w:rPr>
              <w:t>February 2,</w:t>
            </w:r>
          </w:p>
        </w:tc>
      </w:tr>
      <w:tr>
        <w:trPr>
          <w:trHeight w:val="215"/>
        </w:trPr>
        <w:tc>
          <w:tcPr>
            <w:tcW w:w="4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2019</w:t>
            </w:r>
          </w:p>
        </w:tc>
      </w:tr>
      <w:tr>
        <w:trPr>
          <w:trHeight w:val="183"/>
        </w:trPr>
        <w:tc>
          <w:tcPr>
            <w:tcW w:w="4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900" w:type="dxa"/>
            <w:vAlign w:val="bottom"/>
            <w:gridSpan w:val="3"/>
          </w:tcPr>
          <w:p>
            <w:pPr>
              <w:jc w:val="right"/>
              <w:ind w:right="95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4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8.5% debentures payable January 2022</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118</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118</w:t>
            </w:r>
          </w:p>
        </w:tc>
      </w:tr>
      <w:tr>
        <w:trPr>
          <w:trHeight w:val="189"/>
        </w:trPr>
        <w:tc>
          <w:tcPr>
            <w:tcW w:w="4800" w:type="dxa"/>
            <w:vAlign w:val="bottom"/>
            <w:tcBorders>
              <w:bottom w:val="single" w:sz="8" w:color="auto"/>
            </w:tcBorders>
          </w:tcPr>
          <w:p>
            <w:pPr>
              <w:spacing w:after="0" w:line="189" w:lineRule="exact"/>
              <w:rPr>
                <w:sz w:val="20"/>
                <w:szCs w:val="20"/>
                <w:color w:val="auto"/>
              </w:rPr>
            </w:pPr>
            <w:r>
              <w:rPr>
                <w:rFonts w:ascii="Arial" w:cs="Arial" w:eastAsia="Arial" w:hAnsi="Arial"/>
                <w:sz w:val="15"/>
                <w:szCs w:val="15"/>
                <w:color w:val="auto"/>
              </w:rPr>
              <w:t xml:space="preserve">Unamortized gain related to interest rate swaps </w:t>
            </w:r>
            <w:r>
              <w:rPr>
                <w:rFonts w:ascii="Arial" w:cs="Arial" w:eastAsia="Arial" w:hAnsi="Arial"/>
                <w:sz w:val="21"/>
                <w:szCs w:val="21"/>
                <w:color w:val="auto"/>
                <w:vertAlign w:val="superscript"/>
              </w:rPr>
              <w:t>(1)</w:t>
            </w:r>
          </w:p>
        </w:tc>
        <w:tc>
          <w:tcPr>
            <w:tcW w:w="1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r>
      <w:tr>
        <w:trPr>
          <w:trHeight w:val="183"/>
        </w:trPr>
        <w:tc>
          <w:tcPr>
            <w:tcW w:w="48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122</w:t>
            </w:r>
          </w:p>
        </w:tc>
        <w:tc>
          <w:tcPr>
            <w:tcW w:w="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124</w:t>
            </w: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80" w:right="79" w:hanging="330"/>
        <w:spacing w:after="0" w:line="258" w:lineRule="auto"/>
        <w:tabs>
          <w:tab w:leader="none" w:pos="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 2009, we terminated an interest rate swap at a gain. This gain is being amortized as part of interest expense over the remaining term of the debt using the effective-yield method.</w:t>
      </w:r>
    </w:p>
    <w:p>
      <w:pPr>
        <w:spacing w:after="0" w:line="105" w:lineRule="exact"/>
        <w:rPr>
          <w:sz w:val="20"/>
          <w:szCs w:val="20"/>
          <w:color w:val="auto"/>
        </w:rPr>
      </w:pPr>
    </w:p>
    <w:p>
      <w:pPr>
        <w:ind w:left="60" w:right="79"/>
        <w:spacing w:after="0" w:line="243" w:lineRule="auto"/>
        <w:rPr>
          <w:sz w:val="20"/>
          <w:szCs w:val="20"/>
          <w:color w:val="auto"/>
        </w:rPr>
      </w:pPr>
      <w:r>
        <w:rPr>
          <w:rFonts w:ascii="Arial" w:cs="Arial" w:eastAsia="Arial" w:hAnsi="Arial"/>
          <w:sz w:val="17"/>
          <w:szCs w:val="17"/>
          <w:color w:val="auto"/>
        </w:rPr>
        <w:t>Interest expense related to long-term debt and the amortization of the associated debt issuance costs was $8 million in both 2019 and 2018.</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4920" w:type="dxa"/>
            <w:vAlign w:val="bottom"/>
          </w:tcPr>
          <w:p>
            <w:pPr>
              <w:spacing w:after="0"/>
              <w:rPr>
                <w:sz w:val="20"/>
                <w:szCs w:val="20"/>
                <w:color w:val="auto"/>
              </w:rPr>
            </w:pPr>
            <w:r>
              <w:rPr>
                <w:rFonts w:ascii="Arial" w:cs="Arial" w:eastAsia="Arial" w:hAnsi="Arial"/>
                <w:sz w:val="17"/>
                <w:szCs w:val="17"/>
                <w:b w:val="1"/>
                <w:bCs w:val="1"/>
                <w:color w:val="auto"/>
              </w:rPr>
              <w:t>14. Other Liabilities</w:t>
            </w:r>
          </w:p>
        </w:tc>
        <w:tc>
          <w:tcPr>
            <w:tcW w:w="1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02"/>
        </w:trPr>
        <w:tc>
          <w:tcPr>
            <w:tcW w:w="4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jc w:val="right"/>
              <w:ind w:right="235"/>
              <w:spacing w:after="0"/>
              <w:rPr>
                <w:sz w:val="20"/>
                <w:szCs w:val="20"/>
                <w:color w:val="auto"/>
              </w:rPr>
            </w:pPr>
            <w:r>
              <w:rPr>
                <w:rFonts w:ascii="Arial" w:cs="Arial" w:eastAsia="Arial" w:hAnsi="Arial"/>
                <w:sz w:val="17"/>
                <w:szCs w:val="17"/>
                <w:b w:val="1"/>
                <w:bCs w:val="1"/>
                <w:color w:val="auto"/>
              </w:rPr>
              <w:t>February 1,</w:t>
            </w:r>
          </w:p>
        </w:tc>
        <w:tc>
          <w:tcPr>
            <w:tcW w:w="320" w:type="dxa"/>
            <w:vAlign w:val="bottom"/>
          </w:tcPr>
          <w:p>
            <w:pPr>
              <w:spacing w:after="0"/>
              <w:rPr>
                <w:sz w:val="24"/>
                <w:szCs w:val="24"/>
                <w:color w:val="auto"/>
              </w:rPr>
            </w:pPr>
          </w:p>
        </w:tc>
        <w:tc>
          <w:tcPr>
            <w:tcW w:w="1240" w:type="dxa"/>
            <w:vAlign w:val="bottom"/>
          </w:tcPr>
          <w:p>
            <w:pPr>
              <w:jc w:val="right"/>
              <w:ind w:right="215"/>
              <w:spacing w:after="0"/>
              <w:rPr>
                <w:sz w:val="20"/>
                <w:szCs w:val="20"/>
                <w:color w:val="auto"/>
              </w:rPr>
            </w:pPr>
            <w:r>
              <w:rPr>
                <w:rFonts w:ascii="Arial" w:cs="Arial" w:eastAsia="Arial" w:hAnsi="Arial"/>
                <w:sz w:val="17"/>
                <w:szCs w:val="17"/>
                <w:color w:val="auto"/>
              </w:rPr>
              <w:t>February 2,</w:t>
            </w:r>
          </w:p>
        </w:tc>
      </w:tr>
      <w:tr>
        <w:trPr>
          <w:trHeight w:val="215"/>
        </w:trPr>
        <w:tc>
          <w:tcPr>
            <w:tcW w:w="4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2019</w:t>
            </w:r>
          </w:p>
        </w:tc>
      </w:tr>
      <w:tr>
        <w:trPr>
          <w:trHeight w:val="183"/>
        </w:trPr>
        <w:tc>
          <w:tcPr>
            <w:tcW w:w="4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80" w:type="dxa"/>
            <w:vAlign w:val="bottom"/>
            <w:gridSpan w:val="3"/>
          </w:tcPr>
          <w:p>
            <w:pPr>
              <w:jc w:val="right"/>
              <w:ind w:right="93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Pension benefits</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61</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99</w:t>
            </w: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7"/>
                <w:szCs w:val="17"/>
                <w:color w:val="auto"/>
              </w:rPr>
              <w:t>Income taxes</w:t>
            </w:r>
          </w:p>
        </w:tc>
        <w:tc>
          <w:tcPr>
            <w:tcW w:w="110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32</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29</w:t>
            </w: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Postretirement benefits</w:t>
            </w:r>
          </w:p>
        </w:tc>
        <w:tc>
          <w:tcPr>
            <w:tcW w:w="1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10</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w:t>
            </w: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7"/>
                <w:szCs w:val="17"/>
                <w:color w:val="auto"/>
              </w:rPr>
              <w:t>Workers’ compensation and general liability reserves</w:t>
            </w:r>
          </w:p>
        </w:tc>
        <w:tc>
          <w:tcPr>
            <w:tcW w:w="110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8</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taxes</w:t>
            </w:r>
          </w:p>
        </w:tc>
        <w:tc>
          <w:tcPr>
            <w:tcW w:w="1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w:t>
            </w: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5"/>
                <w:szCs w:val="15"/>
                <w:color w:val="auto"/>
              </w:rPr>
              <w:t xml:space="preserve">Straight-line rent liability </w:t>
            </w:r>
            <w:r>
              <w:rPr>
                <w:rFonts w:ascii="Arial" w:cs="Arial" w:eastAsia="Arial" w:hAnsi="Arial"/>
                <w:sz w:val="21"/>
                <w:szCs w:val="21"/>
                <w:color w:val="auto"/>
                <w:vertAlign w:val="superscript"/>
              </w:rPr>
              <w:t>(1)</w:t>
            </w:r>
          </w:p>
        </w:tc>
        <w:tc>
          <w:tcPr>
            <w:tcW w:w="110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265</w:t>
            </w:r>
          </w:p>
        </w:tc>
      </w:tr>
      <w:tr>
        <w:trPr>
          <w:trHeight w:val="189"/>
        </w:trPr>
        <w:tc>
          <w:tcPr>
            <w:tcW w:w="49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11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9</w:t>
            </w: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r>
      <w:tr>
        <w:trPr>
          <w:trHeight w:val="218"/>
        </w:trPr>
        <w:tc>
          <w:tcPr>
            <w:tcW w:w="49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ind w:right="55"/>
              <w:spacing w:after="0"/>
              <w:rPr>
                <w:sz w:val="20"/>
                <w:szCs w:val="20"/>
                <w:color w:val="auto"/>
              </w:rPr>
            </w:pPr>
            <w:r>
              <w:rPr>
                <w:rFonts w:ascii="Arial" w:cs="Arial" w:eastAsia="Arial" w:hAnsi="Arial"/>
                <w:sz w:val="17"/>
                <w:szCs w:val="17"/>
                <w:b w:val="1"/>
                <w:bCs w:val="1"/>
                <w:color w:val="auto"/>
              </w:rPr>
              <w:t>122</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-21590</wp:posOffset>
            </wp:positionV>
            <wp:extent cx="56489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4896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-4445</wp:posOffset>
            </wp:positionV>
            <wp:extent cx="56489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ind w:left="60"/>
        <w:spacing w:after="0" w:line="221" w:lineRule="auto"/>
        <w:rPr>
          <w:sz w:val="20"/>
          <w:szCs w:val="20"/>
          <w:color w:val="auto"/>
        </w:rPr>
      </w:pPr>
      <w:r>
        <w:rPr>
          <w:rFonts w:ascii="Arial" w:cs="Arial" w:eastAsia="Arial" w:hAnsi="Arial"/>
          <w:sz w:val="4"/>
          <w:szCs w:val="4"/>
          <w:color w:val="auto"/>
        </w:rPr>
        <w:t>\</w:t>
      </w:r>
    </w:p>
    <w:p>
      <w:pPr>
        <w:spacing w:after="0" w:line="219" w:lineRule="exact"/>
        <w:rPr>
          <w:sz w:val="20"/>
          <w:szCs w:val="20"/>
          <w:color w:val="auto"/>
        </w:rPr>
      </w:pPr>
    </w:p>
    <w:p>
      <w:pPr>
        <w:ind w:left="380" w:right="79" w:hanging="330"/>
        <w:spacing w:after="0" w:line="258" w:lineRule="auto"/>
        <w:tabs>
          <w:tab w:leader="none" w:pos="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Upon the adoption of the new lease standard, the straight-line rent liability was reclassified into the right-of-use asset. At February 2, 2019, this balance included unamortized tenant allowances of $66 million.</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15. Leases</w:t>
      </w:r>
    </w:p>
    <w:p>
      <w:pPr>
        <w:spacing w:after="0" w:line="14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On February 3, 2019, we adopted the new lease accounting standard. We applied the modified retrospective method of adoption and therefore, results for the current year are presented under the new guidance, while prior periods have not been adjusted. The majority of our leases are operating leases for our company-operated retail store locations. We also lease, among other things, distribution and warehouse facilities, and office space for corporate administrative purposes.</w:t>
      </w:r>
    </w:p>
    <w:p>
      <w:pPr>
        <w:spacing w:after="0" w:line="352"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Operating lease periods generally range from 5 to 10 years and generally contain rent escalation provisions. Some of the store leases contain renewal options with varying terms and conditions.</w:t>
      </w:r>
    </w:p>
    <w:p>
      <w:pPr>
        <w:spacing w:after="0" w:line="104"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As February 1, 2020, amounts recognized in the Consolidated Balance Sheet related to operating leases were as follows: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0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99"/>
              </w:rPr>
              <w:t>in millions)</w:t>
            </w:r>
          </w:p>
        </w:tc>
      </w:tr>
      <w:tr>
        <w:trPr>
          <w:trHeight w:val="183"/>
        </w:trPr>
        <w:tc>
          <w:tcPr>
            <w:tcW w:w="508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Assets</w:t>
            </w:r>
          </w:p>
        </w:tc>
        <w:tc>
          <w:tcPr>
            <w:tcW w:w="28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9"/>
        </w:trPr>
        <w:tc>
          <w:tcPr>
            <w:tcW w:w="50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Operating lease right-of-use assets</w:t>
            </w:r>
          </w:p>
        </w:tc>
        <w:tc>
          <w:tcPr>
            <w:tcW w:w="280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2,899</w:t>
            </w:r>
          </w:p>
        </w:tc>
      </w:tr>
      <w:tr>
        <w:trPr>
          <w:trHeight w:val="189"/>
        </w:trPr>
        <w:tc>
          <w:tcPr>
            <w:tcW w:w="50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50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w:t>
            </w:r>
          </w:p>
        </w:tc>
        <w:tc>
          <w:tcPr>
            <w:tcW w:w="28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5080" w:type="dxa"/>
            <w:vAlign w:val="bottom"/>
          </w:tcPr>
          <w:p>
            <w:pPr>
              <w:ind w:left="20"/>
              <w:spacing w:after="0" w:line="189" w:lineRule="exact"/>
              <w:rPr>
                <w:sz w:val="20"/>
                <w:szCs w:val="20"/>
                <w:color w:val="auto"/>
              </w:rPr>
            </w:pPr>
            <w:r>
              <w:rPr>
                <w:rFonts w:ascii="Arial" w:cs="Arial" w:eastAsia="Arial" w:hAnsi="Arial"/>
                <w:sz w:val="17"/>
                <w:szCs w:val="17"/>
                <w:color w:val="auto"/>
              </w:rPr>
              <w:t>Current</w:t>
            </w:r>
          </w:p>
        </w:tc>
        <w:tc>
          <w:tcPr>
            <w:tcW w:w="28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50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Operating lease liabilities</w:t>
            </w:r>
          </w:p>
        </w:tc>
        <w:tc>
          <w:tcPr>
            <w:tcW w:w="28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518</w:t>
            </w:r>
          </w:p>
        </w:tc>
      </w:tr>
      <w:tr>
        <w:trPr>
          <w:trHeight w:val="189"/>
        </w:trPr>
        <w:tc>
          <w:tcPr>
            <w:tcW w:w="5080" w:type="dxa"/>
            <w:vAlign w:val="bottom"/>
          </w:tcPr>
          <w:p>
            <w:pPr>
              <w:ind w:left="20"/>
              <w:spacing w:after="0" w:line="189" w:lineRule="exact"/>
              <w:rPr>
                <w:sz w:val="20"/>
                <w:szCs w:val="20"/>
                <w:color w:val="auto"/>
              </w:rPr>
            </w:pPr>
            <w:r>
              <w:rPr>
                <w:rFonts w:ascii="Arial" w:cs="Arial" w:eastAsia="Arial" w:hAnsi="Arial"/>
                <w:sz w:val="17"/>
                <w:szCs w:val="17"/>
                <w:color w:val="auto"/>
              </w:rPr>
              <w:t>Noncurrent</w:t>
            </w:r>
          </w:p>
        </w:tc>
        <w:tc>
          <w:tcPr>
            <w:tcW w:w="28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5080" w:type="dxa"/>
            <w:vAlign w:val="bottom"/>
            <w:tcBorders>
              <w:bottom w:val="single" w:sz="8" w:color="auto"/>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Operating lease liabilities</w:t>
            </w:r>
          </w:p>
        </w:tc>
        <w:tc>
          <w:tcPr>
            <w:tcW w:w="28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2,678</w:t>
            </w:r>
          </w:p>
        </w:tc>
      </w:tr>
      <w:tr>
        <w:trPr>
          <w:trHeight w:val="183"/>
        </w:trPr>
        <w:tc>
          <w:tcPr>
            <w:tcW w:w="50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lease liabilities</w:t>
            </w:r>
          </w:p>
        </w:tc>
        <w:tc>
          <w:tcPr>
            <w:tcW w:w="280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3,196</w:t>
            </w:r>
          </w:p>
        </w:tc>
      </w:tr>
    </w:tbl>
    <w:p>
      <w:pPr>
        <w:spacing w:after="0" w:line="156"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information related to operating leases as of February 1, 2020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240030</wp:posOffset>
            </wp:positionV>
            <wp:extent cx="56489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 (years)</w:t>
            </w:r>
          </w:p>
        </w:tc>
        <w:tc>
          <w:tcPr>
            <w:tcW w:w="2920" w:type="dxa"/>
            <w:vAlign w:val="bottom"/>
            <w:shd w:val="clear" w:color="auto" w:fill="CCEEFF"/>
          </w:tcPr>
          <w:p>
            <w:pPr>
              <w:ind w:left="2360"/>
              <w:spacing w:after="0"/>
              <w:rPr>
                <w:sz w:val="20"/>
                <w:szCs w:val="20"/>
                <w:color w:val="auto"/>
              </w:rPr>
            </w:pPr>
            <w:r>
              <w:rPr>
                <w:rFonts w:ascii="Arial" w:cs="Arial" w:eastAsia="Arial" w:hAnsi="Arial"/>
                <w:sz w:val="17"/>
                <w:szCs w:val="17"/>
                <w:b w:val="1"/>
                <w:bCs w:val="1"/>
                <w:color w:val="auto"/>
              </w:rPr>
              <w:t>7.3</w:t>
            </w:r>
          </w:p>
        </w:tc>
      </w:tr>
      <w:tr>
        <w:trPr>
          <w:trHeight w:val="189"/>
        </w:trPr>
        <w:tc>
          <w:tcPr>
            <w:tcW w:w="59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Weighted average discount rate</w:t>
            </w:r>
          </w:p>
        </w:tc>
        <w:tc>
          <w:tcPr>
            <w:tcW w:w="2920" w:type="dxa"/>
            <w:vAlign w:val="bottom"/>
            <w:tcBorders>
              <w:bottom w:val="single" w:sz="8" w:color="auto"/>
            </w:tcBorders>
          </w:tcPr>
          <w:p>
            <w:pPr>
              <w:ind w:left="2360"/>
              <w:spacing w:after="0" w:line="189" w:lineRule="exact"/>
              <w:rPr>
                <w:sz w:val="20"/>
                <w:szCs w:val="20"/>
                <w:color w:val="auto"/>
              </w:rPr>
            </w:pPr>
            <w:r>
              <w:rPr>
                <w:rFonts w:ascii="Arial" w:cs="Arial" w:eastAsia="Arial" w:hAnsi="Arial"/>
                <w:sz w:val="17"/>
                <w:szCs w:val="17"/>
                <w:b w:val="1"/>
                <w:bCs w:val="1"/>
                <w:color w:val="auto"/>
              </w:rPr>
              <w:t>5.4 %</w:t>
            </w:r>
          </w:p>
        </w:tc>
      </w:tr>
    </w:tbl>
    <w:p>
      <w:pPr>
        <w:spacing w:after="0" w:line="16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Total lease costs include fixed operating lease costs, variable lease costs, and short-term lease costs. Most of our real estate leases require we pay certain expenses, such as CAM costs, real estate taxes, and other executory costs, of which the fixed portion is included in operating lease costs. Variable lease costs include non-lease components which are not fixed and are not included in determining the present value of our lease liability. Variable lease costs also include amounts based on a percentage of gross sales in excess of specified levels that are recognized when probable. Lease costs which relate to retail stores and distribution centers are classified within cost of sales, while non-store lease costs are included in SG&amp;A. The components of lease cost as of February 1, 2020 were as follows: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6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99"/>
              </w:rPr>
              <w:t>in millions)</w:t>
            </w:r>
          </w:p>
        </w:tc>
      </w:tr>
      <w:tr>
        <w:trPr>
          <w:trHeight w:val="183"/>
        </w:trPr>
        <w:tc>
          <w:tcPr>
            <w:tcW w:w="46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Operating lease costs</w:t>
            </w:r>
          </w:p>
        </w:tc>
        <w:tc>
          <w:tcPr>
            <w:tcW w:w="3280" w:type="dxa"/>
            <w:vAlign w:val="bottom"/>
            <w:shd w:val="clear" w:color="auto" w:fill="CCEEFF"/>
          </w:tcPr>
          <w:p>
            <w:pPr>
              <w:jc w:val="right"/>
              <w:ind w:right="215"/>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668</w:t>
            </w:r>
          </w:p>
        </w:tc>
      </w:tr>
      <w:tr>
        <w:trPr>
          <w:trHeight w:val="189"/>
        </w:trPr>
        <w:tc>
          <w:tcPr>
            <w:tcW w:w="4600" w:type="dxa"/>
            <w:vAlign w:val="bottom"/>
          </w:tcPr>
          <w:p>
            <w:pPr>
              <w:ind w:left="20"/>
              <w:spacing w:after="0" w:line="189" w:lineRule="exact"/>
              <w:rPr>
                <w:sz w:val="20"/>
                <w:szCs w:val="20"/>
                <w:color w:val="auto"/>
              </w:rPr>
            </w:pPr>
            <w:r>
              <w:rPr>
                <w:rFonts w:ascii="Arial" w:cs="Arial" w:eastAsia="Arial" w:hAnsi="Arial"/>
                <w:sz w:val="17"/>
                <w:szCs w:val="17"/>
                <w:color w:val="auto"/>
              </w:rPr>
              <w:t>Variable lease costs</w:t>
            </w:r>
          </w:p>
        </w:tc>
        <w:tc>
          <w:tcPr>
            <w:tcW w:w="3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332</w:t>
            </w:r>
          </w:p>
        </w:tc>
      </w:tr>
      <w:tr>
        <w:trPr>
          <w:trHeight w:val="189"/>
        </w:trPr>
        <w:tc>
          <w:tcPr>
            <w:tcW w:w="46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Short-term lease costs</w:t>
            </w:r>
          </w:p>
        </w:tc>
        <w:tc>
          <w:tcPr>
            <w:tcW w:w="3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23</w:t>
            </w:r>
          </w:p>
        </w:tc>
      </w:tr>
      <w:tr>
        <w:trPr>
          <w:trHeight w:val="189"/>
        </w:trPr>
        <w:tc>
          <w:tcPr>
            <w:tcW w:w="46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Sublease income</w:t>
            </w:r>
          </w:p>
        </w:tc>
        <w:tc>
          <w:tcPr>
            <w:tcW w:w="3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w:t>
            </w:r>
          </w:p>
        </w:tc>
      </w:tr>
      <w:tr>
        <w:trPr>
          <w:trHeight w:val="183"/>
        </w:trPr>
        <w:tc>
          <w:tcPr>
            <w:tcW w:w="46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Net lease cost</w:t>
            </w:r>
          </w:p>
        </w:tc>
        <w:tc>
          <w:tcPr>
            <w:tcW w:w="3280" w:type="dxa"/>
            <w:vAlign w:val="bottom"/>
            <w:tcBorders>
              <w:bottom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1,022</w:t>
            </w: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Rent expense for the prior year period is accounted for under previous lease guidance. Rent expense for operating leases for 2018 and 2017 amounted to $750 million and $735 million, respectively, and consisted of minimum and contingent rentals of $728 million and $27 million, respectively, for 2018 and $714 million and $26 million, respectively, for 2017, less sublease income of $5 million in both years. Other costs related to our leases, including the amortization of lease rights, totaled $147 million and $146 million for the years ended February 2, 2019 and February 3, 2018,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Supplemental cash flow information related to leases for the year ended February 1, 2020 was as follows: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 in millions)</w:t>
            </w:r>
          </w:p>
        </w:tc>
      </w:tr>
      <w:tr>
        <w:trPr>
          <w:trHeight w:val="183"/>
        </w:trPr>
        <w:tc>
          <w:tcPr>
            <w:tcW w:w="66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Cash paid for amounts included in measurement of operating lease liabilities:</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679</w:t>
            </w:r>
          </w:p>
        </w:tc>
      </w:tr>
      <w:tr>
        <w:trPr>
          <w:trHeight w:val="189"/>
        </w:trPr>
        <w:tc>
          <w:tcPr>
            <w:tcW w:w="66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Right-of-use assets obtained in exchange for lease obligations:</w:t>
            </w:r>
          </w:p>
        </w:tc>
        <w:tc>
          <w:tcPr>
            <w:tcW w:w="9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322</w:t>
            </w:r>
          </w:p>
        </w:tc>
      </w:tr>
    </w:tbl>
    <w:p>
      <w:pPr>
        <w:spacing w:after="0" w:line="318"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6220" w:type="dxa"/>
            <w:vAlign w:val="bottom"/>
          </w:tcPr>
          <w:p>
            <w:pPr>
              <w:ind w:left="20"/>
              <w:spacing w:after="0"/>
              <w:rPr>
                <w:sz w:val="20"/>
                <w:szCs w:val="20"/>
                <w:color w:val="auto"/>
              </w:rPr>
            </w:pPr>
            <w:r>
              <w:rPr>
                <w:rFonts w:ascii="Arial" w:cs="Arial" w:eastAsia="Arial" w:hAnsi="Arial"/>
                <w:sz w:val="17"/>
                <w:szCs w:val="17"/>
                <w:color w:val="auto"/>
              </w:rPr>
              <w:t>Maturities of lease liabilities as of February 1, 2020 are as follows:</w:t>
            </w: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14"/>
        </w:trPr>
        <w:tc>
          <w:tcPr>
            <w:tcW w:w="6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99"/>
              </w:rPr>
              <w:t>in millions)</w:t>
            </w:r>
          </w:p>
        </w:tc>
      </w:tr>
      <w:tr>
        <w:trPr>
          <w:trHeight w:val="183"/>
        </w:trPr>
        <w:tc>
          <w:tcPr>
            <w:tcW w:w="62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2020</w:t>
            </w:r>
          </w:p>
        </w:tc>
        <w:tc>
          <w:tcPr>
            <w:tcW w:w="1640" w:type="dxa"/>
            <w:vAlign w:val="bottom"/>
            <w:shd w:val="clear" w:color="auto" w:fill="CCEEFF"/>
          </w:tcPr>
          <w:p>
            <w:pPr>
              <w:jc w:val="right"/>
              <w:ind w:right="215"/>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673</w:t>
            </w:r>
          </w:p>
        </w:tc>
      </w:tr>
      <w:tr>
        <w:trPr>
          <w:trHeight w:val="189"/>
        </w:trPr>
        <w:tc>
          <w:tcPr>
            <w:tcW w:w="6220" w:type="dxa"/>
            <w:vAlign w:val="bottom"/>
          </w:tcPr>
          <w:p>
            <w:pPr>
              <w:ind w:left="20"/>
              <w:spacing w:after="0" w:line="189" w:lineRule="exact"/>
              <w:rPr>
                <w:sz w:val="20"/>
                <w:szCs w:val="20"/>
                <w:color w:val="auto"/>
              </w:rPr>
            </w:pPr>
            <w:r>
              <w:rPr>
                <w:rFonts w:ascii="Arial" w:cs="Arial" w:eastAsia="Arial" w:hAnsi="Arial"/>
                <w:sz w:val="17"/>
                <w:szCs w:val="17"/>
                <w:color w:val="auto"/>
              </w:rPr>
              <w:t>2021</w:t>
            </w:r>
          </w:p>
        </w:tc>
        <w:tc>
          <w:tcPr>
            <w:tcW w:w="16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622</w:t>
            </w:r>
          </w:p>
        </w:tc>
      </w:tr>
      <w:tr>
        <w:trPr>
          <w:trHeight w:val="189"/>
        </w:trPr>
        <w:tc>
          <w:tcPr>
            <w:tcW w:w="62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2022</w:t>
            </w:r>
          </w:p>
        </w:tc>
        <w:tc>
          <w:tcPr>
            <w:tcW w:w="16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563</w:t>
            </w:r>
          </w:p>
        </w:tc>
      </w:tr>
      <w:tr>
        <w:trPr>
          <w:trHeight w:val="189"/>
        </w:trPr>
        <w:tc>
          <w:tcPr>
            <w:tcW w:w="6220" w:type="dxa"/>
            <w:vAlign w:val="bottom"/>
          </w:tcPr>
          <w:p>
            <w:pPr>
              <w:ind w:left="20"/>
              <w:spacing w:after="0" w:line="189" w:lineRule="exact"/>
              <w:rPr>
                <w:sz w:val="20"/>
                <w:szCs w:val="20"/>
                <w:color w:val="auto"/>
              </w:rPr>
            </w:pPr>
            <w:r>
              <w:rPr>
                <w:rFonts w:ascii="Arial" w:cs="Arial" w:eastAsia="Arial" w:hAnsi="Arial"/>
                <w:sz w:val="17"/>
                <w:szCs w:val="17"/>
                <w:color w:val="auto"/>
              </w:rPr>
              <w:t>2023</w:t>
            </w:r>
          </w:p>
        </w:tc>
        <w:tc>
          <w:tcPr>
            <w:tcW w:w="16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491</w:t>
            </w:r>
          </w:p>
        </w:tc>
      </w:tr>
      <w:tr>
        <w:trPr>
          <w:trHeight w:val="189"/>
        </w:trPr>
        <w:tc>
          <w:tcPr>
            <w:tcW w:w="62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2024</w:t>
            </w:r>
          </w:p>
        </w:tc>
        <w:tc>
          <w:tcPr>
            <w:tcW w:w="16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411</w:t>
            </w:r>
          </w:p>
        </w:tc>
      </w:tr>
      <w:tr>
        <w:trPr>
          <w:trHeight w:val="189"/>
        </w:trPr>
        <w:tc>
          <w:tcPr>
            <w:tcW w:w="62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Thereafter</w:t>
            </w:r>
          </w:p>
        </w:tc>
        <w:tc>
          <w:tcPr>
            <w:tcW w:w="1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1,129</w:t>
            </w:r>
          </w:p>
        </w:tc>
      </w:tr>
      <w:tr>
        <w:trPr>
          <w:trHeight w:val="183"/>
        </w:trPr>
        <w:tc>
          <w:tcPr>
            <w:tcW w:w="62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Total lease payments</w:t>
            </w:r>
          </w:p>
        </w:tc>
        <w:tc>
          <w:tcPr>
            <w:tcW w:w="16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3,889</w:t>
            </w:r>
          </w:p>
        </w:tc>
      </w:tr>
      <w:tr>
        <w:trPr>
          <w:trHeight w:val="189"/>
        </w:trPr>
        <w:tc>
          <w:tcPr>
            <w:tcW w:w="62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Less: Interest</w:t>
            </w:r>
          </w:p>
        </w:tc>
        <w:tc>
          <w:tcPr>
            <w:tcW w:w="1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693</w:t>
            </w:r>
          </w:p>
        </w:tc>
      </w:tr>
      <w:tr>
        <w:trPr>
          <w:trHeight w:val="183"/>
        </w:trPr>
        <w:tc>
          <w:tcPr>
            <w:tcW w:w="622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lease liabilities</w:t>
            </w:r>
          </w:p>
        </w:tc>
        <w:tc>
          <w:tcPr>
            <w:tcW w:w="1640" w:type="dxa"/>
            <w:vAlign w:val="bottom"/>
            <w:tcBorders>
              <w:bottom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3,196</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As of February 1, 2020, we signed operating leases primarily for retail stores that have not yet commenced; the total future undiscounted lease payments under these leases are $35 million.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of February 2, 2019, the estimated future minimum non-cancellable lease commitments were as follows: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9"/>
              </w:rPr>
              <w:t>in millions)</w:t>
            </w:r>
          </w:p>
        </w:tc>
      </w:tr>
      <w:tr>
        <w:trPr>
          <w:trHeight w:val="183"/>
        </w:trPr>
        <w:tc>
          <w:tcPr>
            <w:tcW w:w="4240" w:type="dxa"/>
            <w:vAlign w:val="bottom"/>
            <w:tcBorders>
              <w:top w:val="single" w:sz="8" w:color="auto"/>
            </w:tcBorders>
            <w:gridSpan w:val="2"/>
            <w:shd w:val="clear" w:color="auto" w:fill="CCEEFF"/>
          </w:tcPr>
          <w:p>
            <w:pPr>
              <w:ind w:left="20"/>
              <w:spacing w:after="0" w:line="183" w:lineRule="exact"/>
              <w:rPr>
                <w:sz w:val="20"/>
                <w:szCs w:val="20"/>
                <w:color w:val="auto"/>
              </w:rPr>
            </w:pPr>
            <w:r>
              <w:rPr>
                <w:rFonts w:ascii="Arial" w:cs="Arial" w:eastAsia="Arial" w:hAnsi="Arial"/>
                <w:sz w:val="17"/>
                <w:szCs w:val="17"/>
                <w:color w:val="auto"/>
              </w:rPr>
              <w:t>2019</w:t>
            </w:r>
          </w:p>
        </w:tc>
        <w:tc>
          <w:tcPr>
            <w:tcW w:w="4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672</w:t>
            </w:r>
          </w:p>
        </w:tc>
        <w:tc>
          <w:tcPr>
            <w:tcW w:w="20" w:type="dxa"/>
            <w:vAlign w:val="bottom"/>
          </w:tcPr>
          <w:p>
            <w:pPr>
              <w:spacing w:after="0"/>
              <w:rPr>
                <w:sz w:val="15"/>
                <w:szCs w:val="15"/>
                <w:color w:val="auto"/>
              </w:rPr>
            </w:pPr>
          </w:p>
        </w:tc>
      </w:tr>
      <w:tr>
        <w:trPr>
          <w:trHeight w:val="189"/>
        </w:trPr>
        <w:tc>
          <w:tcPr>
            <w:tcW w:w="424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2020</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631</w:t>
            </w:r>
          </w:p>
        </w:tc>
        <w:tc>
          <w:tcPr>
            <w:tcW w:w="20" w:type="dxa"/>
            <w:vAlign w:val="bottom"/>
          </w:tcPr>
          <w:p>
            <w:pPr>
              <w:spacing w:after="0"/>
              <w:rPr>
                <w:sz w:val="16"/>
                <w:szCs w:val="16"/>
                <w:color w:val="auto"/>
              </w:rPr>
            </w:pPr>
          </w:p>
        </w:tc>
      </w:tr>
      <w:tr>
        <w:trPr>
          <w:trHeight w:val="189"/>
        </w:trPr>
        <w:tc>
          <w:tcPr>
            <w:tcW w:w="42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2021</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583</w:t>
            </w:r>
          </w:p>
        </w:tc>
        <w:tc>
          <w:tcPr>
            <w:tcW w:w="20" w:type="dxa"/>
            <w:vAlign w:val="bottom"/>
          </w:tcPr>
          <w:p>
            <w:pPr>
              <w:spacing w:after="0"/>
              <w:rPr>
                <w:sz w:val="16"/>
                <w:szCs w:val="16"/>
                <w:color w:val="auto"/>
              </w:rPr>
            </w:pPr>
          </w:p>
        </w:tc>
      </w:tr>
      <w:tr>
        <w:trPr>
          <w:trHeight w:val="189"/>
        </w:trPr>
        <w:tc>
          <w:tcPr>
            <w:tcW w:w="424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2022</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527</w:t>
            </w:r>
          </w:p>
        </w:tc>
        <w:tc>
          <w:tcPr>
            <w:tcW w:w="20" w:type="dxa"/>
            <w:vAlign w:val="bottom"/>
          </w:tcPr>
          <w:p>
            <w:pPr>
              <w:spacing w:after="0"/>
              <w:rPr>
                <w:sz w:val="16"/>
                <w:szCs w:val="16"/>
                <w:color w:val="auto"/>
              </w:rPr>
            </w:pPr>
          </w:p>
        </w:tc>
      </w:tr>
      <w:tr>
        <w:trPr>
          <w:trHeight w:val="189"/>
        </w:trPr>
        <w:tc>
          <w:tcPr>
            <w:tcW w:w="42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2023</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456</w:t>
            </w:r>
          </w:p>
        </w:tc>
        <w:tc>
          <w:tcPr>
            <w:tcW w:w="20" w:type="dxa"/>
            <w:vAlign w:val="bottom"/>
          </w:tcPr>
          <w:p>
            <w:pPr>
              <w:spacing w:after="0"/>
              <w:rPr>
                <w:sz w:val="16"/>
                <w:szCs w:val="16"/>
                <w:color w:val="auto"/>
              </w:rPr>
            </w:pPr>
          </w:p>
        </w:tc>
      </w:tr>
      <w:tr>
        <w:trPr>
          <w:trHeight w:val="189"/>
        </w:trPr>
        <w:tc>
          <w:tcPr>
            <w:tcW w:w="4240" w:type="dxa"/>
            <w:vAlign w:val="bottom"/>
            <w:tcBorders>
              <w:bottom w:val="single" w:sz="8" w:color="auto"/>
            </w:tcBorders>
            <w:gridSpan w:val="2"/>
          </w:tcPr>
          <w:p>
            <w:pPr>
              <w:ind w:left="20"/>
              <w:spacing w:after="0" w:line="189" w:lineRule="exact"/>
              <w:rPr>
                <w:sz w:val="20"/>
                <w:szCs w:val="20"/>
                <w:color w:val="auto"/>
              </w:rPr>
            </w:pPr>
            <w:r>
              <w:rPr>
                <w:rFonts w:ascii="Arial" w:cs="Arial" w:eastAsia="Arial" w:hAnsi="Arial"/>
                <w:sz w:val="17"/>
                <w:szCs w:val="17"/>
                <w:color w:val="auto"/>
              </w:rPr>
              <w:t>Thereafter</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1,408</w:t>
            </w:r>
          </w:p>
        </w:tc>
        <w:tc>
          <w:tcPr>
            <w:tcW w:w="20" w:type="dxa"/>
            <w:vAlign w:val="bottom"/>
          </w:tcPr>
          <w:p>
            <w:pPr>
              <w:spacing w:after="0"/>
              <w:rPr>
                <w:sz w:val="16"/>
                <w:szCs w:val="16"/>
                <w:color w:val="auto"/>
              </w:rPr>
            </w:pPr>
          </w:p>
        </w:tc>
      </w:tr>
      <w:tr>
        <w:trPr>
          <w:trHeight w:val="183"/>
        </w:trPr>
        <w:tc>
          <w:tcPr>
            <w:tcW w:w="4240" w:type="dxa"/>
            <w:vAlign w:val="bottom"/>
            <w:tcBorders>
              <w:bottom w:val="single" w:sz="8" w:color="auto"/>
            </w:tcBorders>
            <w:gridSpan w:val="2"/>
            <w:shd w:val="clear" w:color="auto" w:fill="CCEEFF"/>
          </w:tcPr>
          <w:p>
            <w:pPr>
              <w:ind w:left="20"/>
              <w:spacing w:after="0" w:line="183" w:lineRule="exact"/>
              <w:rPr>
                <w:sz w:val="20"/>
                <w:szCs w:val="20"/>
                <w:color w:val="auto"/>
              </w:rPr>
            </w:pPr>
            <w:r>
              <w:rPr>
                <w:rFonts w:ascii="Arial" w:cs="Arial" w:eastAsia="Arial" w:hAnsi="Arial"/>
                <w:sz w:val="17"/>
                <w:szCs w:val="17"/>
                <w:color w:val="auto"/>
              </w:rPr>
              <w:t>Total operating lease commitments</w:t>
            </w:r>
          </w:p>
        </w:tc>
        <w:tc>
          <w:tcPr>
            <w:tcW w:w="4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4,277</w:t>
            </w:r>
          </w:p>
        </w:tc>
        <w:tc>
          <w:tcPr>
            <w:tcW w:w="20" w:type="dxa"/>
            <w:vAlign w:val="bottom"/>
          </w:tcPr>
          <w:p>
            <w:pPr>
              <w:spacing w:after="0"/>
              <w:rPr>
                <w:sz w:val="15"/>
                <w:szCs w:val="15"/>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7"/>
        </w:trPr>
        <w:tc>
          <w:tcPr>
            <w:tcW w:w="4240" w:type="dxa"/>
            <w:vAlign w:val="bottom"/>
            <w:gridSpan w:val="2"/>
          </w:tcPr>
          <w:p>
            <w:pPr>
              <w:ind w:left="20"/>
              <w:spacing w:after="0"/>
              <w:rPr>
                <w:sz w:val="20"/>
                <w:szCs w:val="20"/>
                <w:color w:val="auto"/>
              </w:rPr>
            </w:pPr>
            <w:r>
              <w:rPr>
                <w:rFonts w:ascii="Arial" w:cs="Arial" w:eastAsia="Arial" w:hAnsi="Arial"/>
                <w:sz w:val="17"/>
                <w:szCs w:val="17"/>
                <w:b w:val="1"/>
                <w:bCs w:val="1"/>
                <w:color w:val="auto"/>
              </w:rPr>
              <w:t>16. Accumulated Other Comprehensive Loss</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240" w:type="dxa"/>
            <w:vAlign w:val="bottom"/>
            <w:gridSpan w:val="2"/>
          </w:tcPr>
          <w:p>
            <w:pPr>
              <w:ind w:left="20"/>
              <w:spacing w:after="0"/>
              <w:rPr>
                <w:sz w:val="20"/>
                <w:szCs w:val="20"/>
                <w:color w:val="auto"/>
              </w:rPr>
            </w:pPr>
            <w:r>
              <w:rPr>
                <w:rFonts w:ascii="Arial" w:cs="Arial" w:eastAsia="Arial" w:hAnsi="Arial"/>
                <w:sz w:val="17"/>
                <w:szCs w:val="17"/>
                <w:color w:val="auto"/>
              </w:rPr>
              <w:t>AOCL, net of tax, is comprised of the following:</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2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2019</w:t>
            </w: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2018</w:t>
            </w:r>
          </w:p>
        </w:tc>
        <w:tc>
          <w:tcPr>
            <w:tcW w:w="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2017</w:t>
            </w:r>
          </w:p>
        </w:tc>
        <w:tc>
          <w:tcPr>
            <w:tcW w:w="20" w:type="dxa"/>
            <w:vAlign w:val="bottom"/>
            <w:tcBorders>
              <w:bottom w:val="single" w:sz="8" w:color="auto"/>
            </w:tcBorders>
          </w:tcPr>
          <w:p>
            <w:pPr>
              <w:spacing w:after="0"/>
              <w:rPr>
                <w:sz w:val="23"/>
                <w:szCs w:val="23"/>
                <w:color w:val="auto"/>
              </w:rPr>
            </w:pPr>
          </w:p>
        </w:tc>
      </w:tr>
      <w:tr>
        <w:trPr>
          <w:trHeight w:val="182"/>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155"/>
              <w:spacing w:after="0" w:line="183" w:lineRule="exact"/>
              <w:rPr>
                <w:sz w:val="20"/>
                <w:szCs w:val="20"/>
                <w:color w:val="auto"/>
              </w:rPr>
            </w:pPr>
            <w:r>
              <w:rPr>
                <w:rFonts w:ascii="Arial" w:cs="Arial" w:eastAsia="Arial" w:hAnsi="Arial"/>
                <w:sz w:val="17"/>
                <w:szCs w:val="17"/>
                <w:color w:val="auto"/>
              </w:rPr>
              <w:t>in millions)</w:t>
            </w: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currency translation adjustments</w:t>
            </w:r>
          </w:p>
        </w:tc>
        <w:tc>
          <w:tcPr>
            <w:tcW w:w="4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(104)</w:t>
            </w:r>
          </w:p>
        </w:tc>
        <w:tc>
          <w:tcPr>
            <w:tcW w:w="4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(84)</w:t>
            </w:r>
          </w:p>
        </w:tc>
        <w:tc>
          <w:tcPr>
            <w:tcW w:w="48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r>
      <w:tr>
        <w:trPr>
          <w:trHeight w:val="189"/>
        </w:trPr>
        <w:tc>
          <w:tcPr>
            <w:tcW w:w="20" w:type="dxa"/>
            <w:vAlign w:val="bottom"/>
          </w:tcPr>
          <w:p>
            <w:pPr>
              <w:spacing w:after="0"/>
              <w:rPr>
                <w:sz w:val="16"/>
                <w:szCs w:val="16"/>
                <w:color w:val="auto"/>
              </w:rPr>
            </w:pPr>
          </w:p>
        </w:tc>
        <w:tc>
          <w:tcPr>
            <w:tcW w:w="4220" w:type="dxa"/>
            <w:vAlign w:val="bottom"/>
          </w:tcPr>
          <w:p>
            <w:pPr>
              <w:spacing w:after="0" w:line="189" w:lineRule="exact"/>
              <w:rPr>
                <w:sz w:val="20"/>
                <w:szCs w:val="20"/>
                <w:color w:val="auto"/>
              </w:rPr>
            </w:pPr>
            <w:r>
              <w:rPr>
                <w:rFonts w:ascii="Arial" w:cs="Arial" w:eastAsia="Arial" w:hAnsi="Arial"/>
                <w:sz w:val="17"/>
                <w:szCs w:val="17"/>
                <w:color w:val="auto"/>
              </w:rPr>
              <w:t>Cash flow hedges</w:t>
            </w:r>
          </w:p>
        </w:tc>
        <w:tc>
          <w:tcPr>
            <w:tcW w:w="420" w:type="dxa"/>
            <w:vAlign w:val="bottom"/>
          </w:tcPr>
          <w:p>
            <w:pPr>
              <w:spacing w:after="0"/>
              <w:rPr>
                <w:sz w:val="16"/>
                <w:szCs w:val="16"/>
                <w:color w:val="auto"/>
              </w:rPr>
            </w:pPr>
          </w:p>
        </w:tc>
        <w:tc>
          <w:tcPr>
            <w:tcW w:w="11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(3)</w:t>
            </w:r>
          </w:p>
        </w:tc>
        <w:tc>
          <w:tcPr>
            <w:tcW w:w="480" w:type="dxa"/>
            <w:vAlign w:val="bottom"/>
          </w:tcPr>
          <w:p>
            <w:pPr>
              <w:spacing w:after="0"/>
              <w:rPr>
                <w:sz w:val="16"/>
                <w:szCs w:val="16"/>
                <w:color w:val="auto"/>
              </w:rPr>
            </w:pPr>
          </w:p>
        </w:tc>
        <w:tc>
          <w:tcPr>
            <w:tcW w:w="10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480" w:type="dxa"/>
            <w:vAlign w:val="bottom"/>
          </w:tcPr>
          <w:p>
            <w:pPr>
              <w:spacing w:after="0"/>
              <w:rPr>
                <w:sz w:val="16"/>
                <w:szCs w:val="16"/>
                <w:color w:val="auto"/>
              </w:rPr>
            </w:pPr>
          </w:p>
        </w:tc>
        <w:tc>
          <w:tcPr>
            <w:tcW w:w="10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4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Unrecognized pension cost and postretirement benefit</w:t>
            </w:r>
          </w:p>
        </w:tc>
        <w:tc>
          <w:tcPr>
            <w:tcW w:w="4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(287)</w:t>
            </w: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(286)</w:t>
            </w:r>
          </w:p>
        </w:tc>
        <w:tc>
          <w:tcPr>
            <w:tcW w:w="4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(270)</w:t>
            </w:r>
          </w:p>
        </w:tc>
      </w:tr>
      <w:tr>
        <w:trPr>
          <w:trHeight w:val="183"/>
        </w:trPr>
        <w:tc>
          <w:tcPr>
            <w:tcW w:w="20" w:type="dxa"/>
            <w:vAlign w:val="bottom"/>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(394)</w:t>
            </w:r>
          </w:p>
        </w:tc>
        <w:tc>
          <w:tcPr>
            <w:tcW w:w="48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(370)</w:t>
            </w:r>
          </w:p>
        </w:tc>
        <w:tc>
          <w:tcPr>
            <w:tcW w:w="48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7"/>
                <w:szCs w:val="17"/>
                <w:color w:val="auto"/>
              </w:rPr>
              <w:t>(279)</w:t>
            </w:r>
          </w:p>
        </w:tc>
      </w:tr>
      <w:tr>
        <w:trPr>
          <w:trHeight w:val="20"/>
        </w:trPr>
        <w:tc>
          <w:tcPr>
            <w:tcW w:w="2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changes in AOCL for the year ended February 1, 2020 were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135"/>
              <w:spacing w:after="0"/>
              <w:rPr>
                <w:sz w:val="20"/>
                <w:szCs w:val="20"/>
                <w:color w:val="auto"/>
              </w:rPr>
            </w:pPr>
            <w:r>
              <w:rPr>
                <w:rFonts w:ascii="Arial" w:cs="Arial" w:eastAsia="Arial" w:hAnsi="Arial"/>
                <w:sz w:val="17"/>
                <w:szCs w:val="17"/>
                <w:b w:val="1"/>
                <w:bCs w:val="1"/>
                <w:color w:val="auto"/>
                <w:w w:val="99"/>
              </w:rPr>
              <w:t>Foreign</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40" w:type="dxa"/>
            <w:vAlign w:val="bottom"/>
            <w:gridSpan w:val="2"/>
          </w:tcPr>
          <w:p>
            <w:pPr>
              <w:jc w:val="right"/>
              <w:ind w:right="75"/>
              <w:spacing w:after="0"/>
              <w:rPr>
                <w:sz w:val="20"/>
                <w:szCs w:val="20"/>
                <w:color w:val="auto"/>
              </w:rPr>
            </w:pPr>
            <w:r>
              <w:rPr>
                <w:rFonts w:ascii="Arial" w:cs="Arial" w:eastAsia="Arial" w:hAnsi="Arial"/>
                <w:sz w:val="17"/>
                <w:szCs w:val="17"/>
                <w:b w:val="1"/>
                <w:bCs w:val="1"/>
                <w:color w:val="auto"/>
              </w:rPr>
              <w:t>Items Related</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w w:val="99"/>
              </w:rPr>
              <w:t>Currency</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4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to Pension and</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4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8"/>
              </w:rPr>
              <w:t>Translation</w:t>
            </w:r>
          </w:p>
        </w:tc>
        <w:tc>
          <w:tcPr>
            <w:tcW w:w="1200" w:type="dxa"/>
            <w:vAlign w:val="bottom"/>
            <w:gridSpan w:val="2"/>
          </w:tcPr>
          <w:p>
            <w:pPr>
              <w:jc w:val="right"/>
              <w:ind w:right="95"/>
              <w:spacing w:after="0" w:line="189" w:lineRule="exact"/>
              <w:rPr>
                <w:sz w:val="20"/>
                <w:szCs w:val="20"/>
                <w:color w:val="auto"/>
              </w:rPr>
            </w:pPr>
            <w:r>
              <w:rPr>
                <w:rFonts w:ascii="Arial" w:cs="Arial" w:eastAsia="Arial" w:hAnsi="Arial"/>
                <w:sz w:val="17"/>
                <w:szCs w:val="17"/>
                <w:b w:val="1"/>
                <w:bCs w:val="1"/>
                <w:color w:val="auto"/>
              </w:rPr>
              <w:t>Cash Flow</w:t>
            </w:r>
          </w:p>
        </w:tc>
        <w:tc>
          <w:tcPr>
            <w:tcW w:w="144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Postretirement</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7"/>
                <w:szCs w:val="17"/>
                <w:color w:val="auto"/>
              </w:rPr>
              <w:t>($ in millions)</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b w:val="1"/>
                <w:bCs w:val="1"/>
                <w:color w:val="auto"/>
              </w:rPr>
              <w:t>Adjustments</w:t>
            </w:r>
          </w:p>
        </w:tc>
        <w:tc>
          <w:tcPr>
            <w:tcW w:w="24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Arial" w:cs="Arial" w:eastAsia="Arial" w:hAnsi="Arial"/>
                <w:sz w:val="17"/>
                <w:szCs w:val="17"/>
                <w:b w:val="1"/>
                <w:bCs w:val="1"/>
                <w:color w:val="auto"/>
              </w:rPr>
              <w:t>Hedges</w:t>
            </w:r>
          </w:p>
        </w:tc>
        <w:tc>
          <w:tcPr>
            <w:tcW w:w="300" w:type="dxa"/>
            <w:vAlign w:val="bottom"/>
          </w:tcPr>
          <w:p>
            <w:pPr>
              <w:spacing w:after="0"/>
              <w:rPr>
                <w:sz w:val="18"/>
                <w:szCs w:val="18"/>
                <w:color w:val="auto"/>
              </w:rPr>
            </w:pPr>
          </w:p>
        </w:tc>
        <w:tc>
          <w:tcPr>
            <w:tcW w:w="1140" w:type="dxa"/>
            <w:vAlign w:val="bottom"/>
          </w:tcPr>
          <w:p>
            <w:pPr>
              <w:jc w:val="right"/>
              <w:ind w:right="295"/>
              <w:spacing w:after="0"/>
              <w:rPr>
                <w:sz w:val="20"/>
                <w:szCs w:val="20"/>
                <w:color w:val="auto"/>
              </w:rPr>
            </w:pPr>
            <w:r>
              <w:rPr>
                <w:rFonts w:ascii="Arial" w:cs="Arial" w:eastAsia="Arial" w:hAnsi="Arial"/>
                <w:sz w:val="17"/>
                <w:szCs w:val="17"/>
                <w:b w:val="1"/>
                <w:bCs w:val="1"/>
                <w:color w:val="auto"/>
              </w:rPr>
              <w:t>Benefits</w:t>
            </w:r>
          </w:p>
        </w:tc>
        <w:tc>
          <w:tcPr>
            <w:tcW w:w="30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2"/>
        </w:trPr>
        <w:tc>
          <w:tcPr>
            <w:tcW w:w="382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February 2, 2019</w:t>
            </w:r>
          </w:p>
        </w:tc>
        <w:tc>
          <w:tcPr>
            <w:tcW w:w="3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(84)</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(286)</w:t>
            </w:r>
          </w:p>
        </w:tc>
        <w:tc>
          <w:tcPr>
            <w:tcW w:w="30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OCI before reclassification</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(20)</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line="189" w:lineRule="exact"/>
              <w:rPr>
                <w:sz w:val="20"/>
                <w:szCs w:val="20"/>
                <w:color w:val="auto"/>
              </w:rPr>
            </w:pPr>
            <w:r>
              <w:rPr>
                <w:rFonts w:ascii="Arial" w:cs="Arial" w:eastAsia="Arial" w:hAnsi="Arial"/>
                <w:sz w:val="17"/>
                <w:szCs w:val="17"/>
                <w:color w:val="auto"/>
              </w:rPr>
              <w:t>Amortization of pension actuarial loss, net of tax</w:t>
            </w:r>
          </w:p>
        </w:tc>
        <w:tc>
          <w:tcPr>
            <w:tcW w:w="30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9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8</w:t>
            </w:r>
          </w:p>
        </w:tc>
        <w:tc>
          <w:tcPr>
            <w:tcW w:w="3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Pension remeasurement, net of tax</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(9)</w:t>
            </w: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Other comprehensive income</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(20)</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(3)</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(1)</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2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Balance as of February 1, 2020</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(104)</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(3)</w:t>
            </w:r>
          </w:p>
        </w:tc>
        <w:tc>
          <w:tcPr>
            <w:tcW w:w="30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(287)</w:t>
            </w:r>
          </w:p>
        </w:tc>
        <w:tc>
          <w:tcPr>
            <w:tcW w:w="3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8255</wp:posOffset>
            </wp:positionV>
            <wp:extent cx="56489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7360" w:type="dxa"/>
            <w:vAlign w:val="bottom"/>
            <w:gridSpan w:val="6"/>
          </w:tcPr>
          <w:p>
            <w:pPr>
              <w:spacing w:after="0"/>
              <w:rPr>
                <w:sz w:val="20"/>
                <w:szCs w:val="20"/>
                <w:color w:val="auto"/>
              </w:rPr>
            </w:pPr>
            <w:r>
              <w:rPr>
                <w:rFonts w:ascii="Arial" w:cs="Arial" w:eastAsia="Arial" w:hAnsi="Arial"/>
                <w:sz w:val="17"/>
                <w:szCs w:val="17"/>
                <w:color w:val="auto"/>
              </w:rPr>
              <w:t>Reclassifications to income from AOCL for the year ended February 1, 2020 were as follows:</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55"/>
        </w:trPr>
        <w:tc>
          <w:tcPr>
            <w:tcW w:w="20" w:type="dxa"/>
            <w:vAlign w:val="bottom"/>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in millions)</w:t>
            </w:r>
          </w:p>
        </w:tc>
      </w:tr>
      <w:tr>
        <w:trPr>
          <w:trHeight w:val="183"/>
        </w:trPr>
        <w:tc>
          <w:tcPr>
            <w:tcW w:w="20" w:type="dxa"/>
            <w:vAlign w:val="bottom"/>
          </w:tcPr>
          <w:p>
            <w:pPr>
              <w:spacing w:after="0"/>
              <w:rPr>
                <w:sz w:val="15"/>
                <w:szCs w:val="15"/>
                <w:color w:val="auto"/>
              </w:rPr>
            </w:pPr>
          </w:p>
        </w:tc>
        <w:tc>
          <w:tcPr>
            <w:tcW w:w="4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Amortization of actuarial (gain) loss:</w:t>
            </w: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260" w:type="dxa"/>
            <w:vAlign w:val="bottom"/>
          </w:tcPr>
          <w:p>
            <w:pPr>
              <w:ind w:left="80"/>
              <w:spacing w:after="0" w:line="189" w:lineRule="exact"/>
              <w:rPr>
                <w:sz w:val="20"/>
                <w:szCs w:val="20"/>
                <w:color w:val="auto"/>
              </w:rPr>
            </w:pPr>
            <w:r>
              <w:rPr>
                <w:rFonts w:ascii="Arial" w:cs="Arial" w:eastAsia="Arial" w:hAnsi="Arial"/>
                <w:sz w:val="17"/>
                <w:szCs w:val="17"/>
                <w:color w:val="auto"/>
              </w:rPr>
              <w:t>Pension benefits- amortization of actuarial loss</w:t>
            </w: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12</w:t>
            </w:r>
          </w:p>
        </w:tc>
      </w:tr>
      <w:tr>
        <w:trPr>
          <w:trHeight w:val="189"/>
        </w:trPr>
        <w:tc>
          <w:tcPr>
            <w:tcW w:w="20" w:type="dxa"/>
            <w:vAlign w:val="bottom"/>
          </w:tcPr>
          <w:p>
            <w:pPr>
              <w:spacing w:after="0"/>
              <w:rPr>
                <w:sz w:val="16"/>
                <w:szCs w:val="16"/>
                <w:color w:val="auto"/>
              </w:rPr>
            </w:pPr>
          </w:p>
        </w:tc>
        <w:tc>
          <w:tcPr>
            <w:tcW w:w="426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Postretirement benefits- amortization of actuarial gain</w:t>
            </w:r>
          </w:p>
        </w:tc>
        <w:tc>
          <w:tcPr>
            <w:tcW w:w="4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w:t>
            </w:r>
          </w:p>
        </w:tc>
      </w:tr>
      <w:tr>
        <w:trPr>
          <w:trHeight w:val="183"/>
        </w:trPr>
        <w:tc>
          <w:tcPr>
            <w:tcW w:w="20" w:type="dxa"/>
            <w:vAlign w:val="bottom"/>
          </w:tcPr>
          <w:p>
            <w:pPr>
              <w:spacing w:after="0"/>
              <w:rPr>
                <w:sz w:val="15"/>
                <w:szCs w:val="15"/>
                <w:color w:val="auto"/>
              </w:rPr>
            </w:pPr>
          </w:p>
        </w:tc>
        <w:tc>
          <w:tcPr>
            <w:tcW w:w="4260" w:type="dxa"/>
            <w:vAlign w:val="bottom"/>
          </w:tcPr>
          <w:p>
            <w:pPr>
              <w:spacing w:after="0" w:line="183" w:lineRule="exact"/>
              <w:rPr>
                <w:sz w:val="20"/>
                <w:szCs w:val="20"/>
                <w:color w:val="auto"/>
              </w:rPr>
            </w:pPr>
            <w:r>
              <w:rPr>
                <w:rFonts w:ascii="Arial" w:cs="Arial" w:eastAsia="Arial" w:hAnsi="Arial"/>
                <w:sz w:val="17"/>
                <w:szCs w:val="17"/>
                <w:color w:val="auto"/>
              </w:rPr>
              <w:t>Net periodic benefit cost (see Note 20)</w:t>
            </w: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11</w:t>
            </w:r>
          </w:p>
        </w:tc>
      </w:tr>
      <w:tr>
        <w:trPr>
          <w:trHeight w:val="189"/>
        </w:trPr>
        <w:tc>
          <w:tcPr>
            <w:tcW w:w="20" w:type="dxa"/>
            <w:vAlign w:val="bottom"/>
          </w:tcPr>
          <w:p>
            <w:pPr>
              <w:spacing w:after="0"/>
              <w:rPr>
                <w:sz w:val="16"/>
                <w:szCs w:val="16"/>
                <w:color w:val="auto"/>
              </w:rPr>
            </w:pPr>
          </w:p>
        </w:tc>
        <w:tc>
          <w:tcPr>
            <w:tcW w:w="42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Income tax benefit</w:t>
            </w:r>
          </w:p>
        </w:tc>
        <w:tc>
          <w:tcPr>
            <w:tcW w:w="4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w:t>
            </w:r>
          </w:p>
        </w:tc>
      </w:tr>
      <w:tr>
        <w:trPr>
          <w:trHeight w:val="183"/>
        </w:trPr>
        <w:tc>
          <w:tcPr>
            <w:tcW w:w="2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net of tax</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15"/>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8</w:t>
            </w:r>
          </w:p>
        </w:tc>
      </w:tr>
      <w:tr>
        <w:trPr>
          <w:trHeight w:val="20"/>
        </w:trPr>
        <w:tc>
          <w:tcPr>
            <w:tcW w:w="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82"/>
        </w:trPr>
        <w:tc>
          <w:tcPr>
            <w:tcW w:w="4280" w:type="dxa"/>
            <w:vAlign w:val="bottom"/>
            <w:gridSpan w:val="2"/>
          </w:tcPr>
          <w:p>
            <w:pPr>
              <w:spacing w:after="0"/>
              <w:rPr>
                <w:sz w:val="20"/>
                <w:szCs w:val="20"/>
                <w:color w:val="auto"/>
              </w:rPr>
            </w:pPr>
            <w:r>
              <w:rPr>
                <w:rFonts w:ascii="Arial" w:cs="Arial" w:eastAsia="Arial" w:hAnsi="Arial"/>
                <w:sz w:val="17"/>
                <w:szCs w:val="17"/>
                <w:b w:val="1"/>
                <w:bCs w:val="1"/>
                <w:color w:val="auto"/>
              </w:rPr>
              <w:t>17. Income Taxes</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4"/>
        </w:trPr>
        <w:tc>
          <w:tcPr>
            <w:tcW w:w="5900" w:type="dxa"/>
            <w:vAlign w:val="bottom"/>
            <w:gridSpan w:val="4"/>
          </w:tcPr>
          <w:p>
            <w:pPr>
              <w:spacing w:after="0"/>
              <w:rPr>
                <w:sz w:val="20"/>
                <w:szCs w:val="20"/>
                <w:color w:val="auto"/>
              </w:rPr>
            </w:pPr>
            <w:r>
              <w:rPr>
                <w:rFonts w:ascii="Arial" w:cs="Arial" w:eastAsia="Arial" w:hAnsi="Arial"/>
                <w:sz w:val="17"/>
                <w:szCs w:val="17"/>
                <w:color w:val="auto"/>
              </w:rPr>
              <w:t>The domestic and international components of pre-tax income are as follows: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8"/>
        </w:trPr>
        <w:tc>
          <w:tcPr>
            <w:tcW w:w="20" w:type="dxa"/>
            <w:vAlign w:val="bottom"/>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2019</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2018</w:t>
            </w: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2017</w:t>
            </w:r>
          </w:p>
        </w:tc>
      </w:tr>
      <w:tr>
        <w:trPr>
          <w:trHeight w:val="18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115"/>
              <w:spacing w:after="0" w:line="183" w:lineRule="exact"/>
              <w:rPr>
                <w:sz w:val="20"/>
                <w:szCs w:val="20"/>
                <w:color w:val="auto"/>
              </w:rPr>
            </w:pPr>
            <w:r>
              <w:rPr>
                <w:rFonts w:ascii="Arial" w:cs="Arial" w:eastAsia="Arial" w:hAnsi="Arial"/>
                <w:sz w:val="17"/>
                <w:szCs w:val="17"/>
                <w:color w:val="auto"/>
              </w:rPr>
              <w:t>in millions)</w:t>
            </w: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Domestic</w:t>
            </w:r>
          </w:p>
        </w:tc>
        <w:tc>
          <w:tcPr>
            <w:tcW w:w="4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591</w:t>
            </w:r>
          </w:p>
        </w:tc>
        <w:tc>
          <w:tcPr>
            <w:tcW w:w="4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629</w:t>
            </w:r>
          </w:p>
        </w:tc>
        <w:tc>
          <w:tcPr>
            <w:tcW w:w="4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432</w:t>
            </w:r>
          </w:p>
        </w:tc>
      </w:tr>
      <w:tr>
        <w:trPr>
          <w:trHeight w:val="189"/>
        </w:trPr>
        <w:tc>
          <w:tcPr>
            <w:tcW w:w="20" w:type="dxa"/>
            <w:vAlign w:val="bottom"/>
          </w:tcPr>
          <w:p>
            <w:pPr>
              <w:spacing w:after="0"/>
              <w:rPr>
                <w:sz w:val="16"/>
                <w:szCs w:val="16"/>
                <w:color w:val="auto"/>
              </w:rPr>
            </w:pPr>
          </w:p>
        </w:tc>
        <w:tc>
          <w:tcPr>
            <w:tcW w:w="42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International</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81</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84</w:t>
            </w: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146</w:t>
            </w:r>
          </w:p>
        </w:tc>
      </w:tr>
      <w:tr>
        <w:trPr>
          <w:trHeight w:val="183"/>
        </w:trPr>
        <w:tc>
          <w:tcPr>
            <w:tcW w:w="20" w:type="dxa"/>
            <w:vAlign w:val="bottom"/>
          </w:tcPr>
          <w:p>
            <w:pPr>
              <w:spacing w:after="0"/>
              <w:rPr>
                <w:sz w:val="15"/>
                <w:szCs w:val="15"/>
                <w:color w:val="auto"/>
              </w:rPr>
            </w:pPr>
          </w:p>
        </w:tc>
        <w:tc>
          <w:tcPr>
            <w:tcW w:w="42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pre-tax income</w:t>
            </w:r>
          </w:p>
        </w:tc>
        <w:tc>
          <w:tcPr>
            <w:tcW w:w="4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672</w:t>
            </w:r>
          </w:p>
        </w:tc>
        <w:tc>
          <w:tcPr>
            <w:tcW w:w="42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713</w:t>
            </w:r>
          </w:p>
        </w:tc>
        <w:tc>
          <w:tcPr>
            <w:tcW w:w="48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578</w:t>
            </w:r>
          </w:p>
        </w:tc>
      </w:tr>
      <w:tr>
        <w:trPr>
          <w:trHeight w:val="20"/>
        </w:trPr>
        <w:tc>
          <w:tcPr>
            <w:tcW w:w="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Domestic pre-tax income includes the results of non-U.S. businesses that are operated in branches owned directly by the U.S. which, therefore, are subject to U.S. income tax.</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4100" w:type="dxa"/>
            <w:vAlign w:val="bottom"/>
            <w:gridSpan w:val="2"/>
          </w:tcPr>
          <w:p>
            <w:pPr>
              <w:spacing w:after="0"/>
              <w:rPr>
                <w:sz w:val="20"/>
                <w:szCs w:val="20"/>
                <w:color w:val="auto"/>
              </w:rPr>
            </w:pPr>
            <w:r>
              <w:rPr>
                <w:rFonts w:ascii="Arial" w:cs="Arial" w:eastAsia="Arial" w:hAnsi="Arial"/>
                <w:sz w:val="17"/>
                <w:szCs w:val="17"/>
                <w:color w:val="auto"/>
              </w:rPr>
              <w:t>The income tax provision consists of the following:</w:t>
            </w: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55"/>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2018</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2017</w:t>
            </w:r>
          </w:p>
        </w:tc>
      </w:tr>
      <w:tr>
        <w:trPr>
          <w:trHeight w:val="183"/>
        </w:trPr>
        <w:tc>
          <w:tcPr>
            <w:tcW w:w="20" w:type="dxa"/>
            <w:vAlign w:val="bottom"/>
          </w:tcPr>
          <w:p>
            <w:pPr>
              <w:spacing w:after="0"/>
              <w:rPr>
                <w:sz w:val="15"/>
                <w:szCs w:val="15"/>
                <w:color w:val="auto"/>
              </w:rPr>
            </w:pPr>
          </w:p>
        </w:tc>
        <w:tc>
          <w:tcPr>
            <w:tcW w:w="4080" w:type="dxa"/>
            <w:vAlign w:val="bottom"/>
          </w:tcPr>
          <w:p>
            <w:pPr>
              <w:spacing w:after="0" w:line="183" w:lineRule="exact"/>
              <w:rPr>
                <w:sz w:val="20"/>
                <w:szCs w:val="20"/>
                <w:color w:val="auto"/>
              </w:rPr>
            </w:pPr>
            <w:r>
              <w:rPr>
                <w:rFonts w:ascii="Arial" w:cs="Arial" w:eastAsia="Arial" w:hAnsi="Arial"/>
                <w:sz w:val="17"/>
                <w:szCs w:val="17"/>
                <w:b w:val="1"/>
                <w:bCs w:val="1"/>
                <w:color w:val="auto"/>
              </w:rPr>
              <w:t>Current:</w:t>
            </w: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Pr>
          <w:p>
            <w:pPr>
              <w:jc w:val="right"/>
              <w:ind w:right="195"/>
              <w:spacing w:after="0" w:line="183" w:lineRule="exact"/>
              <w:rPr>
                <w:sz w:val="20"/>
                <w:szCs w:val="20"/>
                <w:color w:val="auto"/>
              </w:rPr>
            </w:pPr>
            <w:r>
              <w:rPr>
                <w:rFonts w:ascii="Arial" w:cs="Arial" w:eastAsia="Arial" w:hAnsi="Arial"/>
                <w:sz w:val="17"/>
                <w:szCs w:val="17"/>
                <w:color w:val="auto"/>
              </w:rPr>
              <w:t>in millions)</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Federal</w:t>
            </w:r>
          </w:p>
        </w:tc>
        <w:tc>
          <w:tcPr>
            <w:tcW w:w="1240" w:type="dxa"/>
            <w:vAlign w:val="bottom"/>
            <w:shd w:val="clear" w:color="auto" w:fill="CCEEFF"/>
          </w:tcPr>
          <w:p>
            <w:pPr>
              <w:jc w:val="right"/>
              <w:ind w:right="755"/>
              <w:spacing w:after="0" w:line="189" w:lineRule="exact"/>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106</w:t>
            </w:r>
          </w:p>
        </w:tc>
        <w:tc>
          <w:tcPr>
            <w:tcW w:w="4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91</w:t>
            </w:r>
          </w:p>
        </w:tc>
        <w:tc>
          <w:tcPr>
            <w:tcW w:w="4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129</w:t>
            </w:r>
          </w:p>
        </w:tc>
      </w:tr>
      <w:tr>
        <w:trPr>
          <w:trHeight w:val="189"/>
        </w:trPr>
        <w:tc>
          <w:tcPr>
            <w:tcW w:w="20" w:type="dxa"/>
            <w:vAlign w:val="bottom"/>
          </w:tcPr>
          <w:p>
            <w:pPr>
              <w:spacing w:after="0"/>
              <w:rPr>
                <w:sz w:val="16"/>
                <w:szCs w:val="16"/>
                <w:color w:val="auto"/>
              </w:rPr>
            </w:pPr>
          </w:p>
        </w:tc>
        <w:tc>
          <w:tcPr>
            <w:tcW w:w="4080" w:type="dxa"/>
            <w:vAlign w:val="bottom"/>
          </w:tcPr>
          <w:p>
            <w:pPr>
              <w:ind w:left="80"/>
              <w:spacing w:after="0" w:line="189" w:lineRule="exact"/>
              <w:rPr>
                <w:sz w:val="20"/>
                <w:szCs w:val="20"/>
                <w:color w:val="auto"/>
              </w:rPr>
            </w:pPr>
            <w:r>
              <w:rPr>
                <w:rFonts w:ascii="Arial" w:cs="Arial" w:eastAsia="Arial" w:hAnsi="Arial"/>
                <w:sz w:val="17"/>
                <w:szCs w:val="17"/>
                <w:color w:val="auto"/>
              </w:rPr>
              <w:t>State and local</w:t>
            </w:r>
          </w:p>
        </w:tc>
        <w:tc>
          <w:tcPr>
            <w:tcW w:w="1240" w:type="dxa"/>
            <w:vAlign w:val="bottom"/>
          </w:tcPr>
          <w:p>
            <w:pPr>
              <w:spacing w:after="0"/>
              <w:rPr>
                <w:sz w:val="16"/>
                <w:szCs w:val="16"/>
                <w:color w:val="auto"/>
              </w:rPr>
            </w:pPr>
          </w:p>
        </w:tc>
        <w:tc>
          <w:tcPr>
            <w:tcW w:w="5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39</w:t>
            </w:r>
          </w:p>
        </w:tc>
        <w:tc>
          <w:tcPr>
            <w:tcW w:w="460" w:type="dxa"/>
            <w:vAlign w:val="bottom"/>
          </w:tcPr>
          <w:p>
            <w:pPr>
              <w:spacing w:after="0"/>
              <w:rPr>
                <w:sz w:val="16"/>
                <w:szCs w:val="16"/>
                <w:color w:val="auto"/>
              </w:rPr>
            </w:pP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42</w:t>
            </w:r>
          </w:p>
        </w:tc>
        <w:tc>
          <w:tcPr>
            <w:tcW w:w="4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18</w:t>
            </w:r>
          </w:p>
        </w:tc>
      </w:tr>
      <w:tr>
        <w:trPr>
          <w:trHeight w:val="189"/>
        </w:trPr>
        <w:tc>
          <w:tcPr>
            <w:tcW w:w="20" w:type="dxa"/>
            <w:vAlign w:val="bottom"/>
          </w:tcPr>
          <w:p>
            <w:pPr>
              <w:spacing w:after="0"/>
              <w:rPr>
                <w:sz w:val="16"/>
                <w:szCs w:val="16"/>
                <w:color w:val="auto"/>
              </w:rPr>
            </w:pPr>
          </w:p>
        </w:tc>
        <w:tc>
          <w:tcPr>
            <w:tcW w:w="408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International</w:t>
            </w:r>
          </w:p>
        </w:tc>
        <w:tc>
          <w:tcPr>
            <w:tcW w:w="12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31</w:t>
            </w:r>
          </w:p>
        </w:tc>
        <w:tc>
          <w:tcPr>
            <w:tcW w:w="4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30</w:t>
            </w:r>
          </w:p>
        </w:tc>
        <w:tc>
          <w:tcPr>
            <w:tcW w:w="4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42</w:t>
            </w:r>
          </w:p>
        </w:tc>
      </w:tr>
      <w:tr>
        <w:trPr>
          <w:trHeight w:val="183"/>
        </w:trPr>
        <w:tc>
          <w:tcPr>
            <w:tcW w:w="20" w:type="dxa"/>
            <w:vAlign w:val="bottom"/>
          </w:tcPr>
          <w:p>
            <w:pPr>
              <w:spacing w:after="0"/>
              <w:rPr>
                <w:sz w:val="15"/>
                <w:szCs w:val="15"/>
                <w:color w:val="auto"/>
              </w:rPr>
            </w:pPr>
          </w:p>
        </w:tc>
        <w:tc>
          <w:tcPr>
            <w:tcW w:w="40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current tax provision</w:t>
            </w:r>
          </w:p>
        </w:tc>
        <w:tc>
          <w:tcPr>
            <w:tcW w:w="1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176</w:t>
            </w: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163</w:t>
            </w: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189</w:t>
            </w:r>
          </w:p>
        </w:tc>
      </w:tr>
      <w:tr>
        <w:trPr>
          <w:trHeight w:val="183"/>
        </w:trPr>
        <w:tc>
          <w:tcPr>
            <w:tcW w:w="20" w:type="dxa"/>
            <w:vAlign w:val="bottom"/>
          </w:tcPr>
          <w:p>
            <w:pPr>
              <w:spacing w:after="0"/>
              <w:rPr>
                <w:sz w:val="15"/>
                <w:szCs w:val="15"/>
                <w:color w:val="auto"/>
              </w:rPr>
            </w:pPr>
          </w:p>
        </w:tc>
        <w:tc>
          <w:tcPr>
            <w:tcW w:w="408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Deferred:</w:t>
            </w: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80"/>
              <w:spacing w:after="0" w:line="189" w:lineRule="exact"/>
              <w:rPr>
                <w:sz w:val="20"/>
                <w:szCs w:val="20"/>
                <w:color w:val="auto"/>
              </w:rPr>
            </w:pPr>
            <w:r>
              <w:rPr>
                <w:rFonts w:ascii="Arial" w:cs="Arial" w:eastAsia="Arial" w:hAnsi="Arial"/>
                <w:sz w:val="17"/>
                <w:szCs w:val="17"/>
                <w:color w:val="auto"/>
              </w:rPr>
              <w:t>Federal</w:t>
            </w:r>
          </w:p>
        </w:tc>
        <w:tc>
          <w:tcPr>
            <w:tcW w:w="1240" w:type="dxa"/>
            <w:vAlign w:val="bottom"/>
          </w:tcPr>
          <w:p>
            <w:pPr>
              <w:spacing w:after="0"/>
              <w:rPr>
                <w:sz w:val="16"/>
                <w:szCs w:val="16"/>
                <w:color w:val="auto"/>
              </w:rPr>
            </w:pPr>
          </w:p>
        </w:tc>
        <w:tc>
          <w:tcPr>
            <w:tcW w:w="52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46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w:t>
            </w:r>
          </w:p>
        </w:tc>
        <w:tc>
          <w:tcPr>
            <w:tcW w:w="4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98</w:t>
            </w: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State and local</w:t>
            </w:r>
          </w:p>
        </w:tc>
        <w:tc>
          <w:tcPr>
            <w:tcW w:w="12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w:t>
            </w: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r>
      <w:tr>
        <w:trPr>
          <w:trHeight w:val="189"/>
        </w:trPr>
        <w:tc>
          <w:tcPr>
            <w:tcW w:w="20" w:type="dxa"/>
            <w:vAlign w:val="bottom"/>
          </w:tcPr>
          <w:p>
            <w:pPr>
              <w:spacing w:after="0"/>
              <w:rPr>
                <w:sz w:val="16"/>
                <w:szCs w:val="16"/>
                <w:color w:val="auto"/>
              </w:rPr>
            </w:pPr>
          </w:p>
        </w:tc>
        <w:tc>
          <w:tcPr>
            <w:tcW w:w="408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International</w:t>
            </w:r>
          </w:p>
        </w:tc>
        <w:tc>
          <w:tcPr>
            <w:tcW w:w="1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6</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12</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3"/>
        </w:trPr>
        <w:tc>
          <w:tcPr>
            <w:tcW w:w="20" w:type="dxa"/>
            <w:vAlign w:val="bottom"/>
          </w:tcPr>
          <w:p>
            <w:pPr>
              <w:spacing w:after="0"/>
              <w:rPr>
                <w:sz w:val="15"/>
                <w:szCs w:val="15"/>
                <w:color w:val="auto"/>
              </w:rPr>
            </w:pPr>
          </w:p>
        </w:tc>
        <w:tc>
          <w:tcPr>
            <w:tcW w:w="40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deferred tax provision</w:t>
            </w:r>
          </w:p>
        </w:tc>
        <w:tc>
          <w:tcPr>
            <w:tcW w:w="12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w:t>
            </w: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9</w:t>
            </w:r>
          </w:p>
        </w:tc>
        <w:tc>
          <w:tcPr>
            <w:tcW w:w="4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105</w:t>
            </w:r>
          </w:p>
        </w:tc>
      </w:tr>
      <w:tr>
        <w:trPr>
          <w:trHeight w:val="183"/>
        </w:trPr>
        <w:tc>
          <w:tcPr>
            <w:tcW w:w="2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Total income tax provision</w:t>
            </w:r>
          </w:p>
        </w:tc>
        <w:tc>
          <w:tcPr>
            <w:tcW w:w="1240" w:type="dxa"/>
            <w:vAlign w:val="bottom"/>
            <w:tcBorders>
              <w:bottom w:val="single" w:sz="8" w:color="auto"/>
            </w:tcBorders>
          </w:tcPr>
          <w:p>
            <w:pPr>
              <w:jc w:val="right"/>
              <w:ind w:right="75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181</w:t>
            </w:r>
          </w:p>
        </w:tc>
        <w:tc>
          <w:tcPr>
            <w:tcW w:w="46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172</w:t>
            </w:r>
          </w:p>
        </w:tc>
        <w:tc>
          <w:tcPr>
            <w:tcW w:w="40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294</w:t>
            </w:r>
          </w:p>
        </w:tc>
      </w:tr>
      <w:tr>
        <w:trPr>
          <w:trHeight w:val="20"/>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60" w:right="59"/>
        <w:spacing w:after="0"/>
        <w:rPr>
          <w:sz w:val="20"/>
          <w:szCs w:val="20"/>
          <w:color w:val="auto"/>
        </w:rPr>
      </w:pPr>
      <w:r>
        <w:rPr>
          <w:rFonts w:ascii="Arial" w:cs="Arial" w:eastAsia="Arial" w:hAnsi="Arial"/>
          <w:sz w:val="17"/>
          <w:szCs w:val="17"/>
          <w:color w:val="auto"/>
        </w:rPr>
        <w:t>Public Law 115-97, informally known as the Tax Cuts and Jobs Act (the “Tax Act”), was enacted on December 22, 2017. The Tax Act lowered the U.S. statutory income tax rate from 35 percent to 21 percent, imposed a one-time transition tax on our foreign earnings, which previously had been deferred from U.S. income tax, and created a modified territorial system. During the fourth quarter of 2017, we recognized a $99 million provisional charge for the mandatory deemed repatriation of foreign sourced net earnings and a corresponding change in the permanent reinvestment assertion under ASC 740-30. During 2018, we finalized our assessment of the income tax effects of the Tax Act and included measurement period adjustments that reduced the provisional amounts by $28 million.</w:t>
      </w:r>
    </w:p>
    <w:p>
      <w:pPr>
        <w:spacing w:after="0" w:line="31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Tax Act included a provision effective in 2018 to tax global intangible low-taxed income (“GILTI”) of our foreign subsidiaries. We treat GILTI tax as a current period expense. The GILTI tax expense for 2019 and 2018 was not significant.</w:t>
      </w:r>
    </w:p>
    <w:p>
      <w:pPr>
        <w:spacing w:after="0" w:line="200" w:lineRule="exact"/>
        <w:rPr>
          <w:sz w:val="20"/>
          <w:szCs w:val="20"/>
          <w:color w:val="auto"/>
        </w:rPr>
      </w:pPr>
    </w:p>
    <w:p>
      <w:pPr>
        <w:spacing w:after="0" w:line="27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Following enactment of the Tax Act and the one-time transition tax, our historical foreign earnings are not subject to additional U.S. federal tax upon repatriation. Further, no additional U.S. federal tax will be due upon repatriation of current foreign earnings because they are either exempt or subject to U.S. tax as earned. At February 1, 2020, we had accumulated undistributed foreign earnings of approximately $704 million. This amount consists of historical earnings that were previously taxed under the Tax Act and post-Tax Act earnings. Investments in our foreign subsidiaries, including working capital, will continue to be permanently reinvested. Cash balances in excess of working capital needs are considered to be available for repatriation to the United States and foreign withholding taxes will be accrued as necessary on these amounts. We have not recorded a deferred tax liability for the difference between the financial statement carrying amount and the tax basis of our investments in foreign subsidiaries. The determination of any unrecorded deferred tax liability on this amount is not practicable due to the uncertainty of how these investments would be recovered.</w:t>
      </w:r>
    </w:p>
    <w:p>
      <w:pPr>
        <w:spacing w:after="0" w:line="127"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A reconciliation of the significant differences between the federal statutory income tax rate and the effective income tax rate on pre-tax income is as follows:</w:t>
      </w: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36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2019</w:t>
            </w:r>
          </w:p>
        </w:tc>
        <w:tc>
          <w:tcPr>
            <w:tcW w:w="1440" w:type="dxa"/>
            <w:vAlign w:val="bottom"/>
          </w:tcPr>
          <w:p>
            <w:pPr>
              <w:jc w:val="right"/>
              <w:spacing w:after="0"/>
              <w:rPr>
                <w:sz w:val="20"/>
                <w:szCs w:val="20"/>
                <w:color w:val="auto"/>
              </w:rPr>
            </w:pPr>
            <w:r>
              <w:rPr>
                <w:rFonts w:ascii="Arial" w:cs="Arial" w:eastAsia="Arial" w:hAnsi="Arial"/>
                <w:sz w:val="17"/>
                <w:szCs w:val="17"/>
                <w:color w:val="auto"/>
              </w:rPr>
              <w:t>2018</w:t>
            </w:r>
          </w:p>
        </w:tc>
        <w:tc>
          <w:tcPr>
            <w:tcW w:w="800" w:type="dxa"/>
            <w:vAlign w:val="bottom"/>
          </w:tcPr>
          <w:p>
            <w:pPr>
              <w:spacing w:after="0"/>
              <w:rPr>
                <w:sz w:val="18"/>
                <w:szCs w:val="18"/>
                <w:color w:val="auto"/>
              </w:rPr>
            </w:pPr>
          </w:p>
        </w:tc>
        <w:tc>
          <w:tcPr>
            <w:tcW w:w="1300" w:type="dxa"/>
            <w:vAlign w:val="bottom"/>
          </w:tcPr>
          <w:p>
            <w:pPr>
              <w:jc w:val="right"/>
              <w:ind w:right="575"/>
              <w:spacing w:after="0"/>
              <w:rPr>
                <w:sz w:val="20"/>
                <w:szCs w:val="20"/>
                <w:color w:val="auto"/>
              </w:rPr>
            </w:pPr>
            <w:r>
              <w:rPr>
                <w:rFonts w:ascii="Arial" w:cs="Arial" w:eastAsia="Arial" w:hAnsi="Arial"/>
                <w:sz w:val="17"/>
                <w:szCs w:val="17"/>
                <w:color w:val="auto"/>
              </w:rPr>
              <w:t>2017</w:t>
            </w:r>
          </w:p>
        </w:tc>
      </w:tr>
      <w:tr>
        <w:trPr>
          <w:trHeight w:val="183"/>
        </w:trPr>
        <w:tc>
          <w:tcPr>
            <w:tcW w:w="20" w:type="dxa"/>
            <w:vAlign w:val="bottom"/>
          </w:tcPr>
          <w:p>
            <w:pPr>
              <w:spacing w:after="0"/>
              <w:rPr>
                <w:sz w:val="15"/>
                <w:szCs w:val="15"/>
                <w:color w:val="auto"/>
              </w:rPr>
            </w:pPr>
          </w:p>
        </w:tc>
        <w:tc>
          <w:tcPr>
            <w:tcW w:w="53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5"/>
                <w:szCs w:val="15"/>
                <w:color w:val="auto"/>
              </w:rPr>
              <w:t xml:space="preserve">Federal statutory income tax rate </w:t>
            </w:r>
            <w:r>
              <w:rPr>
                <w:rFonts w:ascii="Arial" w:cs="Arial" w:eastAsia="Arial" w:hAnsi="Arial"/>
                <w:sz w:val="21"/>
                <w:szCs w:val="21"/>
                <w:color w:val="auto"/>
                <w:vertAlign w:val="superscript"/>
              </w:rPr>
              <w:t>(1)</w:t>
            </w:r>
          </w:p>
        </w:tc>
        <w:tc>
          <w:tcPr>
            <w:tcW w:w="1440" w:type="dxa"/>
            <w:vAlign w:val="bottom"/>
            <w:tcBorders>
              <w:top w:val="single" w:sz="8" w:color="auto"/>
            </w:tcBorders>
            <w:shd w:val="clear" w:color="auto" w:fill="CCEEFF"/>
          </w:tcPr>
          <w:p>
            <w:pPr>
              <w:jc w:val="right"/>
              <w:ind w:right="795"/>
              <w:spacing w:after="0" w:line="183" w:lineRule="exact"/>
              <w:rPr>
                <w:sz w:val="20"/>
                <w:szCs w:val="20"/>
                <w:color w:val="auto"/>
              </w:rPr>
            </w:pPr>
            <w:r>
              <w:rPr>
                <w:rFonts w:ascii="Arial" w:cs="Arial" w:eastAsia="Arial" w:hAnsi="Arial"/>
                <w:sz w:val="17"/>
                <w:szCs w:val="17"/>
                <w:b w:val="1"/>
                <w:bCs w:val="1"/>
                <w:color w:val="auto"/>
              </w:rPr>
              <w:t>21.0 %</w:t>
            </w:r>
          </w:p>
        </w:tc>
        <w:tc>
          <w:tcPr>
            <w:tcW w:w="800" w:type="dxa"/>
            <w:vAlign w:val="bottom"/>
            <w:tcBorders>
              <w:top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w w:val="98"/>
              </w:rPr>
              <w:t>21.0 %</w:t>
            </w:r>
          </w:p>
        </w:tc>
        <w:tc>
          <w:tcPr>
            <w:tcW w:w="130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33.7 %</w:t>
            </w:r>
          </w:p>
        </w:tc>
      </w:tr>
      <w:tr>
        <w:trPr>
          <w:trHeight w:val="189"/>
        </w:trPr>
        <w:tc>
          <w:tcPr>
            <w:tcW w:w="20" w:type="dxa"/>
            <w:vAlign w:val="bottom"/>
          </w:tcPr>
          <w:p>
            <w:pPr>
              <w:spacing w:after="0"/>
              <w:rPr>
                <w:sz w:val="16"/>
                <w:szCs w:val="16"/>
                <w:color w:val="auto"/>
              </w:rPr>
            </w:pPr>
          </w:p>
        </w:tc>
        <w:tc>
          <w:tcPr>
            <w:tcW w:w="5340" w:type="dxa"/>
            <w:vAlign w:val="bottom"/>
          </w:tcPr>
          <w:p>
            <w:pPr>
              <w:spacing w:after="0" w:line="189" w:lineRule="exact"/>
              <w:rPr>
                <w:sz w:val="20"/>
                <w:szCs w:val="20"/>
                <w:color w:val="auto"/>
              </w:rPr>
            </w:pPr>
            <w:r>
              <w:rPr>
                <w:rFonts w:ascii="Arial" w:cs="Arial" w:eastAsia="Arial" w:hAnsi="Arial"/>
                <w:sz w:val="17"/>
                <w:szCs w:val="17"/>
                <w:color w:val="auto"/>
              </w:rPr>
              <w:t>Deemed repatriation tax</w:t>
            </w:r>
          </w:p>
        </w:tc>
        <w:tc>
          <w:tcPr>
            <w:tcW w:w="1440" w:type="dxa"/>
            <w:vAlign w:val="bottom"/>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line="189" w:lineRule="exact"/>
              <w:rPr>
                <w:sz w:val="20"/>
                <w:szCs w:val="20"/>
                <w:color w:val="auto"/>
              </w:rPr>
            </w:pPr>
            <w:r>
              <w:rPr>
                <w:rFonts w:ascii="Arial" w:cs="Arial" w:eastAsia="Arial" w:hAnsi="Arial"/>
                <w:sz w:val="17"/>
                <w:szCs w:val="17"/>
                <w:color w:val="auto"/>
              </w:rPr>
              <w:t>(2.7)</w:t>
            </w:r>
          </w:p>
        </w:tc>
        <w:tc>
          <w:tcPr>
            <w:tcW w:w="130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17.1</w:t>
            </w: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Increase in valuation allowance</w:t>
            </w:r>
          </w:p>
        </w:tc>
        <w:tc>
          <w:tcPr>
            <w:tcW w:w="1440" w:type="dxa"/>
            <w:vAlign w:val="bottom"/>
            <w:shd w:val="clear" w:color="auto" w:fill="CCEEFF"/>
          </w:tcPr>
          <w:p>
            <w:pPr>
              <w:jc w:val="right"/>
              <w:ind w:right="1015"/>
              <w:spacing w:after="0" w:line="189" w:lineRule="exact"/>
              <w:rPr>
                <w:sz w:val="20"/>
                <w:szCs w:val="20"/>
                <w:color w:val="auto"/>
              </w:rPr>
            </w:pPr>
            <w:r>
              <w:rPr>
                <w:rFonts w:ascii="Arial" w:cs="Arial" w:eastAsia="Arial" w:hAnsi="Arial"/>
                <w:sz w:val="17"/>
                <w:szCs w:val="17"/>
                <w:b w:val="1"/>
                <w:bCs w:val="1"/>
                <w:color w:val="auto"/>
              </w:rPr>
              <w:t>1.0</w:t>
            </w:r>
          </w:p>
        </w:tc>
        <w:tc>
          <w:tcPr>
            <w:tcW w:w="80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2.4</w:t>
            </w:r>
          </w:p>
        </w:tc>
        <w:tc>
          <w:tcPr>
            <w:tcW w:w="1300" w:type="dxa"/>
            <w:vAlign w:val="bottom"/>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1.6</w:t>
            </w:r>
          </w:p>
        </w:tc>
      </w:tr>
      <w:tr>
        <w:trPr>
          <w:trHeight w:val="189"/>
        </w:trPr>
        <w:tc>
          <w:tcPr>
            <w:tcW w:w="20" w:type="dxa"/>
            <w:vAlign w:val="bottom"/>
          </w:tcPr>
          <w:p>
            <w:pPr>
              <w:spacing w:after="0"/>
              <w:rPr>
                <w:sz w:val="16"/>
                <w:szCs w:val="16"/>
                <w:color w:val="auto"/>
              </w:rPr>
            </w:pPr>
          </w:p>
        </w:tc>
        <w:tc>
          <w:tcPr>
            <w:tcW w:w="5340" w:type="dxa"/>
            <w:vAlign w:val="bottom"/>
          </w:tcPr>
          <w:p>
            <w:pPr>
              <w:spacing w:after="0" w:line="189" w:lineRule="exact"/>
              <w:rPr>
                <w:sz w:val="20"/>
                <w:szCs w:val="20"/>
                <w:color w:val="auto"/>
              </w:rPr>
            </w:pPr>
            <w:r>
              <w:rPr>
                <w:rFonts w:ascii="Arial" w:cs="Arial" w:eastAsia="Arial" w:hAnsi="Arial"/>
                <w:sz w:val="17"/>
                <w:szCs w:val="17"/>
                <w:color w:val="auto"/>
              </w:rPr>
              <w:t>State and local income taxes, net of federal tax benefit</w:t>
            </w:r>
          </w:p>
        </w:tc>
        <w:tc>
          <w:tcPr>
            <w:tcW w:w="1440" w:type="dxa"/>
            <w:vAlign w:val="bottom"/>
          </w:tcPr>
          <w:p>
            <w:pPr>
              <w:jc w:val="right"/>
              <w:ind w:right="1015"/>
              <w:spacing w:after="0" w:line="189" w:lineRule="exact"/>
              <w:rPr>
                <w:sz w:val="20"/>
                <w:szCs w:val="20"/>
                <w:color w:val="auto"/>
              </w:rPr>
            </w:pPr>
            <w:r>
              <w:rPr>
                <w:rFonts w:ascii="Arial" w:cs="Arial" w:eastAsia="Arial" w:hAnsi="Arial"/>
                <w:sz w:val="17"/>
                <w:szCs w:val="17"/>
                <w:b w:val="1"/>
                <w:bCs w:val="1"/>
                <w:color w:val="auto"/>
              </w:rPr>
              <w:t>4.5</w:t>
            </w:r>
          </w:p>
        </w:tc>
        <w:tc>
          <w:tcPr>
            <w:tcW w:w="800" w:type="dxa"/>
            <w:vAlign w:val="bottom"/>
          </w:tcPr>
          <w:p>
            <w:pPr>
              <w:jc w:val="right"/>
              <w:ind w:right="375"/>
              <w:spacing w:after="0" w:line="189" w:lineRule="exact"/>
              <w:rPr>
                <w:sz w:val="20"/>
                <w:szCs w:val="20"/>
                <w:color w:val="auto"/>
              </w:rPr>
            </w:pPr>
            <w:r>
              <w:rPr>
                <w:rFonts w:ascii="Arial" w:cs="Arial" w:eastAsia="Arial" w:hAnsi="Arial"/>
                <w:sz w:val="17"/>
                <w:szCs w:val="17"/>
                <w:color w:val="auto"/>
              </w:rPr>
              <w:t>4.7</w:t>
            </w:r>
          </w:p>
        </w:tc>
        <w:tc>
          <w:tcPr>
            <w:tcW w:w="130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2.0</w:t>
            </w: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International income taxed at varying rates</w:t>
            </w:r>
          </w:p>
        </w:tc>
        <w:tc>
          <w:tcPr>
            <w:tcW w:w="1440" w:type="dxa"/>
            <w:vAlign w:val="bottom"/>
            <w:shd w:val="clear" w:color="auto" w:fill="CCEEFF"/>
          </w:tcPr>
          <w:p>
            <w:pPr>
              <w:jc w:val="right"/>
              <w:ind w:right="1015"/>
              <w:spacing w:after="0" w:line="189" w:lineRule="exact"/>
              <w:rPr>
                <w:sz w:val="20"/>
                <w:szCs w:val="20"/>
                <w:color w:val="auto"/>
              </w:rPr>
            </w:pPr>
            <w:r>
              <w:rPr>
                <w:rFonts w:ascii="Arial" w:cs="Arial" w:eastAsia="Arial" w:hAnsi="Arial"/>
                <w:sz w:val="17"/>
                <w:szCs w:val="17"/>
                <w:b w:val="1"/>
                <w:bCs w:val="1"/>
                <w:color w:val="auto"/>
              </w:rPr>
              <w:t>1.9</w:t>
            </w:r>
          </w:p>
        </w:tc>
        <w:tc>
          <w:tcPr>
            <w:tcW w:w="80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1.6</w:t>
            </w:r>
          </w:p>
        </w:tc>
        <w:tc>
          <w:tcPr>
            <w:tcW w:w="13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(2.3)</w:t>
            </w:r>
          </w:p>
        </w:tc>
      </w:tr>
      <w:tr>
        <w:trPr>
          <w:trHeight w:val="189"/>
        </w:trPr>
        <w:tc>
          <w:tcPr>
            <w:tcW w:w="20" w:type="dxa"/>
            <w:vAlign w:val="bottom"/>
          </w:tcPr>
          <w:p>
            <w:pPr>
              <w:spacing w:after="0"/>
              <w:rPr>
                <w:sz w:val="16"/>
                <w:szCs w:val="16"/>
                <w:color w:val="auto"/>
              </w:rPr>
            </w:pPr>
          </w:p>
        </w:tc>
        <w:tc>
          <w:tcPr>
            <w:tcW w:w="5340" w:type="dxa"/>
            <w:vAlign w:val="bottom"/>
          </w:tcPr>
          <w:p>
            <w:pPr>
              <w:spacing w:after="0" w:line="189" w:lineRule="exact"/>
              <w:rPr>
                <w:sz w:val="20"/>
                <w:szCs w:val="20"/>
                <w:color w:val="auto"/>
              </w:rPr>
            </w:pPr>
            <w:r>
              <w:rPr>
                <w:rFonts w:ascii="Arial" w:cs="Arial" w:eastAsia="Arial" w:hAnsi="Arial"/>
                <w:sz w:val="17"/>
                <w:szCs w:val="17"/>
                <w:color w:val="auto"/>
              </w:rPr>
              <w:t>Foreign tax credits</w:t>
            </w:r>
          </w:p>
        </w:tc>
        <w:tc>
          <w:tcPr>
            <w:tcW w:w="1440" w:type="dxa"/>
            <w:vAlign w:val="bottom"/>
          </w:tcPr>
          <w:p>
            <w:pPr>
              <w:jc w:val="right"/>
              <w:ind w:right="955"/>
              <w:spacing w:after="0" w:line="189" w:lineRule="exact"/>
              <w:rPr>
                <w:sz w:val="20"/>
                <w:szCs w:val="20"/>
                <w:color w:val="auto"/>
              </w:rPr>
            </w:pPr>
            <w:r>
              <w:rPr>
                <w:rFonts w:ascii="Arial" w:cs="Arial" w:eastAsia="Arial" w:hAnsi="Arial"/>
                <w:sz w:val="17"/>
                <w:szCs w:val="17"/>
                <w:b w:val="1"/>
                <w:bCs w:val="1"/>
                <w:color w:val="auto"/>
              </w:rPr>
              <w:t>(2.0)</w:t>
            </w:r>
          </w:p>
        </w:tc>
        <w:tc>
          <w:tcPr>
            <w:tcW w:w="800" w:type="dxa"/>
            <w:vAlign w:val="bottom"/>
          </w:tcPr>
          <w:p>
            <w:pPr>
              <w:jc w:val="right"/>
              <w:ind w:right="315"/>
              <w:spacing w:after="0" w:line="189" w:lineRule="exact"/>
              <w:rPr>
                <w:sz w:val="20"/>
                <w:szCs w:val="20"/>
                <w:color w:val="auto"/>
              </w:rPr>
            </w:pPr>
            <w:r>
              <w:rPr>
                <w:rFonts w:ascii="Arial" w:cs="Arial" w:eastAsia="Arial" w:hAnsi="Arial"/>
                <w:sz w:val="17"/>
                <w:szCs w:val="17"/>
                <w:color w:val="auto"/>
              </w:rPr>
              <w:t>(2.1)</w:t>
            </w:r>
          </w:p>
        </w:tc>
        <w:tc>
          <w:tcPr>
            <w:tcW w:w="130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(2.6)</w:t>
            </w: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Domestic/foreign tax settlements</w:t>
            </w:r>
          </w:p>
        </w:tc>
        <w:tc>
          <w:tcPr>
            <w:tcW w:w="1440" w:type="dxa"/>
            <w:vAlign w:val="bottom"/>
            <w:shd w:val="clear" w:color="auto" w:fill="CCEEFF"/>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jc w:val="right"/>
              <w:ind w:right="315"/>
              <w:spacing w:after="0" w:line="189" w:lineRule="exact"/>
              <w:rPr>
                <w:sz w:val="20"/>
                <w:szCs w:val="20"/>
                <w:color w:val="auto"/>
              </w:rPr>
            </w:pPr>
            <w:r>
              <w:rPr>
                <w:rFonts w:ascii="Arial" w:cs="Arial" w:eastAsia="Arial" w:hAnsi="Arial"/>
                <w:sz w:val="17"/>
                <w:szCs w:val="17"/>
                <w:color w:val="auto"/>
              </w:rPr>
              <w:t>(0.7)</w:t>
            </w:r>
          </w:p>
        </w:tc>
        <w:tc>
          <w:tcPr>
            <w:tcW w:w="13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(0.2)</w:t>
            </w:r>
          </w:p>
        </w:tc>
      </w:tr>
      <w:tr>
        <w:trPr>
          <w:trHeight w:val="189"/>
        </w:trPr>
        <w:tc>
          <w:tcPr>
            <w:tcW w:w="20" w:type="dxa"/>
            <w:vAlign w:val="bottom"/>
          </w:tcPr>
          <w:p>
            <w:pPr>
              <w:spacing w:after="0"/>
              <w:rPr>
                <w:sz w:val="16"/>
                <w:szCs w:val="16"/>
                <w:color w:val="auto"/>
              </w:rPr>
            </w:pPr>
          </w:p>
        </w:tc>
        <w:tc>
          <w:tcPr>
            <w:tcW w:w="5340" w:type="dxa"/>
            <w:vAlign w:val="bottom"/>
          </w:tcPr>
          <w:p>
            <w:pPr>
              <w:spacing w:after="0" w:line="189" w:lineRule="exact"/>
              <w:rPr>
                <w:sz w:val="20"/>
                <w:szCs w:val="20"/>
                <w:color w:val="auto"/>
              </w:rPr>
            </w:pPr>
            <w:r>
              <w:rPr>
                <w:rFonts w:ascii="Arial" w:cs="Arial" w:eastAsia="Arial" w:hAnsi="Arial"/>
                <w:sz w:val="17"/>
                <w:szCs w:val="17"/>
                <w:color w:val="auto"/>
              </w:rPr>
              <w:t>Federal tax credits</w:t>
            </w:r>
          </w:p>
        </w:tc>
        <w:tc>
          <w:tcPr>
            <w:tcW w:w="1440" w:type="dxa"/>
            <w:vAlign w:val="bottom"/>
          </w:tcPr>
          <w:p>
            <w:pPr>
              <w:jc w:val="right"/>
              <w:ind w:right="955"/>
              <w:spacing w:after="0" w:line="189" w:lineRule="exact"/>
              <w:rPr>
                <w:sz w:val="20"/>
                <w:szCs w:val="20"/>
                <w:color w:val="auto"/>
              </w:rPr>
            </w:pPr>
            <w:r>
              <w:rPr>
                <w:rFonts w:ascii="Arial" w:cs="Arial" w:eastAsia="Arial" w:hAnsi="Arial"/>
                <w:sz w:val="17"/>
                <w:szCs w:val="17"/>
                <w:b w:val="1"/>
                <w:bCs w:val="1"/>
                <w:color w:val="auto"/>
              </w:rPr>
              <w:t>(0.2)</w:t>
            </w:r>
          </w:p>
        </w:tc>
        <w:tc>
          <w:tcPr>
            <w:tcW w:w="800" w:type="dxa"/>
            <w:vAlign w:val="bottom"/>
          </w:tcPr>
          <w:p>
            <w:pPr>
              <w:jc w:val="right"/>
              <w:ind w:right="315"/>
              <w:spacing w:after="0" w:line="189" w:lineRule="exact"/>
              <w:rPr>
                <w:sz w:val="20"/>
                <w:szCs w:val="20"/>
                <w:color w:val="auto"/>
              </w:rPr>
            </w:pPr>
            <w:r>
              <w:rPr>
                <w:rFonts w:ascii="Arial" w:cs="Arial" w:eastAsia="Arial" w:hAnsi="Arial"/>
                <w:sz w:val="17"/>
                <w:szCs w:val="17"/>
                <w:color w:val="auto"/>
              </w:rPr>
              <w:t>(0.2)</w:t>
            </w:r>
          </w:p>
        </w:tc>
        <w:tc>
          <w:tcPr>
            <w:tcW w:w="130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(0.2)</w:t>
            </w:r>
          </w:p>
        </w:tc>
      </w:tr>
      <w:tr>
        <w:trPr>
          <w:trHeight w:val="189"/>
        </w:trPr>
        <w:tc>
          <w:tcPr>
            <w:tcW w:w="20" w:type="dxa"/>
            <w:vAlign w:val="bottom"/>
          </w:tcPr>
          <w:p>
            <w:pPr>
              <w:spacing w:after="0"/>
              <w:rPr>
                <w:sz w:val="16"/>
                <w:szCs w:val="16"/>
                <w:color w:val="auto"/>
              </w:rPr>
            </w:pPr>
          </w:p>
        </w:tc>
        <w:tc>
          <w:tcPr>
            <w:tcW w:w="53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net</w:t>
            </w:r>
          </w:p>
        </w:tc>
        <w:tc>
          <w:tcPr>
            <w:tcW w:w="1440" w:type="dxa"/>
            <w:vAlign w:val="bottom"/>
            <w:tcBorders>
              <w:bottom w:val="single" w:sz="8" w:color="auto"/>
            </w:tcBorders>
            <w:shd w:val="clear" w:color="auto" w:fill="CCEEFF"/>
          </w:tcPr>
          <w:p>
            <w:pPr>
              <w:jc w:val="right"/>
              <w:ind w:right="1015"/>
              <w:spacing w:after="0" w:line="189" w:lineRule="exact"/>
              <w:rPr>
                <w:sz w:val="20"/>
                <w:szCs w:val="20"/>
                <w:color w:val="auto"/>
              </w:rPr>
            </w:pPr>
            <w:r>
              <w:rPr>
                <w:rFonts w:ascii="Arial" w:cs="Arial" w:eastAsia="Arial" w:hAnsi="Arial"/>
                <w:sz w:val="17"/>
                <w:szCs w:val="17"/>
                <w:b w:val="1"/>
                <w:bCs w:val="1"/>
                <w:color w:val="auto"/>
              </w:rPr>
              <w:t>0.8</w:t>
            </w:r>
          </w:p>
        </w:tc>
        <w:tc>
          <w:tcPr>
            <w:tcW w:w="800" w:type="dxa"/>
            <w:vAlign w:val="bottom"/>
            <w:tcBorders>
              <w:bottom w:val="single" w:sz="8" w:color="auto"/>
            </w:tcBorders>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0.1</w:t>
            </w:r>
          </w:p>
        </w:tc>
        <w:tc>
          <w:tcPr>
            <w:tcW w:w="1300" w:type="dxa"/>
            <w:vAlign w:val="bottom"/>
            <w:tcBorders>
              <w:bottom w:val="single" w:sz="8" w:color="auto"/>
            </w:tcBorders>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1.7</w:t>
            </w:r>
          </w:p>
        </w:tc>
      </w:tr>
      <w:tr>
        <w:trPr>
          <w:trHeight w:val="183"/>
        </w:trPr>
        <w:tc>
          <w:tcPr>
            <w:tcW w:w="20" w:type="dxa"/>
            <w:vAlign w:val="bottom"/>
            <w:tcBorders>
              <w:bottom w:val="single" w:sz="8" w:color="auto"/>
            </w:tcBorders>
          </w:tcPr>
          <w:p>
            <w:pPr>
              <w:spacing w:after="0"/>
              <w:rPr>
                <w:sz w:val="15"/>
                <w:szCs w:val="15"/>
                <w:color w:val="auto"/>
              </w:rPr>
            </w:pPr>
          </w:p>
        </w:tc>
        <w:tc>
          <w:tcPr>
            <w:tcW w:w="53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Effective income tax rate</w:t>
            </w:r>
          </w:p>
        </w:tc>
        <w:tc>
          <w:tcPr>
            <w:tcW w:w="1440" w:type="dxa"/>
            <w:vAlign w:val="bottom"/>
            <w:tcBorders>
              <w:bottom w:val="single" w:sz="8" w:color="auto"/>
            </w:tcBorders>
          </w:tcPr>
          <w:p>
            <w:pPr>
              <w:jc w:val="right"/>
              <w:ind w:right="795"/>
              <w:spacing w:after="0" w:line="183" w:lineRule="exact"/>
              <w:rPr>
                <w:sz w:val="20"/>
                <w:szCs w:val="20"/>
                <w:color w:val="auto"/>
              </w:rPr>
            </w:pPr>
            <w:r>
              <w:rPr>
                <w:rFonts w:ascii="Arial" w:cs="Arial" w:eastAsia="Arial" w:hAnsi="Arial"/>
                <w:sz w:val="17"/>
                <w:szCs w:val="17"/>
                <w:b w:val="1"/>
                <w:bCs w:val="1"/>
                <w:color w:val="auto"/>
              </w:rPr>
              <w:t>27.0 %</w:t>
            </w:r>
          </w:p>
        </w:tc>
        <w:tc>
          <w:tcPr>
            <w:tcW w:w="80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w w:val="98"/>
              </w:rPr>
              <w:t>24.1 %</w:t>
            </w:r>
          </w:p>
        </w:tc>
        <w:tc>
          <w:tcPr>
            <w:tcW w:w="13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50.8 %</w:t>
            </w:r>
          </w:p>
        </w:tc>
      </w:tr>
      <w:tr>
        <w:trPr>
          <w:trHeight w:val="20"/>
        </w:trPr>
        <w:tc>
          <w:tcPr>
            <w:tcW w:w="20" w:type="dxa"/>
            <w:vAlign w:val="bottom"/>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80" w:right="79" w:hanging="330"/>
        <w:spacing w:after="0" w:line="258" w:lineRule="auto"/>
        <w:tabs>
          <w:tab w:leader="none" w:pos="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 accordance with Section 15 of the Internal Revenue Code, the tax rate for 2017 represented a blended rate of 33.7 percent, calculated by applying a prorated percentage of the number of days prior to and subsequent to the January 1, 2018 effective date.</w:t>
      </w:r>
    </w:p>
    <w:p>
      <w:pPr>
        <w:spacing w:after="0" w:line="1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Deferred income taxes are provided for the effects of temporary differences between the amounts of assets and liabilities recognized for financial reporting purposes and the amounts recognized for income tax purposes. Items that give rise to significant portions of our deferred tax assets and liabilities are as follows:</w: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2018</w:t>
            </w:r>
          </w:p>
        </w:tc>
      </w:tr>
      <w:tr>
        <w:trPr>
          <w:trHeight w:val="183"/>
        </w:trPr>
        <w:tc>
          <w:tcPr>
            <w:tcW w:w="20" w:type="dxa"/>
            <w:vAlign w:val="bottom"/>
          </w:tcPr>
          <w:p>
            <w:pPr>
              <w:spacing w:after="0"/>
              <w:rPr>
                <w:sz w:val="15"/>
                <w:szCs w:val="15"/>
                <w:color w:val="auto"/>
              </w:rPr>
            </w:pPr>
          </w:p>
        </w:tc>
        <w:tc>
          <w:tcPr>
            <w:tcW w:w="482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Deferred tax assets:</w:t>
            </w:r>
          </w:p>
        </w:tc>
        <w:tc>
          <w:tcPr>
            <w:tcW w:w="1600" w:type="dxa"/>
            <w:vAlign w:val="bottom"/>
          </w:tcPr>
          <w:p>
            <w:pPr>
              <w:spacing w:after="0"/>
              <w:rPr>
                <w:sz w:val="15"/>
                <w:szCs w:val="15"/>
                <w:color w:val="auto"/>
              </w:rPr>
            </w:pPr>
          </w:p>
        </w:tc>
        <w:tc>
          <w:tcPr>
            <w:tcW w:w="16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in millions)</w:t>
            </w:r>
          </w:p>
        </w:tc>
        <w:tc>
          <w:tcPr>
            <w:tcW w:w="8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Tax loss/credit carryforwards and capital loss</w:t>
            </w:r>
          </w:p>
        </w:tc>
        <w:tc>
          <w:tcPr>
            <w:tcW w:w="16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54</w:t>
            </w:r>
          </w:p>
        </w:tc>
        <w:tc>
          <w:tcPr>
            <w:tcW w:w="540" w:type="dxa"/>
            <w:vAlign w:val="bottom"/>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39</w:t>
            </w:r>
          </w:p>
        </w:tc>
      </w:tr>
      <w:tr>
        <w:trPr>
          <w:trHeight w:val="189"/>
        </w:trPr>
        <w:tc>
          <w:tcPr>
            <w:tcW w:w="20" w:type="dxa"/>
            <w:vAlign w:val="bottom"/>
          </w:tcPr>
          <w:p>
            <w:pPr>
              <w:spacing w:after="0"/>
              <w:rPr>
                <w:sz w:val="16"/>
                <w:szCs w:val="16"/>
                <w:color w:val="auto"/>
              </w:rPr>
            </w:pPr>
          </w:p>
        </w:tc>
        <w:tc>
          <w:tcPr>
            <w:tcW w:w="4820" w:type="dxa"/>
            <w:vAlign w:val="bottom"/>
          </w:tcPr>
          <w:p>
            <w:pPr>
              <w:ind w:left="80"/>
              <w:spacing w:after="0" w:line="189" w:lineRule="exact"/>
              <w:rPr>
                <w:sz w:val="20"/>
                <w:szCs w:val="20"/>
                <w:color w:val="auto"/>
              </w:rPr>
            </w:pPr>
            <w:r>
              <w:rPr>
                <w:rFonts w:ascii="Arial" w:cs="Arial" w:eastAsia="Arial" w:hAnsi="Arial"/>
                <w:sz w:val="17"/>
                <w:szCs w:val="17"/>
                <w:color w:val="auto"/>
              </w:rPr>
              <w:t>Employee benefits</w:t>
            </w:r>
          </w:p>
        </w:tc>
        <w:tc>
          <w:tcPr>
            <w:tcW w:w="160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40</w:t>
            </w:r>
          </w:p>
        </w:tc>
        <w:tc>
          <w:tcPr>
            <w:tcW w:w="5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38</w:t>
            </w: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Property and equipment</w:t>
            </w:r>
          </w:p>
        </w:tc>
        <w:tc>
          <w:tcPr>
            <w:tcW w:w="16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30</w:t>
            </w: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w:t>
            </w:r>
          </w:p>
        </w:tc>
      </w:tr>
      <w:tr>
        <w:trPr>
          <w:trHeight w:val="189"/>
        </w:trPr>
        <w:tc>
          <w:tcPr>
            <w:tcW w:w="20" w:type="dxa"/>
            <w:vAlign w:val="bottom"/>
          </w:tcPr>
          <w:p>
            <w:pPr>
              <w:spacing w:after="0"/>
              <w:rPr>
                <w:sz w:val="16"/>
                <w:szCs w:val="16"/>
                <w:color w:val="auto"/>
              </w:rPr>
            </w:pPr>
          </w:p>
        </w:tc>
        <w:tc>
          <w:tcPr>
            <w:tcW w:w="4820" w:type="dxa"/>
            <w:vAlign w:val="bottom"/>
          </w:tcPr>
          <w:p>
            <w:pPr>
              <w:ind w:left="80"/>
              <w:spacing w:after="0" w:line="189" w:lineRule="exact"/>
              <w:rPr>
                <w:sz w:val="20"/>
                <w:szCs w:val="20"/>
                <w:color w:val="auto"/>
              </w:rPr>
            </w:pPr>
            <w:r>
              <w:rPr>
                <w:rFonts w:ascii="Arial" w:cs="Arial" w:eastAsia="Arial" w:hAnsi="Arial"/>
                <w:sz w:val="17"/>
                <w:szCs w:val="17"/>
                <w:color w:val="auto"/>
              </w:rPr>
              <w:t>Goodwill and other intangible assets</w:t>
            </w:r>
          </w:p>
        </w:tc>
        <w:tc>
          <w:tcPr>
            <w:tcW w:w="160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14</w:t>
            </w:r>
          </w:p>
        </w:tc>
        <w:tc>
          <w:tcPr>
            <w:tcW w:w="5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24</w:t>
            </w: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Operating leases - liabilities</w:t>
            </w:r>
          </w:p>
        </w:tc>
        <w:tc>
          <w:tcPr>
            <w:tcW w:w="16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844</w:t>
            </w: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4820" w:type="dxa"/>
            <w:vAlign w:val="bottom"/>
          </w:tcPr>
          <w:p>
            <w:pPr>
              <w:ind w:left="80"/>
              <w:spacing w:after="0" w:line="189" w:lineRule="exact"/>
              <w:rPr>
                <w:sz w:val="20"/>
                <w:szCs w:val="20"/>
                <w:color w:val="auto"/>
              </w:rPr>
            </w:pPr>
            <w:r>
              <w:rPr>
                <w:rFonts w:ascii="Arial" w:cs="Arial" w:eastAsia="Arial" w:hAnsi="Arial"/>
                <w:sz w:val="17"/>
                <w:szCs w:val="17"/>
                <w:color w:val="auto"/>
              </w:rPr>
              <w:t>Straight-line rent</w:t>
            </w:r>
          </w:p>
        </w:tc>
        <w:tc>
          <w:tcPr>
            <w:tcW w:w="160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5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47</w:t>
            </w:r>
          </w:p>
        </w:tc>
      </w:tr>
      <w:tr>
        <w:trPr>
          <w:trHeight w:val="189"/>
        </w:trPr>
        <w:tc>
          <w:tcPr>
            <w:tcW w:w="20" w:type="dxa"/>
            <w:vAlign w:val="bottom"/>
          </w:tcPr>
          <w:p>
            <w:pPr>
              <w:spacing w:after="0"/>
              <w:rPr>
                <w:sz w:val="16"/>
                <w:szCs w:val="16"/>
                <w:color w:val="auto"/>
              </w:rPr>
            </w:pPr>
          </w:p>
        </w:tc>
        <w:tc>
          <w:tcPr>
            <w:tcW w:w="482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Other</w:t>
            </w:r>
          </w:p>
        </w:tc>
        <w:tc>
          <w:tcPr>
            <w:tcW w:w="16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29</w:t>
            </w:r>
          </w:p>
        </w:tc>
        <w:tc>
          <w:tcPr>
            <w:tcW w:w="5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w:t>
            </w:r>
          </w:p>
        </w:tc>
      </w:tr>
      <w:tr>
        <w:trPr>
          <w:trHeight w:val="183"/>
        </w:trPr>
        <w:tc>
          <w:tcPr>
            <w:tcW w:w="20" w:type="dxa"/>
            <w:vAlign w:val="bottom"/>
          </w:tcPr>
          <w:p>
            <w:pPr>
              <w:spacing w:after="0"/>
              <w:rPr>
                <w:sz w:val="15"/>
                <w:szCs w:val="15"/>
                <w:color w:val="auto"/>
              </w:rPr>
            </w:pPr>
          </w:p>
        </w:tc>
        <w:tc>
          <w:tcPr>
            <w:tcW w:w="4820" w:type="dxa"/>
            <w:vAlign w:val="bottom"/>
          </w:tcPr>
          <w:p>
            <w:pPr>
              <w:spacing w:after="0" w:line="183" w:lineRule="exact"/>
              <w:rPr>
                <w:sz w:val="20"/>
                <w:szCs w:val="20"/>
                <w:color w:val="auto"/>
              </w:rPr>
            </w:pPr>
            <w:r>
              <w:rPr>
                <w:rFonts w:ascii="Arial" w:cs="Arial" w:eastAsia="Arial" w:hAnsi="Arial"/>
                <w:sz w:val="17"/>
                <w:szCs w:val="17"/>
                <w:color w:val="auto"/>
              </w:rPr>
              <w:t>Total deferred tax assets</w:t>
            </w:r>
          </w:p>
        </w:tc>
        <w:tc>
          <w:tcPr>
            <w:tcW w:w="160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1,011</w:t>
            </w:r>
          </w:p>
        </w:tc>
        <w:tc>
          <w:tcPr>
            <w:tcW w:w="540" w:type="dxa"/>
            <w:vAlign w:val="bottom"/>
          </w:tcPr>
          <w:p>
            <w:pPr>
              <w:jc w:val="right"/>
              <w:ind w:right="235"/>
              <w:spacing w:after="0" w:line="183"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208</w:t>
            </w:r>
          </w:p>
        </w:tc>
      </w:tr>
      <w:tr>
        <w:trPr>
          <w:trHeight w:val="189"/>
        </w:trPr>
        <w:tc>
          <w:tcPr>
            <w:tcW w:w="20" w:type="dxa"/>
            <w:vAlign w:val="bottom"/>
          </w:tcPr>
          <w:p>
            <w:pPr>
              <w:spacing w:after="0"/>
              <w:rPr>
                <w:sz w:val="16"/>
                <w:szCs w:val="16"/>
                <w:color w:val="auto"/>
              </w:rPr>
            </w:pPr>
          </w:p>
        </w:tc>
        <w:tc>
          <w:tcPr>
            <w:tcW w:w="48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Valuation allowance</w:t>
            </w:r>
          </w:p>
        </w:tc>
        <w:tc>
          <w:tcPr>
            <w:tcW w:w="16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(39)</w:t>
            </w:r>
          </w:p>
        </w:tc>
        <w:tc>
          <w:tcPr>
            <w:tcW w:w="5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(33)</w:t>
            </w:r>
          </w:p>
        </w:tc>
      </w:tr>
      <w:tr>
        <w:trPr>
          <w:trHeight w:val="183"/>
        </w:trPr>
        <w:tc>
          <w:tcPr>
            <w:tcW w:w="20" w:type="dxa"/>
            <w:vAlign w:val="bottom"/>
          </w:tcPr>
          <w:p>
            <w:pPr>
              <w:spacing w:after="0"/>
              <w:rPr>
                <w:sz w:val="15"/>
                <w:szCs w:val="15"/>
                <w:color w:val="auto"/>
              </w:rPr>
            </w:pPr>
          </w:p>
        </w:tc>
        <w:tc>
          <w:tcPr>
            <w:tcW w:w="4820" w:type="dxa"/>
            <w:vAlign w:val="bottom"/>
            <w:tcBorders>
              <w:bottom w:val="single" w:sz="8" w:color="auto"/>
            </w:tcBorders>
          </w:tcPr>
          <w:p>
            <w:pPr>
              <w:ind w:left="200"/>
              <w:spacing w:after="0" w:line="183" w:lineRule="exact"/>
              <w:rPr>
                <w:sz w:val="20"/>
                <w:szCs w:val="20"/>
                <w:color w:val="auto"/>
              </w:rPr>
            </w:pPr>
            <w:r>
              <w:rPr>
                <w:rFonts w:ascii="Arial" w:cs="Arial" w:eastAsia="Arial" w:hAnsi="Arial"/>
                <w:sz w:val="17"/>
                <w:szCs w:val="17"/>
                <w:color w:val="auto"/>
              </w:rPr>
              <w:t>Total deferred tax assets, net</w:t>
            </w:r>
          </w:p>
        </w:tc>
        <w:tc>
          <w:tcPr>
            <w:tcW w:w="16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972</w:t>
            </w:r>
          </w:p>
        </w:tc>
        <w:tc>
          <w:tcPr>
            <w:tcW w:w="54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175</w:t>
            </w:r>
          </w:p>
        </w:tc>
      </w:tr>
      <w:tr>
        <w:trPr>
          <w:trHeight w:val="183"/>
        </w:trPr>
        <w:tc>
          <w:tcPr>
            <w:tcW w:w="20" w:type="dxa"/>
            <w:vAlign w:val="bottom"/>
          </w:tcPr>
          <w:p>
            <w:pPr>
              <w:spacing w:after="0"/>
              <w:rPr>
                <w:sz w:val="15"/>
                <w:szCs w:val="15"/>
                <w:color w:val="auto"/>
              </w:rPr>
            </w:pPr>
          </w:p>
        </w:tc>
        <w:tc>
          <w:tcPr>
            <w:tcW w:w="482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Deferred tax liabilities:</w:t>
            </w:r>
          </w:p>
        </w:tc>
        <w:tc>
          <w:tcPr>
            <w:tcW w:w="16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820" w:type="dxa"/>
            <w:vAlign w:val="bottom"/>
          </w:tcPr>
          <w:p>
            <w:pPr>
              <w:ind w:left="80"/>
              <w:spacing w:after="0" w:line="189" w:lineRule="exact"/>
              <w:rPr>
                <w:sz w:val="20"/>
                <w:szCs w:val="20"/>
                <w:color w:val="auto"/>
              </w:rPr>
            </w:pPr>
            <w:r>
              <w:rPr>
                <w:rFonts w:ascii="Arial" w:cs="Arial" w:eastAsia="Arial" w:hAnsi="Arial"/>
                <w:sz w:val="17"/>
                <w:szCs w:val="17"/>
                <w:color w:val="auto"/>
              </w:rPr>
              <w:t>Merchandise inventories</w:t>
            </w:r>
          </w:p>
        </w:tc>
        <w:tc>
          <w:tcPr>
            <w:tcW w:w="16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86</w:t>
            </w:r>
          </w:p>
        </w:tc>
        <w:tc>
          <w:tcPr>
            <w:tcW w:w="54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77</w:t>
            </w: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Operating leases - assets</w:t>
            </w:r>
          </w:p>
        </w:tc>
        <w:tc>
          <w:tcPr>
            <w:tcW w:w="16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794</w:t>
            </w: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48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Other</w:t>
            </w:r>
          </w:p>
        </w:tc>
        <w:tc>
          <w:tcPr>
            <w:tcW w:w="16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13</w:t>
            </w: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w:t>
            </w:r>
          </w:p>
        </w:tc>
      </w:tr>
      <w:tr>
        <w:trPr>
          <w:trHeight w:val="183"/>
        </w:trPr>
        <w:tc>
          <w:tcPr>
            <w:tcW w:w="20" w:type="dxa"/>
            <w:vAlign w:val="bottom"/>
          </w:tcPr>
          <w:p>
            <w:pPr>
              <w:spacing w:after="0"/>
              <w:rPr>
                <w:sz w:val="15"/>
                <w:szCs w:val="15"/>
                <w:color w:val="auto"/>
              </w:rPr>
            </w:pPr>
          </w:p>
        </w:tc>
        <w:tc>
          <w:tcPr>
            <w:tcW w:w="4820" w:type="dxa"/>
            <w:vAlign w:val="bottom"/>
            <w:tcBorders>
              <w:bottom w:val="single" w:sz="8" w:color="auto"/>
            </w:tcBorders>
            <w:shd w:val="clear" w:color="auto" w:fill="CCEEFF"/>
          </w:tcPr>
          <w:p>
            <w:pPr>
              <w:ind w:left="200"/>
              <w:spacing w:after="0" w:line="183" w:lineRule="exact"/>
              <w:rPr>
                <w:sz w:val="20"/>
                <w:szCs w:val="20"/>
                <w:color w:val="auto"/>
              </w:rPr>
            </w:pPr>
            <w:r>
              <w:rPr>
                <w:rFonts w:ascii="Arial" w:cs="Arial" w:eastAsia="Arial" w:hAnsi="Arial"/>
                <w:sz w:val="17"/>
                <w:szCs w:val="17"/>
                <w:color w:val="auto"/>
              </w:rPr>
              <w:t>Total deferred tax liabilities</w:t>
            </w:r>
          </w:p>
        </w:tc>
        <w:tc>
          <w:tcPr>
            <w:tcW w:w="16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893</w:t>
            </w:r>
          </w:p>
        </w:tc>
        <w:tc>
          <w:tcPr>
            <w:tcW w:w="540" w:type="dxa"/>
            <w:vAlign w:val="bottom"/>
            <w:tcBorders>
              <w:bottom w:val="single" w:sz="8" w:color="auto"/>
            </w:tcBorders>
            <w:shd w:val="clear" w:color="auto" w:fill="CCEEFF"/>
          </w:tcPr>
          <w:p>
            <w:pPr>
              <w:jc w:val="right"/>
              <w:ind w:right="23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94</w:t>
            </w:r>
          </w:p>
        </w:tc>
      </w:tr>
      <w:tr>
        <w:trPr>
          <w:trHeight w:val="183"/>
        </w:trPr>
        <w:tc>
          <w:tcPr>
            <w:tcW w:w="20" w:type="dxa"/>
            <w:vAlign w:val="bottom"/>
          </w:tcPr>
          <w:p>
            <w:pPr>
              <w:spacing w:after="0"/>
              <w:rPr>
                <w:sz w:val="15"/>
                <w:szCs w:val="15"/>
                <w:color w:val="auto"/>
              </w:rPr>
            </w:pPr>
          </w:p>
        </w:tc>
        <w:tc>
          <w:tcPr>
            <w:tcW w:w="48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Net deferred tax asset</w:t>
            </w:r>
          </w:p>
        </w:tc>
        <w:tc>
          <w:tcPr>
            <w:tcW w:w="16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79</w:t>
            </w:r>
          </w:p>
        </w:tc>
        <w:tc>
          <w:tcPr>
            <w:tcW w:w="54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81</w:t>
            </w:r>
          </w:p>
        </w:tc>
      </w:tr>
      <w:tr>
        <w:trPr>
          <w:trHeight w:val="183"/>
        </w:trPr>
        <w:tc>
          <w:tcPr>
            <w:tcW w:w="20" w:type="dxa"/>
            <w:vAlign w:val="bottom"/>
          </w:tcPr>
          <w:p>
            <w:pPr>
              <w:spacing w:after="0"/>
              <w:rPr>
                <w:sz w:val="15"/>
                <w:szCs w:val="15"/>
                <w:color w:val="auto"/>
              </w:rPr>
            </w:pPr>
          </w:p>
        </w:tc>
        <w:tc>
          <w:tcPr>
            <w:tcW w:w="482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Balance Sheet caption reported in:</w:t>
            </w:r>
          </w:p>
        </w:tc>
        <w:tc>
          <w:tcPr>
            <w:tcW w:w="16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820" w:type="dxa"/>
            <w:vAlign w:val="bottom"/>
          </w:tcPr>
          <w:p>
            <w:pPr>
              <w:ind w:left="80"/>
              <w:spacing w:after="0" w:line="189" w:lineRule="exact"/>
              <w:rPr>
                <w:sz w:val="20"/>
                <w:szCs w:val="20"/>
                <w:color w:val="auto"/>
              </w:rPr>
            </w:pPr>
            <w:r>
              <w:rPr>
                <w:rFonts w:ascii="Arial" w:cs="Arial" w:eastAsia="Arial" w:hAnsi="Arial"/>
                <w:sz w:val="17"/>
                <w:szCs w:val="17"/>
                <w:color w:val="auto"/>
              </w:rPr>
              <w:t>Deferred taxes</w:t>
            </w:r>
          </w:p>
        </w:tc>
        <w:tc>
          <w:tcPr>
            <w:tcW w:w="16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81</w:t>
            </w:r>
          </w:p>
        </w:tc>
        <w:tc>
          <w:tcPr>
            <w:tcW w:w="54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87</w:t>
            </w:r>
          </w:p>
        </w:tc>
      </w:tr>
      <w:tr>
        <w:trPr>
          <w:trHeight w:val="189"/>
        </w:trPr>
        <w:tc>
          <w:tcPr>
            <w:tcW w:w="20" w:type="dxa"/>
            <w:vAlign w:val="bottom"/>
          </w:tcPr>
          <w:p>
            <w:pPr>
              <w:spacing w:after="0"/>
              <w:rPr>
                <w:sz w:val="16"/>
                <w:szCs w:val="16"/>
                <w:color w:val="auto"/>
              </w:rPr>
            </w:pPr>
          </w:p>
        </w:tc>
        <w:tc>
          <w:tcPr>
            <w:tcW w:w="482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Other liabilities</w:t>
            </w:r>
          </w:p>
        </w:tc>
        <w:tc>
          <w:tcPr>
            <w:tcW w:w="16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w:t>
            </w:r>
          </w:p>
        </w:tc>
        <w:tc>
          <w:tcPr>
            <w:tcW w:w="5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w:t>
            </w:r>
          </w:p>
        </w:tc>
      </w:tr>
      <w:tr>
        <w:trPr>
          <w:trHeight w:val="182"/>
        </w:trPr>
        <w:tc>
          <w:tcPr>
            <w:tcW w:w="20" w:type="dxa"/>
            <w:vAlign w:val="bottom"/>
          </w:tcPr>
          <w:p>
            <w:pPr>
              <w:spacing w:after="0"/>
              <w:rPr>
                <w:sz w:val="15"/>
                <w:szCs w:val="15"/>
                <w:color w:val="auto"/>
              </w:rPr>
            </w:pPr>
          </w:p>
        </w:tc>
        <w:tc>
          <w:tcPr>
            <w:tcW w:w="48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79</w:t>
            </w:r>
          </w:p>
        </w:tc>
        <w:tc>
          <w:tcPr>
            <w:tcW w:w="54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81</w:t>
            </w:r>
          </w:p>
        </w:tc>
      </w:tr>
      <w:tr>
        <w:trPr>
          <w:trHeight w:val="20"/>
        </w:trPr>
        <w:tc>
          <w:tcPr>
            <w:tcW w:w="2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Based upon the level of historical taxable income and projections for future taxable income, which are based upon our long-range strategic plans, we believe it is more likely than not that we will realize the benefits of deductible differences, net of the valuation allowances at February 1, 2020, over the periods in which the temporary differences are anticipated to reverse. However, the amount of the deferred tax asset considered realizable could be adjusted in the future if estimates of taxable income are revised. As of February 1, 2020, we have a valuation allowance of $39 million to reduce our deferred tax assets to an amount that is more likely than not to be realized. A valuation allowance of $36 million was recorded against tax loss carryforwards of certain foreign entities. Based on the history of losses and the absence of prudent and feasible business plans for generating future taxable income in these entities, we believe it is more likely than not that the benefit of these loss carryforwards will not be realized. As of February 1, 2020, a valuation allowance of $2 million was established for foreign taxes assessed at rates in excess of the U.S. federal tax rate for which no U.S. foreign tax credit is available. Additionally, since we do not have any reasonably foreseeable sources of Canadian capital gains, a valuation allowance of $1 million was established during 2019 for a deferred tax asset arising from a capital loss associated with an uncollectible Canadian note receivable.</w:t>
      </w:r>
    </w:p>
    <w:p>
      <w:pPr>
        <w:spacing w:after="0" w:line="152" w:lineRule="exact"/>
        <w:rPr>
          <w:sz w:val="20"/>
          <w:szCs w:val="20"/>
          <w:color w:val="auto"/>
        </w:rPr>
      </w:pPr>
    </w:p>
    <w:p>
      <w:pPr>
        <w:jc w:val="both"/>
        <w:ind w:left="60" w:right="59"/>
        <w:spacing w:after="0"/>
        <w:rPr>
          <w:sz w:val="20"/>
          <w:szCs w:val="20"/>
          <w:color w:val="auto"/>
        </w:rPr>
      </w:pPr>
      <w:r>
        <w:rPr>
          <w:rFonts w:ascii="Arial" w:cs="Arial" w:eastAsia="Arial" w:hAnsi="Arial"/>
          <w:sz w:val="17"/>
          <w:szCs w:val="17"/>
          <w:color w:val="auto"/>
        </w:rPr>
        <w:t>At February 1, 2020, we have international minimum tax credit carryforwards with a potential tax benefit of $4 million and operating loss carryforwards with a potential tax benefit of $41 million, a portion of which will expire between 2020 and 2027 and a portion of which will never expire. We will have, when realized, capital losses with a potential benefit of $1 million arising from a Canadian note receivable and $2 million from a minority interest investment. The Canadian loss will carryforward indefinitely after realization and the minority interest loss can be carried forward five years after realization. The international operating loss carryforwards do not include unrecognized tax benefits. We also have foreign tax credit carryforwards with a potential tax benefit of $6 million that will expire between 2018 and 2029.</w:t>
      </w:r>
    </w:p>
    <w:p>
      <w:pPr>
        <w:spacing w:after="0" w:line="31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operate in multiple taxing jurisdictions and are subject to audit. Audits can involve complex issues that may require an extended period of time to resolve. A taxing authority may challenge positions we adopted in our income tax filings. Accordingly, we may apply different tax treatments for transactions in filing our income tax returns than for income tax financial reporting. We regularly assess our tax positions for such transactions and record reserves for those differences.</w:t>
      </w:r>
    </w:p>
    <w:p>
      <w:pPr>
        <w:spacing w:after="0" w:line="16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Our 2018 U.S. Federal income tax filing is under examination by the Internal Revenue Service. We expect to conclude the examination in the first quarter of 2020. We are participating in the IRS’s Compliance Assurance Process (“CAP”) for 2019, which is expected to conclude during 2020. We have started the CAP for 2020. We are subject to state and local tax examinations from 2015 to the present. To date, no adjustments have been proposed in any audits that will have a material effect on our financial position or results of operations.</w:t>
      </w:r>
    </w:p>
    <w:p>
      <w:pPr>
        <w:spacing w:after="0" w:line="15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At February 1, 2020, we had $45 million of gross unrecognized tax benefits, of which $34 million would, if recognized, affect our annual effective tax rate. We classified certain income tax liabilities as current or noncurrent based on our estimate of when these liabilities will be settled. Interest expense and penalties related to unrecognized tax benefits are classified as income tax expense. The Company recognized $1 million of interest expense in 2019. Interest was not significant for 2018 or 2017. The total amount of accrued interest and penalties was $2 million, $1 million, and none in 2019, 2018, and 2017,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activity related to unrecognized tax benefits: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2019</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2018</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2017</w:t>
            </w:r>
          </w:p>
        </w:tc>
      </w:tr>
      <w:tr>
        <w:trPr>
          <w:trHeight w:val="18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Pr>
          <w:p>
            <w:pPr>
              <w:jc w:val="right"/>
              <w:ind w:right="195"/>
              <w:spacing w:after="0" w:line="183" w:lineRule="exact"/>
              <w:rPr>
                <w:sz w:val="20"/>
                <w:szCs w:val="20"/>
                <w:color w:val="auto"/>
              </w:rPr>
            </w:pPr>
            <w:r>
              <w:rPr>
                <w:rFonts w:ascii="Arial" w:cs="Arial" w:eastAsia="Arial" w:hAnsi="Arial"/>
                <w:sz w:val="17"/>
                <w:szCs w:val="17"/>
                <w:color w:val="auto"/>
                <w:w w:val="99"/>
              </w:rPr>
              <w:t>in millions)</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Unrecognized tax benefits at beginning of year</w:t>
            </w:r>
          </w:p>
        </w:tc>
        <w:tc>
          <w:tcPr>
            <w:tcW w:w="7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34</w:t>
            </w:r>
          </w:p>
        </w:tc>
        <w:tc>
          <w:tcPr>
            <w:tcW w:w="4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44</w:t>
            </w:r>
          </w:p>
        </w:tc>
        <w:tc>
          <w:tcPr>
            <w:tcW w:w="4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w:t>
            </w:r>
          </w:p>
        </w:tc>
      </w:tr>
      <w:tr>
        <w:trPr>
          <w:trHeight w:val="189"/>
        </w:trPr>
        <w:tc>
          <w:tcPr>
            <w:tcW w:w="20" w:type="dxa"/>
            <w:vAlign w:val="bottom"/>
          </w:tcPr>
          <w:p>
            <w:pPr>
              <w:spacing w:after="0"/>
              <w:rPr>
                <w:sz w:val="16"/>
                <w:szCs w:val="16"/>
                <w:color w:val="auto"/>
              </w:rPr>
            </w:pPr>
          </w:p>
        </w:tc>
        <w:tc>
          <w:tcPr>
            <w:tcW w:w="3940" w:type="dxa"/>
            <w:vAlign w:val="bottom"/>
          </w:tcPr>
          <w:p>
            <w:pPr>
              <w:spacing w:after="0" w:line="189" w:lineRule="exact"/>
              <w:rPr>
                <w:sz w:val="20"/>
                <w:szCs w:val="20"/>
                <w:color w:val="auto"/>
              </w:rPr>
            </w:pPr>
            <w:r>
              <w:rPr>
                <w:rFonts w:ascii="Arial" w:cs="Arial" w:eastAsia="Arial" w:hAnsi="Arial"/>
                <w:sz w:val="17"/>
                <w:szCs w:val="17"/>
                <w:color w:val="auto"/>
              </w:rPr>
              <w:t>Foreign currency translation adjustments</w:t>
            </w:r>
          </w:p>
        </w:tc>
        <w:tc>
          <w:tcPr>
            <w:tcW w:w="720" w:type="dxa"/>
            <w:vAlign w:val="bottom"/>
          </w:tcPr>
          <w:p>
            <w:pPr>
              <w:spacing w:after="0"/>
              <w:rPr>
                <w:sz w:val="16"/>
                <w:szCs w:val="16"/>
                <w:color w:val="auto"/>
              </w:rPr>
            </w:pPr>
          </w:p>
        </w:tc>
        <w:tc>
          <w:tcPr>
            <w:tcW w:w="11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480" w:type="dxa"/>
            <w:vAlign w:val="bottom"/>
          </w:tcPr>
          <w:p>
            <w:pPr>
              <w:spacing w:after="0"/>
              <w:rPr>
                <w:sz w:val="16"/>
                <w:szCs w:val="16"/>
                <w:color w:val="auto"/>
              </w:rPr>
            </w:pPr>
          </w:p>
        </w:tc>
        <w:tc>
          <w:tcPr>
            <w:tcW w:w="1100" w:type="dxa"/>
            <w:vAlign w:val="bottom"/>
          </w:tcPr>
          <w:p>
            <w:pPr>
              <w:jc w:val="right"/>
              <w:ind w:right="15"/>
              <w:spacing w:after="0" w:line="189" w:lineRule="exact"/>
              <w:rPr>
                <w:sz w:val="20"/>
                <w:szCs w:val="20"/>
                <w:color w:val="auto"/>
              </w:rPr>
            </w:pPr>
            <w:r>
              <w:rPr>
                <w:rFonts w:ascii="Arial" w:cs="Arial" w:eastAsia="Arial" w:hAnsi="Arial"/>
                <w:sz w:val="17"/>
                <w:szCs w:val="17"/>
                <w:color w:val="auto"/>
              </w:rPr>
              <w:t>(3)</w:t>
            </w:r>
          </w:p>
        </w:tc>
        <w:tc>
          <w:tcPr>
            <w:tcW w:w="4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Increases related to current year tax positions</w:t>
            </w:r>
          </w:p>
        </w:tc>
        <w:tc>
          <w:tcPr>
            <w:tcW w:w="7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20" w:type="dxa"/>
            <w:vAlign w:val="bottom"/>
          </w:tcPr>
          <w:p>
            <w:pPr>
              <w:spacing w:after="0"/>
              <w:rPr>
                <w:sz w:val="16"/>
                <w:szCs w:val="16"/>
                <w:color w:val="auto"/>
              </w:rPr>
            </w:pPr>
          </w:p>
        </w:tc>
        <w:tc>
          <w:tcPr>
            <w:tcW w:w="3940" w:type="dxa"/>
            <w:vAlign w:val="bottom"/>
          </w:tcPr>
          <w:p>
            <w:pPr>
              <w:spacing w:after="0" w:line="189" w:lineRule="exact"/>
              <w:rPr>
                <w:sz w:val="20"/>
                <w:szCs w:val="20"/>
                <w:color w:val="auto"/>
              </w:rPr>
            </w:pPr>
            <w:r>
              <w:rPr>
                <w:rFonts w:ascii="Arial" w:cs="Arial" w:eastAsia="Arial" w:hAnsi="Arial"/>
                <w:sz w:val="17"/>
                <w:szCs w:val="17"/>
                <w:color w:val="auto"/>
              </w:rPr>
              <w:t>Increases related to prior period tax positions</w:t>
            </w:r>
          </w:p>
        </w:tc>
        <w:tc>
          <w:tcPr>
            <w:tcW w:w="72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12</w:t>
            </w:r>
          </w:p>
        </w:tc>
        <w:tc>
          <w:tcPr>
            <w:tcW w:w="48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9</w:t>
            </w:r>
          </w:p>
        </w:tc>
        <w:tc>
          <w:tcPr>
            <w:tcW w:w="4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Decreases related to prior period tax positions</w:t>
            </w:r>
          </w:p>
        </w:tc>
        <w:tc>
          <w:tcPr>
            <w:tcW w:w="7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(13)</w:t>
            </w: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3940" w:type="dxa"/>
            <w:vAlign w:val="bottom"/>
          </w:tcPr>
          <w:p>
            <w:pPr>
              <w:spacing w:after="0" w:line="189" w:lineRule="exact"/>
              <w:rPr>
                <w:sz w:val="20"/>
                <w:szCs w:val="20"/>
                <w:color w:val="auto"/>
              </w:rPr>
            </w:pPr>
            <w:r>
              <w:rPr>
                <w:rFonts w:ascii="Arial" w:cs="Arial" w:eastAsia="Arial" w:hAnsi="Arial"/>
                <w:sz w:val="17"/>
                <w:szCs w:val="17"/>
                <w:color w:val="auto"/>
              </w:rPr>
              <w:t>Settlements</w:t>
            </w:r>
          </w:p>
        </w:tc>
        <w:tc>
          <w:tcPr>
            <w:tcW w:w="720" w:type="dxa"/>
            <w:vAlign w:val="bottom"/>
          </w:tcPr>
          <w:p>
            <w:pPr>
              <w:spacing w:after="0"/>
              <w:rPr>
                <w:sz w:val="16"/>
                <w:szCs w:val="16"/>
                <w:color w:val="auto"/>
              </w:rPr>
            </w:pPr>
          </w:p>
        </w:tc>
        <w:tc>
          <w:tcPr>
            <w:tcW w:w="11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(2)</w:t>
            </w:r>
          </w:p>
        </w:tc>
        <w:tc>
          <w:tcPr>
            <w:tcW w:w="480" w:type="dxa"/>
            <w:vAlign w:val="bottom"/>
          </w:tcPr>
          <w:p>
            <w:pPr>
              <w:spacing w:after="0"/>
              <w:rPr>
                <w:sz w:val="16"/>
                <w:szCs w:val="16"/>
                <w:color w:val="auto"/>
              </w:rPr>
            </w:pPr>
          </w:p>
        </w:tc>
        <w:tc>
          <w:tcPr>
            <w:tcW w:w="1100" w:type="dxa"/>
            <w:vAlign w:val="bottom"/>
          </w:tcPr>
          <w:p>
            <w:pPr>
              <w:jc w:val="right"/>
              <w:ind w:right="15"/>
              <w:spacing w:after="0" w:line="189" w:lineRule="exact"/>
              <w:rPr>
                <w:sz w:val="20"/>
                <w:szCs w:val="20"/>
                <w:color w:val="auto"/>
              </w:rPr>
            </w:pPr>
            <w:r>
              <w:rPr>
                <w:rFonts w:ascii="Arial" w:cs="Arial" w:eastAsia="Arial" w:hAnsi="Arial"/>
                <w:sz w:val="17"/>
                <w:szCs w:val="17"/>
                <w:color w:val="auto"/>
              </w:rPr>
              <w:t>(3)</w:t>
            </w:r>
          </w:p>
        </w:tc>
        <w:tc>
          <w:tcPr>
            <w:tcW w:w="4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20" w:type="dxa"/>
            <w:vAlign w:val="bottom"/>
          </w:tcPr>
          <w:p>
            <w:pPr>
              <w:spacing w:after="0"/>
              <w:rPr>
                <w:sz w:val="16"/>
                <w:szCs w:val="16"/>
                <w:color w:val="auto"/>
              </w:rPr>
            </w:pPr>
          </w:p>
        </w:tc>
        <w:tc>
          <w:tcPr>
            <w:tcW w:w="39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Lapse of statute of limitations</w:t>
            </w:r>
          </w:p>
        </w:tc>
        <w:tc>
          <w:tcPr>
            <w:tcW w:w="7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4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4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3"/>
        </w:trPr>
        <w:tc>
          <w:tcPr>
            <w:tcW w:w="2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Unrecognized tax benefits at end of year</w:t>
            </w:r>
          </w:p>
        </w:tc>
        <w:tc>
          <w:tcPr>
            <w:tcW w:w="7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45</w:t>
            </w:r>
          </w:p>
        </w:tc>
        <w:tc>
          <w:tcPr>
            <w:tcW w:w="48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34</w:t>
            </w:r>
          </w:p>
        </w:tc>
        <w:tc>
          <w:tcPr>
            <w:tcW w:w="4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44</w:t>
            </w: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It is reasonably possible that the liability associated with our unrecognized tax benefits will increase or decrease within the next twelve months. These changes may be the result of foreign currency fluctuations, ongoing audits, or the expiration of statutes of limitations. Settlements during 2020 are not expected to be significant based on current estimates. Audit outcomes and the timing of audit settlements are subject to significant uncertainty. Although we believe that an adequate provision has been made for such issues, the ultimate resolution could have an adverse effect on the earnings of the Company. Conversely, if these issues are resolved favorably in the future, the related provision would be reduced, generating a positive effect on earnings. Due to the uncertainty of amounts and in accordance with our accounting policies, we have not recorded any potential consequences of these settlements. In addition, to the extent there are settlements in the future for certain foreign unrecognized tax benefits, the transition tax may also be revised accordingly.</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18. Financial Instruments and Risk Management</w:t>
      </w:r>
    </w:p>
    <w:p>
      <w:pPr>
        <w:spacing w:after="0" w:line="1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operate internationally and utilize certain derivative financial instruments to mitigate our foreign currency exposures, primarily related to third-party and intercompany forecasted transactions. As a result of the use of derivative instruments, we are exposed to the risk that counterparties will fail to meet their contractual obligations. To mitigate this counterparty credit risk, the Company has a practice of entering into contracts with major financial institutions selected based upon their credit ratings and other financial factors. We monitor the creditworthiness of counterparties throughout the duration of the derivative instrument.</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Derivative Holdings Designated as Hedges</w:t>
      </w:r>
    </w:p>
    <w:p>
      <w:pPr>
        <w:spacing w:after="0" w:line="174"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For a derivative to qualify as a hedge at inception and throughout the hedged period, we formally document the nature of the hedged items and the relationships between the hedging instruments and the hedged items, as well as our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Gains or losses recognized in earnings for any of the periods presented were not significant. Derivative financial instruments qualifying for hedge accounting must maintain a specified level of effectiveness between the hedging instrument and the item being hedged, both at inception and throughout the hedged period, which we evaluate periodically.</w:t>
      </w:r>
    </w:p>
    <w:p>
      <w:pPr>
        <w:spacing w:after="0" w:line="154"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7"/>
          <w:szCs w:val="17"/>
          <w:color w:val="auto"/>
        </w:rPr>
        <w:t>The primary currencies to which we are exposed are the euro, British pound, Canadian dollar, and Australian dollar. Generally, merchandise inventories are purchased by each geographic area in their respective local currency with the exception of the United Kingdom, whose merchandise inventory purchases are denominated in euros.</w:t>
      </w:r>
    </w:p>
    <w:p>
      <w:pPr>
        <w:spacing w:after="0" w:line="14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For option and foreign exchange forward contracts designated as cash flow hedges of the purchase of inventory, the effective portion of gains and losses is deferred as a component of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not significant for any of the periods presented. When using a forward contract as a hedging instrument, the Company excludes the time value of the contract from the assessment of effectiveness.</w:t>
      </w:r>
    </w:p>
    <w:p>
      <w:pPr>
        <w:spacing w:after="0" w:line="14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7"/>
          <w:szCs w:val="17"/>
          <w:color w:val="auto"/>
        </w:rPr>
        <w:t>The notional value of the contracts outstanding at February 1, 2020 and February 2, 2019 was $92 million and $117 million, respectively. As of February 1, 2020, all of our hedged forecasted transactions extend less than twelve months into the future, and we expect all derivative-related amounts reported in AOCL to be reclassified to earnings within twelve months. The balance in AOCL as of February 1, 2020 was a loss of $3 million and as of February 2, 2019 it was not significant.</w:t>
      </w:r>
    </w:p>
    <w:p>
      <w:pPr>
        <w:spacing w:after="0" w:line="16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5" w:name="page66"/>
    <w:bookmarkEnd w:id="65"/>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Derivative Holdings Not Designated as Hedges</w:t>
      </w:r>
    </w:p>
    <w:p>
      <w:pPr>
        <w:spacing w:after="0" w:line="133"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enter into certain derivative contracts that are not designated as hedges, such as foreign exchange forward contracts and currency option contracts. These derivative contracts are used to manage certain costs of foreign currency-denominated merchandise purchases, intercompany transactions, and the effect of fluctuating foreign exchange rates on the reporting of foreign currency-denominated earnings. Changes in the fair value of derivative holdings not designated as hedges, as well as realized gains and premiums paid, are recorded in earnings immediately within SG&amp;A or Other income, net, depending on the type of transaction. The aggregate amount recognized for these contracts was not significant for any of the periods presented.</w:t>
      </w:r>
    </w:p>
    <w:p>
      <w:pPr>
        <w:spacing w:after="0" w:line="110"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7"/>
          <w:szCs w:val="17"/>
          <w:color w:val="auto"/>
        </w:rPr>
        <w:t>The notional value of foreign exchange forward contracts outstanding at February 1, 2020 and February 2, 2019 was $1 million and $11 million, respectively. The foreign exchange forward contracts outstanding at February 1, 2020 matured during February 2020.</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Fair Value of Derivative Contracts</w:t>
      </w:r>
    </w:p>
    <w:p>
      <w:pPr>
        <w:spacing w:after="0" w:line="13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The following represents the fair value of our derivative contracts. Many of our agreements allow for a netting arrangement. The following is presented on a gross basis, by type of contract:</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2220" w:type="dxa"/>
            <w:vAlign w:val="bottom"/>
          </w:tcPr>
          <w:p>
            <w:pPr>
              <w:jc w:val="center"/>
              <w:ind w:left="575"/>
              <w:spacing w:after="0"/>
              <w:rPr>
                <w:sz w:val="20"/>
                <w:szCs w:val="20"/>
                <w:color w:val="auto"/>
              </w:rPr>
            </w:pPr>
            <w:r>
              <w:rPr>
                <w:rFonts w:ascii="Arial" w:cs="Arial" w:eastAsia="Arial" w:hAnsi="Arial"/>
                <w:sz w:val="17"/>
                <w:szCs w:val="17"/>
                <w:b w:val="1"/>
                <w:bCs w:val="1"/>
                <w:color w:val="auto"/>
                <w:w w:val="99"/>
              </w:rPr>
              <w:t>Balance Sheet</w:t>
            </w:r>
          </w:p>
        </w:tc>
        <w:tc>
          <w:tcPr>
            <w:tcW w:w="380" w:type="dxa"/>
            <w:vAlign w:val="bottom"/>
          </w:tcPr>
          <w:p>
            <w:pPr>
              <w:spacing w:after="0"/>
              <w:rPr>
                <w:sz w:val="17"/>
                <w:szCs w:val="17"/>
                <w:color w:val="auto"/>
              </w:rPr>
            </w:pPr>
          </w:p>
        </w:tc>
        <w:tc>
          <w:tcPr>
            <w:tcW w:w="1320" w:type="dxa"/>
            <w:vAlign w:val="bottom"/>
          </w:tcPr>
          <w:p>
            <w:pPr>
              <w:jc w:val="center"/>
              <w:ind w:right="175"/>
              <w:spacing w:after="0"/>
              <w:rPr>
                <w:sz w:val="20"/>
                <w:szCs w:val="20"/>
                <w:color w:val="auto"/>
              </w:rPr>
            </w:pPr>
            <w:r>
              <w:rPr>
                <w:rFonts w:ascii="Arial" w:cs="Arial" w:eastAsia="Arial" w:hAnsi="Arial"/>
                <w:sz w:val="17"/>
                <w:szCs w:val="17"/>
                <w:b w:val="1"/>
                <w:bCs w:val="1"/>
                <w:color w:val="auto"/>
              </w:rPr>
              <w:t>February 1,</w:t>
            </w:r>
          </w:p>
        </w:tc>
        <w:tc>
          <w:tcPr>
            <w:tcW w:w="320" w:type="dxa"/>
            <w:vAlign w:val="bottom"/>
          </w:tcPr>
          <w:p>
            <w:pPr>
              <w:spacing w:after="0"/>
              <w:rPr>
                <w:sz w:val="17"/>
                <w:szCs w:val="17"/>
                <w:color w:val="auto"/>
              </w:rPr>
            </w:pPr>
          </w:p>
        </w:tc>
        <w:tc>
          <w:tcPr>
            <w:tcW w:w="1240" w:type="dxa"/>
            <w:vAlign w:val="bottom"/>
          </w:tcPr>
          <w:p>
            <w:pPr>
              <w:jc w:val="center"/>
              <w:ind w:right="95"/>
              <w:spacing w:after="0"/>
              <w:rPr>
                <w:sz w:val="20"/>
                <w:szCs w:val="20"/>
                <w:color w:val="auto"/>
              </w:rPr>
            </w:pPr>
            <w:r>
              <w:rPr>
                <w:rFonts w:ascii="Arial" w:cs="Arial" w:eastAsia="Arial" w:hAnsi="Arial"/>
                <w:sz w:val="17"/>
                <w:szCs w:val="17"/>
                <w:color w:val="auto"/>
                <w:w w:val="98"/>
              </w:rPr>
              <w:t>February 2,</w:t>
            </w:r>
          </w:p>
        </w:tc>
      </w:tr>
      <w:tr>
        <w:trPr>
          <w:trHeight w:val="215"/>
        </w:trPr>
        <w:tc>
          <w:tcPr>
            <w:tcW w:w="3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220" w:type="dxa"/>
            <w:vAlign w:val="bottom"/>
            <w:tcBorders>
              <w:bottom w:val="single" w:sz="8" w:color="auto"/>
            </w:tcBorders>
          </w:tcPr>
          <w:p>
            <w:pPr>
              <w:jc w:val="center"/>
              <w:ind w:left="575"/>
              <w:spacing w:after="0"/>
              <w:rPr>
                <w:sz w:val="20"/>
                <w:szCs w:val="20"/>
                <w:color w:val="auto"/>
              </w:rPr>
            </w:pPr>
            <w:r>
              <w:rPr>
                <w:rFonts w:ascii="Arial" w:cs="Arial" w:eastAsia="Arial" w:hAnsi="Arial"/>
                <w:sz w:val="17"/>
                <w:szCs w:val="17"/>
                <w:b w:val="1"/>
                <w:bCs w:val="1"/>
                <w:color w:val="auto"/>
              </w:rPr>
              <w:t>Caption</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2019</w:t>
            </w:r>
          </w:p>
        </w:tc>
      </w:tr>
      <w:tr>
        <w:trPr>
          <w:trHeight w:val="183"/>
        </w:trPr>
        <w:tc>
          <w:tcPr>
            <w:tcW w:w="342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i w:val="1"/>
                <w:iCs w:val="1"/>
                <w:color w:val="auto"/>
              </w:rPr>
              <w:t>Hedging Instruments:</w:t>
            </w:r>
          </w:p>
        </w:tc>
        <w:tc>
          <w:tcPr>
            <w:tcW w:w="2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9"/>
        </w:trPr>
        <w:tc>
          <w:tcPr>
            <w:tcW w:w="34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Foreign exchange forward contracts</w:t>
            </w:r>
          </w:p>
        </w:tc>
        <w:tc>
          <w:tcPr>
            <w:tcW w:w="2220" w:type="dxa"/>
            <w:vAlign w:val="bottom"/>
            <w:tcBorders>
              <w:bottom w:val="single" w:sz="8" w:color="auto"/>
            </w:tcBorders>
          </w:tcPr>
          <w:p>
            <w:pPr>
              <w:ind w:left="680"/>
              <w:spacing w:after="0" w:line="189" w:lineRule="exact"/>
              <w:rPr>
                <w:sz w:val="20"/>
                <w:szCs w:val="20"/>
                <w:color w:val="auto"/>
              </w:rPr>
            </w:pPr>
            <w:r>
              <w:rPr>
                <w:rFonts w:ascii="Arial" w:cs="Arial" w:eastAsia="Arial" w:hAnsi="Arial"/>
                <w:sz w:val="17"/>
                <w:szCs w:val="17"/>
                <w:color w:val="auto"/>
              </w:rPr>
              <w:t>Current liabilities</w:t>
            </w:r>
          </w:p>
        </w:tc>
        <w:tc>
          <w:tcPr>
            <w:tcW w:w="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r>
    </w:tbl>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Notional Values and Foreign Currency Exchange Rates</w:t>
      </w:r>
    </w:p>
    <w:p>
      <w:pPr>
        <w:spacing w:after="0" w:line="187"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The table below presents the notional amounts for all outstanding derivatives and the weighted-average exchange rates of foreign exchange forward contracts at February 1, 2020:</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jc w:val="center"/>
              <w:ind w:left="35"/>
              <w:spacing w:after="0"/>
              <w:rPr>
                <w:sz w:val="20"/>
                <w:szCs w:val="20"/>
                <w:color w:val="auto"/>
              </w:rPr>
            </w:pPr>
            <w:r>
              <w:rPr>
                <w:rFonts w:ascii="Arial" w:cs="Arial" w:eastAsia="Arial" w:hAnsi="Arial"/>
                <w:sz w:val="17"/>
                <w:szCs w:val="17"/>
                <w:color w:val="auto"/>
              </w:rPr>
              <w:t>Weighted-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740" w:type="dxa"/>
            <w:vAlign w:val="bottom"/>
            <w:gridSpan w:val="2"/>
          </w:tcPr>
          <w:p>
            <w:pPr>
              <w:jc w:val="right"/>
              <w:ind w:right="55"/>
              <w:spacing w:after="0" w:line="189" w:lineRule="exact"/>
              <w:rPr>
                <w:sz w:val="20"/>
                <w:szCs w:val="20"/>
                <w:color w:val="auto"/>
              </w:rPr>
            </w:pPr>
            <w:r>
              <w:rPr>
                <w:rFonts w:ascii="Arial" w:cs="Arial" w:eastAsia="Arial" w:hAnsi="Arial"/>
                <w:sz w:val="17"/>
                <w:szCs w:val="17"/>
                <w:color w:val="auto"/>
              </w:rPr>
              <w:t>Contract Value</w:t>
            </w:r>
          </w:p>
        </w:tc>
        <w:tc>
          <w:tcPr>
            <w:tcW w:w="1340" w:type="dxa"/>
            <w:vAlign w:val="bottom"/>
          </w:tcPr>
          <w:p>
            <w:pPr>
              <w:jc w:val="center"/>
              <w:ind w:left="35"/>
              <w:spacing w:after="0" w:line="189" w:lineRule="exact"/>
              <w:rPr>
                <w:sz w:val="20"/>
                <w:szCs w:val="20"/>
                <w:color w:val="auto"/>
              </w:rPr>
            </w:pPr>
            <w:r>
              <w:rPr>
                <w:rFonts w:ascii="Arial" w:cs="Arial" w:eastAsia="Arial" w:hAnsi="Arial"/>
                <w:sz w:val="17"/>
                <w:szCs w:val="17"/>
                <w:color w:val="auto"/>
                <w:w w:val="97"/>
              </w:rPr>
              <w:t>Average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in millions)</w:t>
            </w:r>
          </w:p>
        </w:tc>
        <w:tc>
          <w:tcPr>
            <w:tcW w:w="1340" w:type="dxa"/>
            <w:vAlign w:val="bottom"/>
            <w:tcBorders>
              <w:bottom w:val="single" w:sz="8" w:color="auto"/>
            </w:tcBorders>
          </w:tcPr>
          <w:p>
            <w:pPr>
              <w:jc w:val="center"/>
              <w:ind w:left="35"/>
              <w:spacing w:after="0"/>
              <w:rPr>
                <w:sz w:val="20"/>
                <w:szCs w:val="20"/>
                <w:color w:val="auto"/>
              </w:rPr>
            </w:pPr>
            <w:r>
              <w:rPr>
                <w:rFonts w:ascii="Arial" w:cs="Arial" w:eastAsia="Arial" w:hAnsi="Arial"/>
                <w:sz w:val="17"/>
                <w:szCs w:val="17"/>
                <w:color w:val="auto"/>
              </w:rPr>
              <w:t>Exchange Rate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Inventory</w:t>
            </w:r>
          </w:p>
        </w:tc>
        <w:tc>
          <w:tcPr>
            <w:tcW w:w="27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line="189" w:lineRule="exact"/>
              <w:rPr>
                <w:sz w:val="20"/>
                <w:szCs w:val="20"/>
                <w:color w:val="auto"/>
              </w:rPr>
            </w:pPr>
            <w:r>
              <w:rPr>
                <w:rFonts w:ascii="Arial" w:cs="Arial" w:eastAsia="Arial" w:hAnsi="Arial"/>
                <w:sz w:val="17"/>
                <w:szCs w:val="17"/>
                <w:color w:val="auto"/>
              </w:rPr>
              <w:t>Buy €/Sell British £</w:t>
            </w:r>
          </w:p>
        </w:tc>
        <w:tc>
          <w:tcPr>
            <w:tcW w:w="2720" w:type="dxa"/>
            <w:vAlign w:val="bottom"/>
          </w:tcPr>
          <w:p>
            <w:pPr>
              <w:jc w:val="right"/>
              <w:ind w:right="315"/>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92</w:t>
            </w: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0.8847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00" w:type="dxa"/>
            <w:vAlign w:val="bottom"/>
          </w:tcPr>
          <w:p>
            <w:pPr>
              <w:spacing w:after="0" w:line="189" w:lineRule="exact"/>
              <w:rPr>
                <w:sz w:val="20"/>
                <w:szCs w:val="20"/>
                <w:color w:val="auto"/>
              </w:rPr>
            </w:pPr>
            <w:r>
              <w:rPr>
                <w:rFonts w:ascii="Arial" w:cs="Arial" w:eastAsia="Arial" w:hAnsi="Arial"/>
                <w:sz w:val="17"/>
                <w:szCs w:val="17"/>
                <w:color w:val="auto"/>
              </w:rPr>
              <w:t>Intercompany</w:t>
            </w:r>
          </w:p>
        </w:tc>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Buy US $/Sell CAD $</w:t>
            </w:r>
          </w:p>
        </w:tc>
        <w:tc>
          <w:tcPr>
            <w:tcW w:w="2720" w:type="dxa"/>
            <w:vAlign w:val="bottom"/>
            <w:tcBorders>
              <w:bottom w:val="single" w:sz="8" w:color="auto"/>
            </w:tcBorders>
            <w:shd w:val="clear" w:color="auto" w:fill="CCEEFF"/>
          </w:tcPr>
          <w:p>
            <w:pPr>
              <w:jc w:val="right"/>
              <w:ind w:right="315"/>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w:t>
            </w: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1.3167</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Business Risk</w:t>
      </w:r>
    </w:p>
    <w:p>
      <w:pPr>
        <w:spacing w:after="0" w:line="17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retailing business is highly competitive. Price, quality, selection of merchandise, reputation, store location, advertising, and customer experience are important competitive factors in the Company’s business. We operate in 27 countries and purchased approximately 91 percent of our merchandise in 2019 from our top 5 suppliers. In 2019, we purchased approximately 71 percent of our athletic merchandise from one major supplier, Nike, Inc. (“Nike”). Each of our operating divisions is highly dependent on Nike; they individually purchased 43 to 77 percent of their merchandise from Nike.</w:t>
      </w:r>
    </w:p>
    <w:p>
      <w:pPr>
        <w:spacing w:after="0" w:line="16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Included in our Consolidated Balance Sheet at February 1, 2020, are the net assets of the Company’s European operations, which total $487 million and are located in 20 countries, 11 of which have adopted the euro as their functional currency.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19. Fair Value Measurements</w:t>
      </w:r>
    </w:p>
    <w:p>
      <w:pPr>
        <w:spacing w:after="0" w:line="1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categorize our financial instruments into a three-level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w:t>
      </w:r>
    </w:p>
    <w:p>
      <w:pPr>
        <w:spacing w:after="0" w:line="15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7"/>
          <w:szCs w:val="17"/>
          <w:color w:val="auto"/>
        </w:rPr>
        <w:t>Fair value is determined based upon the exit price that would be received to sell an asset or paid to transfer a liability in an orderly transaction between market participants exclusive of any transaction costs. Our financial assets recorded at fair value are categorized as follows:</w:t>
      </w:r>
    </w:p>
    <w:p>
      <w:pPr>
        <w:spacing w:after="0" w:line="121" w:lineRule="exact"/>
        <w:rPr>
          <w:sz w:val="20"/>
          <w:szCs w:val="20"/>
          <w:color w:val="auto"/>
        </w:rPr>
      </w:pPr>
    </w:p>
    <w:p>
      <w:pPr>
        <w:ind w:left="80"/>
        <w:spacing w:after="0"/>
        <w:tabs>
          <w:tab w:leader="none" w:pos="980" w:val="left"/>
        </w:tabs>
        <w:rPr>
          <w:sz w:val="20"/>
          <w:szCs w:val="20"/>
          <w:color w:val="auto"/>
        </w:rPr>
      </w:pPr>
      <w:r>
        <w:rPr>
          <w:rFonts w:ascii="Arial" w:cs="Arial" w:eastAsia="Arial" w:hAnsi="Arial"/>
          <w:sz w:val="17"/>
          <w:szCs w:val="17"/>
          <w:b w:val="1"/>
          <w:bCs w:val="1"/>
          <w:color w:val="auto"/>
        </w:rPr>
        <w:t>Level 1 -</w:t>
      </w:r>
      <w:r>
        <w:rPr>
          <w:sz w:val="20"/>
          <w:szCs w:val="20"/>
          <w:color w:val="auto"/>
        </w:rPr>
        <w:tab/>
      </w:r>
      <w:r>
        <w:rPr>
          <w:rFonts w:ascii="Arial" w:cs="Arial" w:eastAsia="Arial" w:hAnsi="Arial"/>
          <w:sz w:val="17"/>
          <w:szCs w:val="17"/>
          <w:color w:val="auto"/>
        </w:rPr>
        <w:t>Quoted prices for identical instruments in active markets.</w:t>
      </w:r>
    </w:p>
    <w:p>
      <w:pPr>
        <w:spacing w:after="0" w:line="14" w:lineRule="exact"/>
        <w:rPr>
          <w:sz w:val="20"/>
          <w:szCs w:val="20"/>
          <w:color w:val="auto"/>
        </w:rPr>
      </w:pPr>
    </w:p>
    <w:p>
      <w:pPr>
        <w:jc w:val="both"/>
        <w:ind w:left="1020" w:right="59" w:hanging="945"/>
        <w:spacing w:after="0" w:line="232" w:lineRule="auto"/>
        <w:tabs>
          <w:tab w:leader="none" w:pos="1000" w:val="left"/>
        </w:tabs>
        <w:rPr>
          <w:sz w:val="20"/>
          <w:szCs w:val="20"/>
          <w:color w:val="auto"/>
        </w:rPr>
      </w:pPr>
      <w:r>
        <w:rPr>
          <w:rFonts w:ascii="Arial" w:cs="Arial" w:eastAsia="Arial" w:hAnsi="Arial"/>
          <w:sz w:val="17"/>
          <w:szCs w:val="17"/>
          <w:b w:val="1"/>
          <w:bCs w:val="1"/>
          <w:color w:val="auto"/>
        </w:rPr>
        <w:t>Level 2 -</w:t>
      </w:r>
      <w:r>
        <w:rPr>
          <w:sz w:val="20"/>
          <w:szCs w:val="20"/>
          <w:color w:val="auto"/>
        </w:rPr>
        <w:tab/>
      </w:r>
      <w:r>
        <w:rPr>
          <w:rFonts w:ascii="Arial" w:cs="Arial" w:eastAsia="Arial" w:hAnsi="Arial"/>
          <w:sz w:val="17"/>
          <w:szCs w:val="17"/>
          <w:color w:val="auto"/>
        </w:rPr>
        <w:t>Observable inputs other than quoted prices included within Level 1, including quoted prices for similar instruments in active markets; quoted prices for identical or similar instruments in markets that are not active; and model-derived valuations in which all significant inputs or significant value-drivers are observable in active markets.</w:t>
      </w:r>
    </w:p>
    <w:p>
      <w:pPr>
        <w:jc w:val="both"/>
        <w:ind w:left="1020" w:right="59" w:hanging="945"/>
        <w:spacing w:after="0" w:line="243" w:lineRule="auto"/>
        <w:tabs>
          <w:tab w:leader="none" w:pos="1000" w:val="left"/>
        </w:tabs>
        <w:rPr>
          <w:sz w:val="20"/>
          <w:szCs w:val="20"/>
          <w:color w:val="auto"/>
        </w:rPr>
      </w:pPr>
      <w:r>
        <w:rPr>
          <w:rFonts w:ascii="Arial" w:cs="Arial" w:eastAsia="Arial" w:hAnsi="Arial"/>
          <w:sz w:val="17"/>
          <w:szCs w:val="17"/>
          <w:b w:val="1"/>
          <w:bCs w:val="1"/>
          <w:color w:val="auto"/>
        </w:rPr>
        <w:t>Level 3 -</w:t>
      </w:r>
      <w:r>
        <w:rPr>
          <w:sz w:val="20"/>
          <w:szCs w:val="20"/>
          <w:color w:val="auto"/>
        </w:rPr>
        <w:tab/>
      </w:r>
      <w:r>
        <w:rPr>
          <w:rFonts w:ascii="Arial" w:cs="Arial" w:eastAsia="Arial" w:hAnsi="Arial"/>
          <w:sz w:val="17"/>
          <w:szCs w:val="17"/>
          <w:color w:val="auto"/>
        </w:rPr>
        <w:t>Model-derived valuations in which one or more significant inputs or significant value-drivers are unobservable.</w:t>
      </w:r>
    </w:p>
    <w:p>
      <w:pPr>
        <w:spacing w:after="0" w:line="90"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The fair value of the auction rate security is determined by using quoted prices for similar instruments in active markets and accordingly is classified as a Level 2 instrument.</w:t>
      </w:r>
    </w:p>
    <w:p>
      <w:pPr>
        <w:spacing w:after="0" w:line="15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Our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Assets and Liabilities Measured at Fair Value on a Recurring Basis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420"/>
              <w:spacing w:after="0"/>
              <w:rPr>
                <w:sz w:val="20"/>
                <w:szCs w:val="20"/>
                <w:color w:val="auto"/>
              </w:rPr>
            </w:pPr>
            <w:r>
              <w:rPr>
                <w:rFonts w:ascii="Arial" w:cs="Arial" w:eastAsia="Arial" w:hAnsi="Arial"/>
                <w:sz w:val="17"/>
                <w:szCs w:val="17"/>
                <w:b w:val="1"/>
                <w:bCs w:val="1"/>
                <w:color w:val="auto"/>
              </w:rPr>
              <w:t>As of February 1, 2020</w:t>
            </w: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480"/>
              <w:spacing w:after="0"/>
              <w:rPr>
                <w:sz w:val="20"/>
                <w:szCs w:val="20"/>
                <w:color w:val="auto"/>
              </w:rPr>
            </w:pPr>
            <w:r>
              <w:rPr>
                <w:rFonts w:ascii="Arial" w:cs="Arial" w:eastAsia="Arial" w:hAnsi="Arial"/>
                <w:sz w:val="17"/>
                <w:szCs w:val="17"/>
                <w:color w:val="auto"/>
              </w:rPr>
              <w:t>As of February 2, 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gridSpan w:val="3"/>
          </w:tcPr>
          <w:p>
            <w:pPr>
              <w:ind w:left="340"/>
              <w:spacing w:after="0" w:line="156" w:lineRule="exact"/>
              <w:rPr>
                <w:sz w:val="20"/>
                <w:szCs w:val="20"/>
                <w:color w:val="auto"/>
              </w:rPr>
            </w:pPr>
            <w:r>
              <w:rPr>
                <w:rFonts w:ascii="Arial" w:cs="Arial" w:eastAsia="Arial" w:hAnsi="Arial"/>
                <w:sz w:val="17"/>
                <w:szCs w:val="17"/>
                <w:color w:val="auto"/>
              </w:rPr>
              <w:t>($ in millions)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Level 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Level 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Level 3</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Level 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Level 2</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Level 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Available-for-sale security</w:t>
            </w:r>
          </w:p>
        </w:tc>
        <w:tc>
          <w:tcPr>
            <w:tcW w:w="5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480"/>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7</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500"/>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480"/>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6</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Assets</w:t>
            </w:r>
          </w:p>
        </w:tc>
        <w:tc>
          <w:tcPr>
            <w:tcW w:w="5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ind w:left="48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7</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ind w:left="50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ind w:left="480"/>
              <w:spacing w:after="0" w:line="183"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6</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ind w:left="50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2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Liabilities</w:t>
            </w: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tcPr>
          <w:p>
            <w:pPr>
              <w:spacing w:after="0" w:line="183" w:lineRule="exact"/>
              <w:rPr>
                <w:sz w:val="20"/>
                <w:szCs w:val="20"/>
                <w:color w:val="auto"/>
              </w:rPr>
            </w:pPr>
            <w:r>
              <w:rPr>
                <w:rFonts w:ascii="Arial" w:cs="Arial" w:eastAsia="Arial" w:hAnsi="Arial"/>
                <w:sz w:val="17"/>
                <w:szCs w:val="17"/>
                <w:color w:val="auto"/>
              </w:rPr>
              <w:t>Foreign exchange forward</w:t>
            </w:r>
          </w:p>
        </w:tc>
        <w:tc>
          <w:tcPr>
            <w:tcW w:w="560" w:type="dxa"/>
            <w:vAlign w:val="bottom"/>
          </w:tcPr>
          <w:p>
            <w:pPr>
              <w:spacing w:after="0"/>
              <w:rPr>
                <w:sz w:val="15"/>
                <w:szCs w:val="15"/>
                <w:color w:val="auto"/>
              </w:rPr>
            </w:pPr>
          </w:p>
        </w:tc>
        <w:tc>
          <w:tcPr>
            <w:tcW w:w="780" w:type="dxa"/>
            <w:vAlign w:val="bottom"/>
            <w:vMerge w:val="restart"/>
          </w:tcPr>
          <w:p>
            <w:pPr>
              <w:ind w:left="4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5"/>
                <w:szCs w:val="15"/>
                <w:color w:val="auto"/>
              </w:rPr>
            </w:pPr>
          </w:p>
        </w:tc>
        <w:tc>
          <w:tcPr>
            <w:tcW w:w="80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4</w:t>
            </w:r>
          </w:p>
        </w:tc>
        <w:tc>
          <w:tcPr>
            <w:tcW w:w="240" w:type="dxa"/>
            <w:vAlign w:val="bottom"/>
          </w:tcPr>
          <w:p>
            <w:pPr>
              <w:spacing w:after="0"/>
              <w:rPr>
                <w:sz w:val="15"/>
                <w:szCs w:val="15"/>
                <w:color w:val="auto"/>
              </w:rPr>
            </w:pPr>
          </w:p>
        </w:tc>
        <w:tc>
          <w:tcPr>
            <w:tcW w:w="800" w:type="dxa"/>
            <w:vAlign w:val="bottom"/>
            <w:vMerge w:val="restart"/>
          </w:tcPr>
          <w:p>
            <w:pPr>
              <w:ind w:left="50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contracts</w:t>
            </w:r>
          </w:p>
        </w:tc>
        <w:tc>
          <w:tcPr>
            <w:tcW w:w="5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Liabilities</w:t>
            </w:r>
          </w:p>
        </w:tc>
        <w:tc>
          <w:tcPr>
            <w:tcW w:w="5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ind w:left="48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ind w:left="50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ind w:left="480"/>
              <w:spacing w:after="0" w:line="183"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ind w:left="50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60" w:right="1559"/>
        <w:spacing w:after="0" w:line="447" w:lineRule="auto"/>
        <w:rPr>
          <w:sz w:val="20"/>
          <w:szCs w:val="20"/>
          <w:color w:val="auto"/>
        </w:rPr>
      </w:pPr>
      <w:r>
        <w:rPr>
          <w:rFonts w:ascii="Arial" w:cs="Arial" w:eastAsia="Arial" w:hAnsi="Arial"/>
          <w:sz w:val="17"/>
          <w:szCs w:val="17"/>
          <w:color w:val="auto"/>
        </w:rPr>
        <w:t xml:space="preserve">There were no transfers into or out of Level 1, Level 2, or Level 3 for any of the periods presented. </w:t>
      </w:r>
      <w:r>
        <w:rPr>
          <w:rFonts w:ascii="Arial" w:cs="Arial" w:eastAsia="Arial" w:hAnsi="Arial"/>
          <w:sz w:val="17"/>
          <w:szCs w:val="17"/>
          <w:i w:val="1"/>
          <w:iCs w:val="1"/>
          <w:color w:val="auto"/>
        </w:rPr>
        <w:t>Assets and Liabilities Measured at Fair Value on a Nonrecurring Basis</w:t>
      </w:r>
    </w:p>
    <w:p>
      <w:pPr>
        <w:spacing w:after="0" w:line="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Assets and liabilities recognized or disclosed at fair value on the consolidated financial statements on a nonrecurring basis include items such as property, plant and equipment, operating lease right-of-use assets, goodwill, other intangible assets and minority investments that are not accounted for under the equity method of accounting. These assets are measured using Level 3 inputs, if determined to be impaired.</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Long-Term Debt</w:t>
      </w:r>
    </w:p>
    <w:p>
      <w:pPr>
        <w:spacing w:after="0" w:line="187"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The fair value of long-term debt is determined by using model-derived valuations in which all significant inputs or significant value-drivers are observable in active markets and therefore are classified as Level 2.</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20" w:type="dxa"/>
            <w:vAlign w:val="bottom"/>
          </w:tcPr>
          <w:p>
            <w:pPr>
              <w:jc w:val="right"/>
              <w:ind w:right="235"/>
              <w:spacing w:after="0"/>
              <w:rPr>
                <w:sz w:val="20"/>
                <w:szCs w:val="20"/>
                <w:color w:val="auto"/>
              </w:rPr>
            </w:pPr>
            <w:r>
              <w:rPr>
                <w:rFonts w:ascii="Arial" w:cs="Arial" w:eastAsia="Arial" w:hAnsi="Arial"/>
                <w:sz w:val="17"/>
                <w:szCs w:val="17"/>
                <w:b w:val="1"/>
                <w:bCs w:val="1"/>
                <w:color w:val="auto"/>
              </w:rPr>
              <w:t>February 1,</w:t>
            </w:r>
          </w:p>
        </w:tc>
        <w:tc>
          <w:tcPr>
            <w:tcW w:w="320" w:type="dxa"/>
            <w:vAlign w:val="bottom"/>
          </w:tcPr>
          <w:p>
            <w:pPr>
              <w:spacing w:after="0"/>
              <w:rPr>
                <w:sz w:val="16"/>
                <w:szCs w:val="16"/>
                <w:color w:val="auto"/>
              </w:rPr>
            </w:pPr>
          </w:p>
        </w:tc>
        <w:tc>
          <w:tcPr>
            <w:tcW w:w="1260" w:type="dxa"/>
            <w:vAlign w:val="bottom"/>
          </w:tcPr>
          <w:p>
            <w:pPr>
              <w:jc w:val="right"/>
              <w:ind w:right="215"/>
              <w:spacing w:after="0"/>
              <w:rPr>
                <w:sz w:val="20"/>
                <w:szCs w:val="20"/>
                <w:color w:val="auto"/>
              </w:rPr>
            </w:pPr>
            <w:r>
              <w:rPr>
                <w:rFonts w:ascii="Arial" w:cs="Arial" w:eastAsia="Arial" w:hAnsi="Arial"/>
                <w:sz w:val="17"/>
                <w:szCs w:val="17"/>
                <w:color w:val="auto"/>
              </w:rPr>
              <w:t>February 2,</w:t>
            </w:r>
          </w:p>
        </w:tc>
      </w:tr>
      <w:tr>
        <w:trPr>
          <w:trHeight w:val="215"/>
        </w:trPr>
        <w:tc>
          <w:tcPr>
            <w:tcW w:w="34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2019</w:t>
            </w:r>
          </w:p>
        </w:tc>
      </w:tr>
      <w:tr>
        <w:trPr>
          <w:trHeight w:val="183"/>
        </w:trPr>
        <w:tc>
          <w:tcPr>
            <w:tcW w:w="34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900" w:type="dxa"/>
            <w:vAlign w:val="bottom"/>
            <w:gridSpan w:val="3"/>
          </w:tcPr>
          <w:p>
            <w:pPr>
              <w:jc w:val="right"/>
              <w:ind w:right="95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Carrying value</w:t>
            </w:r>
          </w:p>
        </w:tc>
        <w:tc>
          <w:tcPr>
            <w:tcW w:w="2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122</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124</w:t>
            </w:r>
          </w:p>
        </w:tc>
      </w:tr>
      <w:tr>
        <w:trPr>
          <w:trHeight w:val="189"/>
        </w:trPr>
        <w:tc>
          <w:tcPr>
            <w:tcW w:w="34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Fair value</w:t>
            </w:r>
          </w:p>
        </w:tc>
        <w:tc>
          <w:tcPr>
            <w:tcW w:w="2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135</w:t>
            </w:r>
          </w:p>
        </w:tc>
        <w:tc>
          <w:tcPr>
            <w:tcW w:w="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136</w:t>
            </w:r>
          </w:p>
        </w:tc>
      </w:tr>
    </w:tbl>
    <w:p>
      <w:pPr>
        <w:spacing w:after="0" w:line="345"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The carrying values of cash and cash equivalents, restricted cash, and other current receivables and payables approximate their fair value.</w:t>
      </w:r>
    </w:p>
    <w:p>
      <w:pPr>
        <w:spacing w:after="0" w:line="158"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7" w:name="page68"/>
    <w:bookmarkEnd w:id="67"/>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20. Retirement Plans and Other Benefits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Pension and Other Postretirement Plans</w:t>
      </w:r>
    </w:p>
    <w:p>
      <w:pPr>
        <w:spacing w:after="0" w:line="16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We have defined benefit pension plans covering certain of our North American employees. In May 2019, the U.S. qualified pension plan was amended such that all employees who were not participants in the plan as of December 31, 2019, will not become participants after such date. All benefit accruals were frozen as of December 31, 2019 for all plan participants with less than eleven years of service as of December 31, 2019. For participants with more than eleven years of service as of December 31, 2019, benefit accruals will be frozen as of December 31, 2022. Participants will continue to accrue interest in accordance with the plan’s provisions.</w:t>
      </w:r>
    </w:p>
    <w:p>
      <w:pPr>
        <w:spacing w:after="0" w:line="160" w:lineRule="exact"/>
        <w:rPr>
          <w:sz w:val="20"/>
          <w:szCs w:val="20"/>
          <w:color w:val="auto"/>
        </w:rPr>
      </w:pPr>
    </w:p>
    <w:p>
      <w:pPr>
        <w:jc w:val="both"/>
        <w:ind w:left="60" w:right="79"/>
        <w:spacing w:after="0" w:line="236" w:lineRule="auto"/>
        <w:rPr>
          <w:sz w:val="20"/>
          <w:szCs w:val="20"/>
          <w:color w:val="auto"/>
        </w:rPr>
      </w:pPr>
      <w:r>
        <w:rPr>
          <w:rFonts w:ascii="Arial" w:cs="Arial" w:eastAsia="Arial" w:hAnsi="Arial"/>
          <w:sz w:val="17"/>
          <w:szCs w:val="17"/>
          <w:color w:val="auto"/>
        </w:rPr>
        <w:t>We also sponsor postretirement medical and life insurance plans, which are available to most of our retired U.S. employees. These plans are contributory and are not funded. The measurement date of the assets and liabilities is the month-end date that is closest to our fiscal year end. The following tables set forth the plans’ changes in benefit obligations and plan assets, funded status, and amounts recognized in the Consolidated Balance Sheets:</w:t>
      </w:r>
    </w:p>
    <w:p>
      <w:pPr>
        <w:spacing w:after="0" w:line="8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7"/>
                <w:szCs w:val="17"/>
                <w:b w:val="1"/>
                <w:bCs w:val="1"/>
                <w:color w:val="auto"/>
              </w:rPr>
              <w:t>Pension Benefits</w:t>
            </w: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7"/>
                <w:szCs w:val="17"/>
                <w:b w:val="1"/>
                <w:bCs w:val="1"/>
                <w:color w:val="auto"/>
              </w:rPr>
              <w:t>Postretirement Benefits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2019</w:t>
            </w:r>
          </w:p>
        </w:tc>
        <w:tc>
          <w:tcPr>
            <w:tcW w:w="4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5"/>
              <w:spacing w:after="0" w:line="183" w:lineRule="exact"/>
              <w:rPr>
                <w:sz w:val="20"/>
                <w:szCs w:val="20"/>
                <w:color w:val="auto"/>
              </w:rPr>
            </w:pPr>
            <w:r>
              <w:rPr>
                <w:rFonts w:ascii="Arial" w:cs="Arial" w:eastAsia="Arial" w:hAnsi="Arial"/>
                <w:sz w:val="17"/>
                <w:szCs w:val="17"/>
                <w:color w:val="auto"/>
              </w:rPr>
              <w:t>2018</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b w:val="1"/>
                <w:bCs w:val="1"/>
                <w:color w:val="auto"/>
              </w:rPr>
              <w:t>2019</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gridSpan w:val="3"/>
          </w:tcPr>
          <w:p>
            <w:pPr>
              <w:jc w:val="right"/>
              <w:ind w:right="695"/>
              <w:spacing w:after="0"/>
              <w:rPr>
                <w:sz w:val="20"/>
                <w:szCs w:val="20"/>
                <w:color w:val="auto"/>
              </w:rPr>
            </w:pPr>
            <w:r>
              <w:rPr>
                <w:rFonts w:ascii="Arial" w:cs="Arial" w:eastAsia="Arial" w:hAnsi="Arial"/>
                <w:sz w:val="17"/>
                <w:szCs w:val="17"/>
                <w:color w:val="auto"/>
              </w:rPr>
              <w:t>($ in millions)</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Change in benefit obligation</w:t>
            </w: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80"/>
              <w:spacing w:after="0" w:line="189" w:lineRule="exact"/>
              <w:rPr>
                <w:sz w:val="20"/>
                <w:szCs w:val="20"/>
                <w:color w:val="auto"/>
              </w:rPr>
            </w:pPr>
            <w:r>
              <w:rPr>
                <w:rFonts w:ascii="Arial" w:cs="Arial" w:eastAsia="Arial" w:hAnsi="Arial"/>
                <w:sz w:val="17"/>
                <w:szCs w:val="17"/>
                <w:color w:val="auto"/>
              </w:rPr>
              <w:t>Benefit obligation at beginning of year</w:t>
            </w:r>
          </w:p>
        </w:tc>
        <w:tc>
          <w:tcPr>
            <w:tcW w:w="980" w:type="dxa"/>
            <w:vAlign w:val="bottom"/>
          </w:tcPr>
          <w:p>
            <w:pPr>
              <w:jc w:val="right"/>
              <w:ind w:right="555"/>
              <w:spacing w:after="0" w:line="189" w:lineRule="exact"/>
              <w:rPr>
                <w:sz w:val="20"/>
                <w:szCs w:val="20"/>
                <w:color w:val="auto"/>
              </w:rPr>
            </w:pPr>
            <w:r>
              <w:rPr>
                <w:rFonts w:ascii="Arial" w:cs="Arial" w:eastAsia="Arial" w:hAnsi="Arial"/>
                <w:sz w:val="17"/>
                <w:szCs w:val="17"/>
                <w:b w:val="1"/>
                <w:bCs w:val="1"/>
                <w:color w:val="auto"/>
              </w:rPr>
              <w:t>$</w:t>
            </w:r>
          </w:p>
        </w:tc>
        <w:tc>
          <w:tcPr>
            <w:tcW w:w="4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w w:val="91"/>
              </w:rPr>
              <w:t>739</w:t>
            </w:r>
          </w:p>
        </w:tc>
        <w:tc>
          <w:tcPr>
            <w:tcW w:w="3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683</w:t>
            </w:r>
          </w:p>
        </w:tc>
        <w:tc>
          <w:tcPr>
            <w:tcW w:w="2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12</w:t>
            </w:r>
          </w:p>
        </w:tc>
        <w:tc>
          <w:tcPr>
            <w:tcW w:w="3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Service cost</w:t>
            </w: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20</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18</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80"/>
              <w:spacing w:after="0" w:line="189" w:lineRule="exact"/>
              <w:rPr>
                <w:sz w:val="20"/>
                <w:szCs w:val="20"/>
                <w:color w:val="auto"/>
              </w:rPr>
            </w:pPr>
            <w:r>
              <w:rPr>
                <w:rFonts w:ascii="Arial" w:cs="Arial" w:eastAsia="Arial" w:hAnsi="Arial"/>
                <w:sz w:val="17"/>
                <w:szCs w:val="17"/>
                <w:color w:val="auto"/>
              </w:rPr>
              <w:t>Interest cost</w:t>
            </w:r>
          </w:p>
        </w:tc>
        <w:tc>
          <w:tcPr>
            <w:tcW w:w="980" w:type="dxa"/>
            <w:vAlign w:val="bottom"/>
          </w:tcPr>
          <w:p>
            <w:pPr>
              <w:spacing w:after="0"/>
              <w:rPr>
                <w:sz w:val="16"/>
                <w:szCs w:val="16"/>
                <w:color w:val="auto"/>
              </w:rPr>
            </w:pPr>
          </w:p>
        </w:tc>
        <w:tc>
          <w:tcPr>
            <w:tcW w:w="4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27</w:t>
            </w:r>
          </w:p>
        </w:tc>
        <w:tc>
          <w:tcPr>
            <w:tcW w:w="320" w:type="dxa"/>
            <w:vAlign w:val="bottom"/>
          </w:tcPr>
          <w:p>
            <w:pPr>
              <w:spacing w:after="0"/>
              <w:rPr>
                <w:sz w:val="16"/>
                <w:szCs w:val="16"/>
                <w:color w:val="auto"/>
              </w:rPr>
            </w:pPr>
          </w:p>
        </w:tc>
        <w:tc>
          <w:tcPr>
            <w:tcW w:w="9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29</w:t>
            </w:r>
          </w:p>
        </w:tc>
        <w:tc>
          <w:tcPr>
            <w:tcW w:w="26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Plan participants’ contributions</w:t>
            </w: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80"/>
              <w:spacing w:after="0" w:line="189" w:lineRule="exact"/>
              <w:rPr>
                <w:sz w:val="20"/>
                <w:szCs w:val="20"/>
                <w:color w:val="auto"/>
              </w:rPr>
            </w:pPr>
            <w:r>
              <w:rPr>
                <w:rFonts w:ascii="Arial" w:cs="Arial" w:eastAsia="Arial" w:hAnsi="Arial"/>
                <w:sz w:val="17"/>
                <w:szCs w:val="17"/>
                <w:color w:val="auto"/>
              </w:rPr>
              <w:t>Actuarial (gain) / loss</w:t>
            </w:r>
          </w:p>
        </w:tc>
        <w:tc>
          <w:tcPr>
            <w:tcW w:w="980" w:type="dxa"/>
            <w:vAlign w:val="bottom"/>
          </w:tcPr>
          <w:p>
            <w:pPr>
              <w:spacing w:after="0"/>
              <w:rPr>
                <w:sz w:val="16"/>
                <w:szCs w:val="16"/>
                <w:color w:val="auto"/>
              </w:rPr>
            </w:pPr>
          </w:p>
        </w:tc>
        <w:tc>
          <w:tcPr>
            <w:tcW w:w="4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76</w:t>
            </w:r>
          </w:p>
        </w:tc>
        <w:tc>
          <w:tcPr>
            <w:tcW w:w="320" w:type="dxa"/>
            <w:vAlign w:val="bottom"/>
          </w:tcPr>
          <w:p>
            <w:pPr>
              <w:spacing w:after="0"/>
              <w:rPr>
                <w:sz w:val="16"/>
                <w:szCs w:val="16"/>
                <w:color w:val="auto"/>
              </w:rPr>
            </w:pPr>
          </w:p>
        </w:tc>
        <w:tc>
          <w:tcPr>
            <w:tcW w:w="94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(16)</w:t>
            </w:r>
          </w:p>
        </w:tc>
        <w:tc>
          <w:tcPr>
            <w:tcW w:w="26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Foreign currency translation adjustments</w:t>
            </w: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(4)</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80"/>
              <w:spacing w:after="0" w:line="189" w:lineRule="exact"/>
              <w:rPr>
                <w:sz w:val="20"/>
                <w:szCs w:val="20"/>
                <w:color w:val="auto"/>
              </w:rPr>
            </w:pPr>
            <w:r>
              <w:rPr>
                <w:rFonts w:ascii="Arial" w:cs="Arial" w:eastAsia="Arial" w:hAnsi="Arial"/>
                <w:sz w:val="15"/>
                <w:szCs w:val="15"/>
                <w:color w:val="auto"/>
              </w:rPr>
              <w:t xml:space="preserve">Plan reformation </w:t>
            </w:r>
            <w:r>
              <w:rPr>
                <w:rFonts w:ascii="Arial" w:cs="Arial" w:eastAsia="Arial" w:hAnsi="Arial"/>
                <w:sz w:val="21"/>
                <w:szCs w:val="21"/>
                <w:color w:val="auto"/>
                <w:vertAlign w:val="superscript"/>
              </w:rPr>
              <w:t>(1)</w:t>
            </w:r>
          </w:p>
        </w:tc>
        <w:tc>
          <w:tcPr>
            <w:tcW w:w="980" w:type="dxa"/>
            <w:vAlign w:val="bottom"/>
          </w:tcPr>
          <w:p>
            <w:pPr>
              <w:spacing w:after="0"/>
              <w:rPr>
                <w:sz w:val="16"/>
                <w:szCs w:val="16"/>
                <w:color w:val="auto"/>
              </w:rPr>
            </w:pPr>
          </w:p>
        </w:tc>
        <w:tc>
          <w:tcPr>
            <w:tcW w:w="4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9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194</w:t>
            </w:r>
          </w:p>
        </w:tc>
        <w:tc>
          <w:tcPr>
            <w:tcW w:w="26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Benefits paid</w:t>
            </w: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(85)</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(165)</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Settlement</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20" w:type="dxa"/>
            <w:vAlign w:val="bottom"/>
            <w:tcBorders>
              <w:bottom w:val="single" w:sz="8" w:color="auto"/>
            </w:tcBorders>
            <w:shd w:val="clear" w:color="auto" w:fill="CCEEFF"/>
          </w:tcPr>
          <w:p>
            <w:pPr>
              <w:ind w:left="80"/>
              <w:spacing w:after="0" w:line="183" w:lineRule="exact"/>
              <w:rPr>
                <w:sz w:val="20"/>
                <w:szCs w:val="20"/>
                <w:color w:val="auto"/>
              </w:rPr>
            </w:pPr>
            <w:r>
              <w:rPr>
                <w:rFonts w:ascii="Arial" w:cs="Arial" w:eastAsia="Arial" w:hAnsi="Arial"/>
                <w:sz w:val="17"/>
                <w:szCs w:val="17"/>
                <w:color w:val="auto"/>
              </w:rPr>
              <w:t>Benefit obligation at end of year</w:t>
            </w:r>
          </w:p>
        </w:tc>
        <w:tc>
          <w:tcPr>
            <w:tcW w:w="980" w:type="dxa"/>
            <w:vAlign w:val="bottom"/>
            <w:tcBorders>
              <w:bottom w:val="single" w:sz="8" w:color="auto"/>
            </w:tcBorders>
            <w:shd w:val="clear" w:color="auto" w:fill="CCEEFF"/>
          </w:tcPr>
          <w:p>
            <w:pPr>
              <w:jc w:val="right"/>
              <w:ind w:right="555"/>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w w:val="91"/>
              </w:rPr>
              <w:t>775</w:t>
            </w:r>
          </w:p>
        </w:tc>
        <w:tc>
          <w:tcPr>
            <w:tcW w:w="3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739</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11</w:t>
            </w:r>
          </w:p>
        </w:tc>
        <w:tc>
          <w:tcPr>
            <w:tcW w:w="3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Change in plan assets</w:t>
            </w: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80"/>
              <w:spacing w:after="0" w:line="189" w:lineRule="exact"/>
              <w:rPr>
                <w:sz w:val="20"/>
                <w:szCs w:val="20"/>
                <w:color w:val="auto"/>
              </w:rPr>
            </w:pPr>
            <w:r>
              <w:rPr>
                <w:rFonts w:ascii="Arial" w:cs="Arial" w:eastAsia="Arial" w:hAnsi="Arial"/>
                <w:sz w:val="17"/>
                <w:szCs w:val="17"/>
                <w:color w:val="auto"/>
              </w:rPr>
              <w:t>Fair value of plan assets at beginning of year</w:t>
            </w:r>
          </w:p>
        </w:tc>
        <w:tc>
          <w:tcPr>
            <w:tcW w:w="980" w:type="dxa"/>
            <w:vAlign w:val="bottom"/>
          </w:tcPr>
          <w:p>
            <w:pPr>
              <w:jc w:val="right"/>
              <w:ind w:right="555"/>
              <w:spacing w:after="0" w:line="189" w:lineRule="exact"/>
              <w:rPr>
                <w:sz w:val="20"/>
                <w:szCs w:val="20"/>
                <w:color w:val="auto"/>
              </w:rPr>
            </w:pPr>
            <w:r>
              <w:rPr>
                <w:rFonts w:ascii="Arial" w:cs="Arial" w:eastAsia="Arial" w:hAnsi="Arial"/>
                <w:sz w:val="17"/>
                <w:szCs w:val="17"/>
                <w:b w:val="1"/>
                <w:bCs w:val="1"/>
                <w:color w:val="auto"/>
              </w:rPr>
              <w:t>$</w:t>
            </w:r>
          </w:p>
        </w:tc>
        <w:tc>
          <w:tcPr>
            <w:tcW w:w="4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w w:val="91"/>
              </w:rPr>
              <w:t>644</w:t>
            </w:r>
          </w:p>
        </w:tc>
        <w:tc>
          <w:tcPr>
            <w:tcW w:w="3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697</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Actual return on plan assets</w:t>
            </w: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w w:val="91"/>
              </w:rPr>
              <w:t>100</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(15)</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80"/>
              <w:spacing w:after="0" w:line="189" w:lineRule="exact"/>
              <w:rPr>
                <w:sz w:val="20"/>
                <w:szCs w:val="20"/>
                <w:color w:val="auto"/>
              </w:rPr>
            </w:pPr>
            <w:r>
              <w:rPr>
                <w:rFonts w:ascii="Arial" w:cs="Arial" w:eastAsia="Arial" w:hAnsi="Arial"/>
                <w:sz w:val="17"/>
                <w:szCs w:val="17"/>
                <w:color w:val="auto"/>
              </w:rPr>
              <w:t>Employer contributions</w:t>
            </w:r>
          </w:p>
        </w:tc>
        <w:tc>
          <w:tcPr>
            <w:tcW w:w="980" w:type="dxa"/>
            <w:vAlign w:val="bottom"/>
          </w:tcPr>
          <w:p>
            <w:pPr>
              <w:spacing w:after="0"/>
              <w:rPr>
                <w:sz w:val="16"/>
                <w:szCs w:val="16"/>
                <w:color w:val="auto"/>
              </w:rPr>
            </w:pPr>
          </w:p>
        </w:tc>
        <w:tc>
          <w:tcPr>
            <w:tcW w:w="4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57</w:t>
            </w:r>
          </w:p>
        </w:tc>
        <w:tc>
          <w:tcPr>
            <w:tcW w:w="320" w:type="dxa"/>
            <w:vAlign w:val="bottom"/>
          </w:tcPr>
          <w:p>
            <w:pPr>
              <w:spacing w:after="0"/>
              <w:rPr>
                <w:sz w:val="16"/>
                <w:szCs w:val="16"/>
                <w:color w:val="auto"/>
              </w:rPr>
            </w:pPr>
          </w:p>
        </w:tc>
        <w:tc>
          <w:tcPr>
            <w:tcW w:w="9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131</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Foreign currency translation adjustments</w:t>
            </w: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(4)</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Benefits paid</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(85)</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(165)</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20" w:type="dxa"/>
            <w:vAlign w:val="bottom"/>
            <w:tcBorders>
              <w:bottom w:val="single" w:sz="8" w:color="auto"/>
            </w:tcBorders>
            <w:shd w:val="clear" w:color="auto" w:fill="CCEEFF"/>
          </w:tcPr>
          <w:p>
            <w:pPr>
              <w:ind w:left="80"/>
              <w:spacing w:after="0" w:line="183" w:lineRule="exact"/>
              <w:rPr>
                <w:sz w:val="20"/>
                <w:szCs w:val="20"/>
                <w:color w:val="auto"/>
              </w:rPr>
            </w:pPr>
            <w:r>
              <w:rPr>
                <w:rFonts w:ascii="Arial" w:cs="Arial" w:eastAsia="Arial" w:hAnsi="Arial"/>
                <w:sz w:val="17"/>
                <w:szCs w:val="17"/>
                <w:color w:val="auto"/>
              </w:rPr>
              <w:t>Fair value of plan assets at end of year</w:t>
            </w:r>
          </w:p>
        </w:tc>
        <w:tc>
          <w:tcPr>
            <w:tcW w:w="980" w:type="dxa"/>
            <w:vAlign w:val="bottom"/>
            <w:tcBorders>
              <w:bottom w:val="single" w:sz="8" w:color="auto"/>
            </w:tcBorders>
            <w:shd w:val="clear" w:color="auto" w:fill="CCEEFF"/>
          </w:tcPr>
          <w:p>
            <w:pPr>
              <w:jc w:val="right"/>
              <w:ind w:right="555"/>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w w:val="91"/>
              </w:rPr>
              <w:t>715</w:t>
            </w:r>
          </w:p>
        </w:tc>
        <w:tc>
          <w:tcPr>
            <w:tcW w:w="3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644</w:t>
            </w: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Funded status</w:t>
            </w:r>
          </w:p>
        </w:tc>
        <w:tc>
          <w:tcPr>
            <w:tcW w:w="980" w:type="dxa"/>
            <w:vAlign w:val="bottom"/>
            <w:tcBorders>
              <w:bottom w:val="single" w:sz="8" w:color="auto"/>
            </w:tcBorders>
            <w:shd w:val="clear" w:color="auto" w:fill="CCEEFF"/>
          </w:tcPr>
          <w:p>
            <w:pPr>
              <w:jc w:val="right"/>
              <w:ind w:right="555"/>
              <w:spacing w:after="0" w:line="189"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(60)</w:t>
            </w: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(95)</w:t>
            </w:r>
          </w:p>
        </w:tc>
        <w:tc>
          <w:tcPr>
            <w:tcW w:w="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(11)</w:t>
            </w:r>
          </w:p>
        </w:tc>
        <w:tc>
          <w:tcPr>
            <w:tcW w:w="3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3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Amounts recognized on the balance sheet:</w:t>
            </w: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80"/>
              <w:spacing w:after="0" w:line="189" w:lineRule="exact"/>
              <w:rPr>
                <w:sz w:val="20"/>
                <w:szCs w:val="20"/>
                <w:color w:val="auto"/>
              </w:rPr>
            </w:pPr>
            <w:r>
              <w:rPr>
                <w:rFonts w:ascii="Arial" w:cs="Arial" w:eastAsia="Arial" w:hAnsi="Arial"/>
                <w:sz w:val="17"/>
                <w:szCs w:val="17"/>
                <w:color w:val="auto"/>
              </w:rPr>
              <w:t>Other assets</w:t>
            </w:r>
          </w:p>
        </w:tc>
        <w:tc>
          <w:tcPr>
            <w:tcW w:w="980" w:type="dxa"/>
            <w:vAlign w:val="bottom"/>
          </w:tcPr>
          <w:p>
            <w:pPr>
              <w:jc w:val="right"/>
              <w:ind w:right="555"/>
              <w:spacing w:after="0" w:line="189" w:lineRule="exact"/>
              <w:rPr>
                <w:sz w:val="20"/>
                <w:szCs w:val="20"/>
                <w:color w:val="auto"/>
              </w:rPr>
            </w:pPr>
            <w:r>
              <w:rPr>
                <w:rFonts w:ascii="Arial" w:cs="Arial" w:eastAsia="Arial" w:hAnsi="Arial"/>
                <w:sz w:val="17"/>
                <w:szCs w:val="17"/>
                <w:b w:val="1"/>
                <w:bCs w:val="1"/>
                <w:color w:val="auto"/>
              </w:rPr>
              <w:t>$</w:t>
            </w:r>
          </w:p>
        </w:tc>
        <w:tc>
          <w:tcPr>
            <w:tcW w:w="4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3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7</w:t>
            </w:r>
          </w:p>
        </w:tc>
        <w:tc>
          <w:tcPr>
            <w:tcW w:w="2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Accrued and other liabilities</w:t>
            </w: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Other liabilities</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(61)</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(99)</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(10)</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555"/>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(60)</w:t>
            </w:r>
          </w:p>
        </w:tc>
        <w:tc>
          <w:tcPr>
            <w:tcW w:w="3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(95)</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(11)</w:t>
            </w:r>
          </w:p>
        </w:tc>
        <w:tc>
          <w:tcPr>
            <w:tcW w:w="3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80" w:right="79" w:hanging="330"/>
        <w:spacing w:after="0" w:line="258" w:lineRule="auto"/>
        <w:tabs>
          <w:tab w:leader="none" w:pos="3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connection with the pension litigation, the Company reformed its U.S. qualified pension plan during the second quarter of 2018 in accordance with the court’s order.</w:t>
      </w:r>
    </w:p>
    <w:p>
      <w:pPr>
        <w:spacing w:after="0" w:line="254"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2280" w:type="dxa"/>
            <w:vAlign w:val="bottom"/>
            <w:gridSpan w:val="3"/>
          </w:tcPr>
          <w:p>
            <w:pPr>
              <w:jc w:val="right"/>
              <w:spacing w:after="0"/>
              <w:rPr>
                <w:sz w:val="20"/>
                <w:szCs w:val="20"/>
                <w:color w:val="auto"/>
              </w:rPr>
            </w:pPr>
            <w:r>
              <w:rPr>
                <w:rFonts w:ascii="Arial" w:cs="Arial" w:eastAsia="Arial" w:hAnsi="Arial"/>
                <w:sz w:val="17"/>
                <w:szCs w:val="17"/>
                <w:b w:val="1"/>
                <w:bCs w:val="1"/>
                <w:color w:val="auto"/>
              </w:rPr>
              <w:t>Pension Benefits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4"/>
          </w:tcPr>
          <w:p>
            <w:pPr>
              <w:ind w:left="60"/>
              <w:spacing w:after="0"/>
              <w:rPr>
                <w:sz w:val="20"/>
                <w:szCs w:val="20"/>
                <w:color w:val="auto"/>
              </w:rPr>
            </w:pPr>
            <w:r>
              <w:rPr>
                <w:rFonts w:ascii="Arial" w:cs="Arial" w:eastAsia="Arial" w:hAnsi="Arial"/>
                <w:sz w:val="17"/>
                <w:szCs w:val="17"/>
                <w:b w:val="1"/>
                <w:bCs w:val="1"/>
                <w:color w:val="auto"/>
              </w:rPr>
              <w:t>Postretirement Benefits</w:t>
            </w:r>
          </w:p>
        </w:tc>
      </w:tr>
      <w:tr>
        <w:trPr>
          <w:trHeight w:val="183"/>
        </w:trPr>
        <w:tc>
          <w:tcPr>
            <w:tcW w:w="37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2019</w:t>
            </w:r>
          </w:p>
        </w:tc>
        <w:tc>
          <w:tcPr>
            <w:tcW w:w="4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2018</w:t>
            </w:r>
          </w:p>
        </w:tc>
        <w:tc>
          <w:tcPr>
            <w:tcW w:w="4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55"/>
              <w:spacing w:after="0" w:line="183" w:lineRule="exact"/>
              <w:rPr>
                <w:sz w:val="20"/>
                <w:szCs w:val="20"/>
                <w:color w:val="auto"/>
              </w:rPr>
            </w:pPr>
            <w:r>
              <w:rPr>
                <w:rFonts w:ascii="Arial" w:cs="Arial" w:eastAsia="Arial" w:hAnsi="Arial"/>
                <w:sz w:val="17"/>
                <w:szCs w:val="17"/>
                <w:b w:val="1"/>
                <w:bCs w:val="1"/>
                <w:color w:val="auto"/>
              </w:rPr>
              <w:t>2019</w:t>
            </w:r>
          </w:p>
        </w:tc>
        <w:tc>
          <w:tcPr>
            <w:tcW w:w="3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55"/>
              <w:spacing w:after="0" w:line="183" w:lineRule="exact"/>
              <w:rPr>
                <w:sz w:val="20"/>
                <w:szCs w:val="20"/>
                <w:color w:val="auto"/>
              </w:rPr>
            </w:pPr>
            <w:r>
              <w:rPr>
                <w:rFonts w:ascii="Arial" w:cs="Arial" w:eastAsia="Arial" w:hAnsi="Arial"/>
                <w:sz w:val="17"/>
                <w:szCs w:val="17"/>
                <w:color w:val="auto"/>
              </w:rPr>
              <w:t>2018</w:t>
            </w:r>
          </w:p>
        </w:tc>
        <w:tc>
          <w:tcPr>
            <w:tcW w:w="20" w:type="dxa"/>
            <w:vAlign w:val="bottom"/>
          </w:tcPr>
          <w:p>
            <w:pPr>
              <w:spacing w:after="0"/>
              <w:rPr>
                <w:sz w:val="15"/>
                <w:szCs w:val="15"/>
                <w:color w:val="auto"/>
              </w:rPr>
            </w:pPr>
          </w:p>
        </w:tc>
      </w:tr>
      <w:tr>
        <w:trPr>
          <w:trHeight w:val="183"/>
        </w:trPr>
        <w:tc>
          <w:tcPr>
            <w:tcW w:w="372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Amounts recognized in accumulated other</w:t>
            </w: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72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b w:val="1"/>
                <w:bCs w:val="1"/>
                <w:color w:val="auto"/>
              </w:rPr>
              <w:t>comprehensive loss, pre-tax:</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720" w:type="dxa"/>
            <w:vAlign w:val="bottom"/>
          </w:tcPr>
          <w:p>
            <w:pPr>
              <w:ind w:left="120"/>
              <w:spacing w:after="0" w:line="189" w:lineRule="exact"/>
              <w:rPr>
                <w:sz w:val="20"/>
                <w:szCs w:val="20"/>
                <w:color w:val="auto"/>
              </w:rPr>
            </w:pPr>
            <w:r>
              <w:rPr>
                <w:rFonts w:ascii="Arial" w:cs="Arial" w:eastAsia="Arial" w:hAnsi="Arial"/>
                <w:sz w:val="17"/>
                <w:szCs w:val="17"/>
                <w:color w:val="auto"/>
              </w:rPr>
              <w:t>Net loss (gain)</w:t>
            </w:r>
          </w:p>
        </w:tc>
        <w:tc>
          <w:tcPr>
            <w:tcW w:w="1000" w:type="dxa"/>
            <w:vAlign w:val="bottom"/>
          </w:tcPr>
          <w:p>
            <w:pPr>
              <w:jc w:val="right"/>
              <w:ind w:right="555"/>
              <w:spacing w:after="0" w:line="189" w:lineRule="exact"/>
              <w:rPr>
                <w:sz w:val="20"/>
                <w:szCs w:val="20"/>
                <w:color w:val="auto"/>
              </w:rPr>
            </w:pPr>
            <w:r>
              <w:rPr>
                <w:rFonts w:ascii="Arial" w:cs="Arial" w:eastAsia="Arial" w:hAnsi="Arial"/>
                <w:sz w:val="17"/>
                <w:szCs w:val="17"/>
                <w:b w:val="1"/>
                <w:bCs w:val="1"/>
                <w:color w:val="auto"/>
              </w:rPr>
              <w:t>$</w:t>
            </w:r>
          </w:p>
        </w:tc>
        <w:tc>
          <w:tcPr>
            <w:tcW w:w="4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w w:val="91"/>
              </w:rPr>
              <w:t>392</w:t>
            </w:r>
          </w:p>
        </w:tc>
        <w:tc>
          <w:tcPr>
            <w:tcW w:w="860" w:type="dxa"/>
            <w:vAlign w:val="bottom"/>
          </w:tcPr>
          <w:p>
            <w:pPr>
              <w:jc w:val="right"/>
              <w:ind w:right="555"/>
              <w:spacing w:after="0" w:line="189" w:lineRule="exact"/>
              <w:rPr>
                <w:sz w:val="20"/>
                <w:szCs w:val="20"/>
                <w:color w:val="auto"/>
              </w:rPr>
            </w:pPr>
            <w:r>
              <w:rPr>
                <w:rFonts w:ascii="Arial" w:cs="Arial" w:eastAsia="Arial" w:hAnsi="Arial"/>
                <w:sz w:val="17"/>
                <w:szCs w:val="17"/>
                <w:color w:val="auto"/>
              </w:rPr>
              <w:t>$</w:t>
            </w:r>
          </w:p>
        </w:tc>
        <w:tc>
          <w:tcPr>
            <w:tcW w:w="420" w:type="dxa"/>
            <w:vAlign w:val="bottom"/>
          </w:tcPr>
          <w:p>
            <w:pPr>
              <w:jc w:val="right"/>
              <w:ind w:right="55"/>
              <w:spacing w:after="0" w:line="189" w:lineRule="exact"/>
              <w:rPr>
                <w:sz w:val="20"/>
                <w:szCs w:val="20"/>
                <w:color w:val="auto"/>
              </w:rPr>
            </w:pPr>
            <w:r>
              <w:rPr>
                <w:rFonts w:ascii="Arial" w:cs="Arial" w:eastAsia="Arial" w:hAnsi="Arial"/>
                <w:sz w:val="17"/>
                <w:szCs w:val="17"/>
                <w:color w:val="auto"/>
                <w:w w:val="91"/>
              </w:rPr>
              <w:t>391</w:t>
            </w: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(5)</w:t>
            </w:r>
          </w:p>
        </w:tc>
        <w:tc>
          <w:tcPr>
            <w:tcW w:w="3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(6)</w:t>
            </w:r>
          </w:p>
        </w:tc>
        <w:tc>
          <w:tcPr>
            <w:tcW w:w="20" w:type="dxa"/>
            <w:vAlign w:val="bottom"/>
          </w:tcPr>
          <w:p>
            <w:pPr>
              <w:spacing w:after="0"/>
              <w:rPr>
                <w:sz w:val="16"/>
                <w:szCs w:val="16"/>
                <w:color w:val="auto"/>
              </w:rPr>
            </w:pPr>
          </w:p>
        </w:tc>
      </w:tr>
      <w:tr>
        <w:trPr>
          <w:trHeight w:val="189"/>
        </w:trPr>
        <w:tc>
          <w:tcPr>
            <w:tcW w:w="372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Prior service cost</w:t>
            </w:r>
          </w:p>
        </w:tc>
        <w:tc>
          <w:tcPr>
            <w:tcW w:w="10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w:t>
            </w: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83"/>
        </w:trPr>
        <w:tc>
          <w:tcPr>
            <w:tcW w:w="37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55"/>
              <w:spacing w:after="0" w:line="183" w:lineRule="exact"/>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w w:val="91"/>
              </w:rPr>
              <w:t>392</w:t>
            </w:r>
          </w:p>
        </w:tc>
        <w:tc>
          <w:tcPr>
            <w:tcW w:w="860" w:type="dxa"/>
            <w:vAlign w:val="bottom"/>
            <w:tcBorders>
              <w:bottom w:val="single" w:sz="8" w:color="auto"/>
            </w:tcBorders>
          </w:tcPr>
          <w:p>
            <w:pPr>
              <w:jc w:val="right"/>
              <w:ind w:right="555"/>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w w:val="91"/>
              </w:rPr>
              <w:t>392</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(5)</w:t>
            </w:r>
          </w:p>
        </w:tc>
        <w:tc>
          <w:tcPr>
            <w:tcW w:w="3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w:t>
            </w:r>
          </w:p>
        </w:tc>
        <w:tc>
          <w:tcPr>
            <w:tcW w:w="20" w:type="dxa"/>
            <w:vAlign w:val="bottom"/>
            <w:tcBorders>
              <w:bottom w:val="single" w:sz="8" w:color="auto"/>
            </w:tcBorders>
          </w:tcPr>
          <w:p>
            <w:pPr>
              <w:spacing w:after="0"/>
              <w:rPr>
                <w:sz w:val="15"/>
                <w:szCs w:val="15"/>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Canadian qualified pension plan’s assets exceeded its accumulated benefit obligation for both 2019 and 2018. The Company’s non-qualified pension plans have an accumulated benefit obligation in excess of plan assets, as these plans are unfunded. Accordingly, the table below reflects both the U.S. qualified plan and the non-qualified plans for both 2019 and 2018.</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5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center"/>
              <w:ind w:left="1535"/>
              <w:spacing w:after="0"/>
              <w:rPr>
                <w:sz w:val="20"/>
                <w:szCs w:val="20"/>
                <w:color w:val="auto"/>
              </w:rPr>
            </w:pPr>
            <w:r>
              <w:rPr>
                <w:rFonts w:ascii="Arial" w:cs="Arial" w:eastAsia="Arial" w:hAnsi="Arial"/>
                <w:sz w:val="17"/>
                <w:szCs w:val="17"/>
                <w:b w:val="1"/>
                <w:bCs w:val="1"/>
                <w:color w:val="auto"/>
              </w:rPr>
              <w:t>2019</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415"/>
              <w:spacing w:after="0"/>
              <w:rPr>
                <w:sz w:val="20"/>
                <w:szCs w:val="20"/>
                <w:color w:val="auto"/>
              </w:rPr>
            </w:pPr>
            <w:r>
              <w:rPr>
                <w:rFonts w:ascii="Arial" w:cs="Arial" w:eastAsia="Arial" w:hAnsi="Arial"/>
                <w:sz w:val="17"/>
                <w:szCs w:val="17"/>
                <w:color w:val="auto"/>
              </w:rPr>
              <w:t>2018</w:t>
            </w:r>
          </w:p>
        </w:tc>
        <w:tc>
          <w:tcPr>
            <w:tcW w:w="360" w:type="dxa"/>
            <w:vAlign w:val="bottom"/>
            <w:tcBorders>
              <w:bottom w:val="single" w:sz="8" w:color="auto"/>
            </w:tcBorders>
          </w:tcPr>
          <w:p>
            <w:pPr>
              <w:spacing w:after="0"/>
              <w:rPr>
                <w:sz w:val="18"/>
                <w:szCs w:val="18"/>
                <w:color w:val="auto"/>
              </w:rPr>
            </w:pPr>
          </w:p>
        </w:tc>
      </w:tr>
      <w:tr>
        <w:trPr>
          <w:trHeight w:val="183"/>
        </w:trPr>
        <w:tc>
          <w:tcPr>
            <w:tcW w:w="4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80" w:type="dxa"/>
            <w:vAlign w:val="bottom"/>
            <w:gridSpan w:val="2"/>
          </w:tcPr>
          <w:p>
            <w:pPr>
              <w:jc w:val="right"/>
              <w:ind w:right="595"/>
              <w:spacing w:after="0" w:line="183" w:lineRule="exact"/>
              <w:rPr>
                <w:sz w:val="20"/>
                <w:szCs w:val="20"/>
                <w:color w:val="auto"/>
              </w:rPr>
            </w:pPr>
            <w:r>
              <w:rPr>
                <w:rFonts w:ascii="Arial" w:cs="Arial" w:eastAsia="Arial" w:hAnsi="Arial"/>
                <w:sz w:val="17"/>
                <w:szCs w:val="17"/>
                <w:color w:val="auto"/>
                <w:w w:val="97"/>
              </w:rPr>
              <w:t>($ in millions)</w:t>
            </w:r>
          </w:p>
        </w:tc>
        <w:tc>
          <w:tcPr>
            <w:tcW w:w="360" w:type="dxa"/>
            <w:vAlign w:val="bottom"/>
          </w:tcPr>
          <w:p>
            <w:pPr>
              <w:spacing w:after="0"/>
              <w:rPr>
                <w:sz w:val="15"/>
                <w:szCs w:val="15"/>
                <w:color w:val="auto"/>
              </w:rPr>
            </w:pPr>
          </w:p>
        </w:tc>
      </w:tr>
      <w:tr>
        <w:trPr>
          <w:trHeight w:val="189"/>
        </w:trPr>
        <w:tc>
          <w:tcPr>
            <w:tcW w:w="4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Projected benefit obligation</w:t>
            </w:r>
          </w:p>
        </w:tc>
        <w:tc>
          <w:tcPr>
            <w:tcW w:w="2280" w:type="dxa"/>
            <w:vAlign w:val="bottom"/>
            <w:shd w:val="clear" w:color="auto" w:fill="CCEEFF"/>
          </w:tcPr>
          <w:p>
            <w:pPr>
              <w:jc w:val="right"/>
              <w:ind w:right="855"/>
              <w:spacing w:after="0" w:line="189" w:lineRule="exact"/>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727</w:t>
            </w:r>
          </w:p>
        </w:tc>
        <w:tc>
          <w:tcPr>
            <w:tcW w:w="1200" w:type="dxa"/>
            <w:vAlign w:val="bottom"/>
            <w:shd w:val="clear" w:color="auto" w:fill="CCEEFF"/>
          </w:tcPr>
          <w:p>
            <w:pPr>
              <w:jc w:val="right"/>
              <w:ind w:right="895"/>
              <w:spacing w:after="0" w:line="189" w:lineRule="exact"/>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696</w:t>
            </w: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7"/>
                <w:szCs w:val="17"/>
                <w:color w:val="auto"/>
              </w:rPr>
              <w:t>Accumulated benefit obligation</w:t>
            </w:r>
          </w:p>
        </w:tc>
        <w:tc>
          <w:tcPr>
            <w:tcW w:w="2280" w:type="dxa"/>
            <w:vAlign w:val="bottom"/>
          </w:tcPr>
          <w:p>
            <w:pPr>
              <w:spacing w:after="0"/>
              <w:rPr>
                <w:sz w:val="16"/>
                <w:szCs w:val="16"/>
                <w:color w:val="auto"/>
              </w:rPr>
            </w:pPr>
          </w:p>
        </w:tc>
        <w:tc>
          <w:tcPr>
            <w:tcW w:w="4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727</w:t>
            </w:r>
          </w:p>
        </w:tc>
        <w:tc>
          <w:tcPr>
            <w:tcW w:w="1200" w:type="dxa"/>
            <w:vAlign w:val="bottom"/>
          </w:tcPr>
          <w:p>
            <w:pPr>
              <w:spacing w:after="0"/>
              <w:rPr>
                <w:sz w:val="16"/>
                <w:szCs w:val="16"/>
                <w:color w:val="auto"/>
              </w:rPr>
            </w:pPr>
          </w:p>
        </w:tc>
        <w:tc>
          <w:tcPr>
            <w:tcW w:w="360" w:type="dxa"/>
            <w:vAlign w:val="bottom"/>
          </w:tcPr>
          <w:p>
            <w:pPr>
              <w:jc w:val="right"/>
              <w:spacing w:after="0" w:line="189" w:lineRule="exact"/>
              <w:rPr>
                <w:sz w:val="20"/>
                <w:szCs w:val="20"/>
                <w:color w:val="auto"/>
              </w:rPr>
            </w:pPr>
            <w:r>
              <w:rPr>
                <w:rFonts w:ascii="Arial" w:cs="Arial" w:eastAsia="Arial" w:hAnsi="Arial"/>
                <w:sz w:val="17"/>
                <w:szCs w:val="17"/>
                <w:color w:val="auto"/>
                <w:w w:val="98"/>
              </w:rPr>
              <w:t>696</w:t>
            </w:r>
          </w:p>
        </w:tc>
      </w:tr>
      <w:tr>
        <w:trPr>
          <w:trHeight w:val="189"/>
        </w:trPr>
        <w:tc>
          <w:tcPr>
            <w:tcW w:w="45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Fair value of plan assets</w:t>
            </w:r>
          </w:p>
        </w:tc>
        <w:tc>
          <w:tcPr>
            <w:tcW w:w="22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664</w:t>
            </w:r>
          </w:p>
        </w:tc>
        <w:tc>
          <w:tcPr>
            <w:tcW w:w="12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593</w:t>
            </w:r>
          </w:p>
        </w:tc>
      </w:tr>
      <w:tr>
        <w:trPr>
          <w:trHeight w:val="381"/>
        </w:trPr>
        <w:tc>
          <w:tcPr>
            <w:tcW w:w="6860" w:type="dxa"/>
            <w:vAlign w:val="bottom"/>
            <w:gridSpan w:val="2"/>
          </w:tcPr>
          <w:p>
            <w:pPr>
              <w:spacing w:after="0"/>
              <w:rPr>
                <w:sz w:val="20"/>
                <w:szCs w:val="20"/>
                <w:color w:val="auto"/>
              </w:rPr>
            </w:pPr>
            <w:r>
              <w:rPr>
                <w:rFonts w:ascii="Arial" w:cs="Arial" w:eastAsia="Arial" w:hAnsi="Arial"/>
                <w:sz w:val="17"/>
                <w:szCs w:val="17"/>
                <w:color w:val="auto"/>
              </w:rPr>
              <w:t>The following tables set forth the changes in AOCL (pre-tax) at February 1, 2020:</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83"/>
        </w:trPr>
        <w:tc>
          <w:tcPr>
            <w:tcW w:w="4580" w:type="dxa"/>
            <w:vAlign w:val="bottom"/>
          </w:tcPr>
          <w:p>
            <w:pPr>
              <w:spacing w:after="0"/>
              <w:rPr>
                <w:sz w:val="24"/>
                <w:szCs w:val="24"/>
                <w:color w:val="auto"/>
              </w:rPr>
            </w:pPr>
          </w:p>
        </w:tc>
        <w:tc>
          <w:tcPr>
            <w:tcW w:w="2280" w:type="dxa"/>
            <w:vAlign w:val="bottom"/>
          </w:tcPr>
          <w:p>
            <w:pPr>
              <w:jc w:val="center"/>
              <w:ind w:left="1495"/>
              <w:spacing w:after="0"/>
              <w:rPr>
                <w:sz w:val="20"/>
                <w:szCs w:val="20"/>
                <w:color w:val="auto"/>
              </w:rPr>
            </w:pPr>
            <w:r>
              <w:rPr>
                <w:rFonts w:ascii="Arial" w:cs="Arial" w:eastAsia="Arial" w:hAnsi="Arial"/>
                <w:sz w:val="17"/>
                <w:szCs w:val="17"/>
                <w:b w:val="1"/>
                <w:bCs w:val="1"/>
                <w:color w:val="auto"/>
                <w:w w:val="99"/>
              </w:rPr>
              <w:t>Pension</w:t>
            </w:r>
          </w:p>
        </w:tc>
        <w:tc>
          <w:tcPr>
            <w:tcW w:w="480" w:type="dxa"/>
            <w:vAlign w:val="bottom"/>
          </w:tcPr>
          <w:p>
            <w:pPr>
              <w:spacing w:after="0"/>
              <w:rPr>
                <w:sz w:val="24"/>
                <w:szCs w:val="24"/>
                <w:color w:val="auto"/>
              </w:rPr>
            </w:pPr>
          </w:p>
        </w:tc>
        <w:tc>
          <w:tcPr>
            <w:tcW w:w="1560" w:type="dxa"/>
            <w:vAlign w:val="bottom"/>
            <w:gridSpan w:val="2"/>
          </w:tcPr>
          <w:p>
            <w:pPr>
              <w:jc w:val="center"/>
              <w:ind w:left="35"/>
              <w:spacing w:after="0"/>
              <w:rPr>
                <w:sz w:val="20"/>
                <w:szCs w:val="20"/>
                <w:color w:val="auto"/>
              </w:rPr>
            </w:pPr>
            <w:r>
              <w:rPr>
                <w:rFonts w:ascii="Arial" w:cs="Arial" w:eastAsia="Arial" w:hAnsi="Arial"/>
                <w:sz w:val="17"/>
                <w:szCs w:val="17"/>
                <w:b w:val="1"/>
                <w:bCs w:val="1"/>
                <w:color w:val="auto"/>
                <w:w w:val="99"/>
              </w:rPr>
              <w:t>Postretirement</w:t>
            </w:r>
          </w:p>
        </w:tc>
      </w:tr>
      <w:tr>
        <w:trPr>
          <w:trHeight w:val="215"/>
        </w:trPr>
        <w:tc>
          <w:tcPr>
            <w:tcW w:w="45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center"/>
              <w:ind w:left="1515"/>
              <w:spacing w:after="0"/>
              <w:rPr>
                <w:sz w:val="20"/>
                <w:szCs w:val="20"/>
                <w:color w:val="auto"/>
              </w:rPr>
            </w:pPr>
            <w:r>
              <w:rPr>
                <w:rFonts w:ascii="Arial" w:cs="Arial" w:eastAsia="Arial" w:hAnsi="Arial"/>
                <w:sz w:val="17"/>
                <w:szCs w:val="17"/>
                <w:b w:val="1"/>
                <w:bCs w:val="1"/>
                <w:color w:val="auto"/>
              </w:rPr>
              <w:t>Benefits</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395"/>
              <w:spacing w:after="0"/>
              <w:rPr>
                <w:sz w:val="20"/>
                <w:szCs w:val="20"/>
                <w:color w:val="auto"/>
              </w:rPr>
            </w:pPr>
            <w:r>
              <w:rPr>
                <w:rFonts w:ascii="Arial" w:cs="Arial" w:eastAsia="Arial" w:hAnsi="Arial"/>
                <w:sz w:val="17"/>
                <w:szCs w:val="17"/>
                <w:b w:val="1"/>
                <w:bCs w:val="1"/>
                <w:color w:val="auto"/>
              </w:rPr>
              <w:t>Benefits</w:t>
            </w:r>
          </w:p>
        </w:tc>
        <w:tc>
          <w:tcPr>
            <w:tcW w:w="360" w:type="dxa"/>
            <w:vAlign w:val="bottom"/>
            <w:tcBorders>
              <w:bottom w:val="single" w:sz="8" w:color="auto"/>
            </w:tcBorders>
          </w:tcPr>
          <w:p>
            <w:pPr>
              <w:spacing w:after="0"/>
              <w:rPr>
                <w:sz w:val="18"/>
                <w:szCs w:val="18"/>
                <w:color w:val="auto"/>
              </w:rPr>
            </w:pPr>
          </w:p>
        </w:tc>
      </w:tr>
      <w:tr>
        <w:trPr>
          <w:trHeight w:val="183"/>
        </w:trPr>
        <w:tc>
          <w:tcPr>
            <w:tcW w:w="4580" w:type="dxa"/>
            <w:vAlign w:val="bottom"/>
          </w:tcPr>
          <w:p>
            <w:pPr>
              <w:spacing w:after="0"/>
              <w:rPr>
                <w:sz w:val="15"/>
                <w:szCs w:val="15"/>
                <w:color w:val="auto"/>
              </w:rPr>
            </w:pPr>
          </w:p>
        </w:tc>
        <w:tc>
          <w:tcPr>
            <w:tcW w:w="3960" w:type="dxa"/>
            <w:vAlign w:val="bottom"/>
            <w:gridSpan w:val="3"/>
          </w:tcPr>
          <w:p>
            <w:pPr>
              <w:jc w:val="right"/>
              <w:ind w:right="595"/>
              <w:spacing w:after="0" w:line="183" w:lineRule="exact"/>
              <w:rPr>
                <w:sz w:val="20"/>
                <w:szCs w:val="20"/>
                <w:color w:val="auto"/>
              </w:rPr>
            </w:pPr>
            <w:r>
              <w:rPr>
                <w:rFonts w:ascii="Arial" w:cs="Arial" w:eastAsia="Arial" w:hAnsi="Arial"/>
                <w:sz w:val="17"/>
                <w:szCs w:val="17"/>
                <w:color w:val="auto"/>
              </w:rPr>
              <w:t>($ in millions)</w:t>
            </w:r>
          </w:p>
        </w:tc>
        <w:tc>
          <w:tcPr>
            <w:tcW w:w="360" w:type="dxa"/>
            <w:vAlign w:val="bottom"/>
          </w:tcPr>
          <w:p>
            <w:pPr>
              <w:spacing w:after="0"/>
              <w:rPr>
                <w:sz w:val="15"/>
                <w:szCs w:val="15"/>
                <w:color w:val="auto"/>
              </w:rPr>
            </w:pPr>
          </w:p>
        </w:tc>
      </w:tr>
      <w:tr>
        <w:trPr>
          <w:trHeight w:val="189"/>
        </w:trPr>
        <w:tc>
          <w:tcPr>
            <w:tcW w:w="4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actuarial loss (gain) at beginning of year</w:t>
            </w:r>
          </w:p>
        </w:tc>
        <w:tc>
          <w:tcPr>
            <w:tcW w:w="2280" w:type="dxa"/>
            <w:vAlign w:val="bottom"/>
            <w:shd w:val="clear" w:color="auto" w:fill="CCEEFF"/>
          </w:tcPr>
          <w:p>
            <w:pPr>
              <w:jc w:val="right"/>
              <w:ind w:right="875"/>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w w:val="98"/>
              </w:rPr>
              <w:t>391</w:t>
            </w:r>
          </w:p>
        </w:tc>
        <w:tc>
          <w:tcPr>
            <w:tcW w:w="1200" w:type="dxa"/>
            <w:vAlign w:val="bottom"/>
            <w:shd w:val="clear" w:color="auto" w:fill="CCEEFF"/>
          </w:tcPr>
          <w:p>
            <w:pPr>
              <w:jc w:val="right"/>
              <w:ind w:right="895"/>
              <w:spacing w:after="0" w:line="189" w:lineRule="exact"/>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w:t>
            </w: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7"/>
                <w:szCs w:val="17"/>
                <w:color w:val="auto"/>
              </w:rPr>
              <w:t>Amortization of net (loss) gain</w:t>
            </w:r>
          </w:p>
        </w:tc>
        <w:tc>
          <w:tcPr>
            <w:tcW w:w="2280" w:type="dxa"/>
            <w:vAlign w:val="bottom"/>
          </w:tcPr>
          <w:p>
            <w:pPr>
              <w:spacing w:after="0"/>
              <w:rPr>
                <w:sz w:val="16"/>
                <w:szCs w:val="16"/>
                <w:color w:val="auto"/>
              </w:rPr>
            </w:pPr>
          </w:p>
        </w:tc>
        <w:tc>
          <w:tcPr>
            <w:tcW w:w="4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(12)</w:t>
            </w:r>
          </w:p>
        </w:tc>
        <w:tc>
          <w:tcPr>
            <w:tcW w:w="1200" w:type="dxa"/>
            <w:vAlign w:val="bottom"/>
          </w:tcPr>
          <w:p>
            <w:pPr>
              <w:spacing w:after="0"/>
              <w:rPr>
                <w:sz w:val="16"/>
                <w:szCs w:val="16"/>
                <w:color w:val="auto"/>
              </w:rPr>
            </w:pPr>
          </w:p>
        </w:tc>
        <w:tc>
          <w:tcPr>
            <w:tcW w:w="36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4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arising during the year</w:t>
            </w:r>
          </w:p>
        </w:tc>
        <w:tc>
          <w:tcPr>
            <w:tcW w:w="22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13</w:t>
            </w: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45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Foreign currency fluctuations</w:t>
            </w:r>
          </w:p>
        </w:tc>
        <w:tc>
          <w:tcPr>
            <w:tcW w:w="2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r>
      <w:tr>
        <w:trPr>
          <w:trHeight w:val="183"/>
        </w:trPr>
        <w:tc>
          <w:tcPr>
            <w:tcW w:w="45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5"/>
                <w:szCs w:val="15"/>
                <w:color w:val="auto"/>
              </w:rPr>
              <w:t xml:space="preserve">Net actuarial loss (gain) at end of year </w:t>
            </w:r>
            <w:r>
              <w:rPr>
                <w:rFonts w:ascii="Arial" w:cs="Arial" w:eastAsia="Arial" w:hAnsi="Arial"/>
                <w:sz w:val="21"/>
                <w:szCs w:val="21"/>
                <w:color w:val="auto"/>
                <w:vertAlign w:val="superscript"/>
              </w:rPr>
              <w:t>(1)</w:t>
            </w:r>
          </w:p>
        </w:tc>
        <w:tc>
          <w:tcPr>
            <w:tcW w:w="2280" w:type="dxa"/>
            <w:vAlign w:val="bottom"/>
            <w:tcBorders>
              <w:bottom w:val="single" w:sz="8" w:color="auto"/>
            </w:tcBorders>
            <w:shd w:val="clear" w:color="auto" w:fill="CCEEFF"/>
          </w:tcPr>
          <w:p>
            <w:pPr>
              <w:jc w:val="right"/>
              <w:ind w:right="875"/>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w w:val="98"/>
              </w:rPr>
              <w:t>392</w:t>
            </w:r>
          </w:p>
        </w:tc>
        <w:tc>
          <w:tcPr>
            <w:tcW w:w="1200" w:type="dxa"/>
            <w:vAlign w:val="bottom"/>
            <w:tcBorders>
              <w:bottom w:val="single" w:sz="8" w:color="auto"/>
            </w:tcBorders>
            <w:shd w:val="clear" w:color="auto" w:fill="CCEEFF"/>
          </w:tcPr>
          <w:p>
            <w:pPr>
              <w:jc w:val="right"/>
              <w:ind w:right="895"/>
              <w:spacing w:after="0" w:line="183"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80" w:right="79" w:hanging="330"/>
        <w:spacing w:after="0" w:line="258" w:lineRule="auto"/>
        <w:tabs>
          <w:tab w:leader="none" w:pos="3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amounts in AOCL that are expected to be recognized as components of net periodic benefit cost (income) during the next year are approximately $12 million and $(1) million related to the pension and postretirement plans, respectively.</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weighted-average assumptions were used to determine the benefit obligations under the plans:</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3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tcPr>
          <w:p>
            <w:pPr>
              <w:jc w:val="right"/>
              <w:ind w:right="435"/>
              <w:spacing w:after="0"/>
              <w:rPr>
                <w:sz w:val="20"/>
                <w:szCs w:val="20"/>
                <w:color w:val="auto"/>
              </w:rPr>
            </w:pPr>
            <w:r>
              <w:rPr>
                <w:rFonts w:ascii="Arial" w:cs="Arial" w:eastAsia="Arial" w:hAnsi="Arial"/>
                <w:sz w:val="17"/>
                <w:szCs w:val="17"/>
                <w:b w:val="1"/>
                <w:bCs w:val="1"/>
                <w:color w:val="auto"/>
              </w:rPr>
              <w:t>Pension Benefits</w:t>
            </w:r>
          </w:p>
        </w:tc>
        <w:tc>
          <w:tcPr>
            <w:tcW w:w="2380" w:type="dxa"/>
            <w:vAlign w:val="bottom"/>
            <w:tcBorders>
              <w:bottom w:val="single" w:sz="8" w:color="auto"/>
            </w:tcBorders>
            <w:gridSpan w:val="2"/>
          </w:tcPr>
          <w:p>
            <w:pPr>
              <w:jc w:val="right"/>
              <w:ind w:right="255"/>
              <w:spacing w:after="0"/>
              <w:rPr>
                <w:sz w:val="20"/>
                <w:szCs w:val="20"/>
                <w:color w:val="auto"/>
              </w:rPr>
            </w:pPr>
            <w:r>
              <w:rPr>
                <w:rFonts w:ascii="Arial" w:cs="Arial" w:eastAsia="Arial" w:hAnsi="Arial"/>
                <w:sz w:val="17"/>
                <w:szCs w:val="17"/>
                <w:b w:val="1"/>
                <w:bCs w:val="1"/>
                <w:color w:val="auto"/>
              </w:rPr>
              <w:t>Postretirement Benefits</w:t>
            </w:r>
          </w:p>
        </w:tc>
      </w:tr>
      <w:tr>
        <w:trPr>
          <w:trHeight w:val="183"/>
        </w:trPr>
        <w:tc>
          <w:tcPr>
            <w:tcW w:w="3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555"/>
              <w:spacing w:after="0" w:line="183" w:lineRule="exact"/>
              <w:rPr>
                <w:sz w:val="20"/>
                <w:szCs w:val="20"/>
                <w:color w:val="auto"/>
              </w:rPr>
            </w:pPr>
            <w:r>
              <w:rPr>
                <w:rFonts w:ascii="Arial" w:cs="Arial" w:eastAsia="Arial" w:hAnsi="Arial"/>
                <w:sz w:val="17"/>
                <w:szCs w:val="17"/>
                <w:b w:val="1"/>
                <w:bCs w:val="1"/>
                <w:color w:val="auto"/>
              </w:rPr>
              <w:t>2019</w:t>
            </w:r>
          </w:p>
        </w:tc>
        <w:tc>
          <w:tcPr>
            <w:tcW w:w="1120" w:type="dxa"/>
            <w:vAlign w:val="bottom"/>
            <w:tcBorders>
              <w:bottom w:val="single" w:sz="8" w:color="auto"/>
            </w:tcBorders>
          </w:tcPr>
          <w:p>
            <w:pPr>
              <w:jc w:val="right"/>
              <w:ind w:right="455"/>
              <w:spacing w:after="0" w:line="183" w:lineRule="exact"/>
              <w:rPr>
                <w:sz w:val="20"/>
                <w:szCs w:val="20"/>
                <w:color w:val="auto"/>
              </w:rPr>
            </w:pPr>
            <w:r>
              <w:rPr>
                <w:rFonts w:ascii="Arial" w:cs="Arial" w:eastAsia="Arial" w:hAnsi="Arial"/>
                <w:sz w:val="17"/>
                <w:szCs w:val="17"/>
                <w:color w:val="auto"/>
              </w:rPr>
              <w:t>2018</w:t>
            </w:r>
          </w:p>
        </w:tc>
        <w:tc>
          <w:tcPr>
            <w:tcW w:w="1300" w:type="dxa"/>
            <w:vAlign w:val="bottom"/>
            <w:tcBorders>
              <w:bottom w:val="single" w:sz="8" w:color="auto"/>
            </w:tcBorders>
          </w:tcPr>
          <w:p>
            <w:pPr>
              <w:jc w:val="right"/>
              <w:ind w:right="555"/>
              <w:spacing w:after="0" w:line="183" w:lineRule="exact"/>
              <w:rPr>
                <w:sz w:val="20"/>
                <w:szCs w:val="20"/>
                <w:color w:val="auto"/>
              </w:rPr>
            </w:pPr>
            <w:r>
              <w:rPr>
                <w:rFonts w:ascii="Arial" w:cs="Arial" w:eastAsia="Arial" w:hAnsi="Arial"/>
                <w:sz w:val="17"/>
                <w:szCs w:val="17"/>
                <w:b w:val="1"/>
                <w:bCs w:val="1"/>
                <w:color w:val="auto"/>
              </w:rPr>
              <w:t>2019</w:t>
            </w:r>
          </w:p>
        </w:tc>
        <w:tc>
          <w:tcPr>
            <w:tcW w:w="1080" w:type="dxa"/>
            <w:vAlign w:val="bottom"/>
            <w:tcBorders>
              <w:bottom w:val="single" w:sz="8" w:color="auto"/>
            </w:tcBorders>
          </w:tcPr>
          <w:p>
            <w:pPr>
              <w:jc w:val="right"/>
              <w:ind w:right="415"/>
              <w:spacing w:after="0" w:line="183" w:lineRule="exact"/>
              <w:rPr>
                <w:sz w:val="20"/>
                <w:szCs w:val="20"/>
                <w:color w:val="auto"/>
              </w:rPr>
            </w:pPr>
            <w:r>
              <w:rPr>
                <w:rFonts w:ascii="Arial" w:cs="Arial" w:eastAsia="Arial" w:hAnsi="Arial"/>
                <w:sz w:val="17"/>
                <w:szCs w:val="17"/>
                <w:color w:val="auto"/>
              </w:rPr>
              <w:t>2018</w:t>
            </w:r>
          </w:p>
        </w:tc>
      </w:tr>
      <w:tr>
        <w:trPr>
          <w:trHeight w:val="183"/>
        </w:trPr>
        <w:tc>
          <w:tcPr>
            <w:tcW w:w="3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Discount rate</w:t>
            </w:r>
          </w:p>
        </w:tc>
        <w:tc>
          <w:tcPr>
            <w:tcW w:w="204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2.9 %</w:t>
            </w:r>
          </w:p>
        </w:tc>
        <w:tc>
          <w:tcPr>
            <w:tcW w:w="11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4.0 %</w:t>
            </w:r>
          </w:p>
        </w:tc>
        <w:tc>
          <w:tcPr>
            <w:tcW w:w="130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3.0 %</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4.1 %</w:t>
            </w:r>
          </w:p>
        </w:tc>
      </w:tr>
      <w:tr>
        <w:trPr>
          <w:trHeight w:val="189"/>
        </w:trPr>
        <w:tc>
          <w:tcPr>
            <w:tcW w:w="33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Rate of compensation increase</w:t>
            </w:r>
          </w:p>
        </w:tc>
        <w:tc>
          <w:tcPr>
            <w:tcW w:w="204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3.6 %</w:t>
            </w:r>
          </w:p>
        </w:tc>
        <w:tc>
          <w:tcPr>
            <w:tcW w:w="11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3.6 %</w:t>
            </w:r>
          </w:p>
        </w:tc>
        <w:tc>
          <w:tcPr>
            <w:tcW w:w="1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bl>
    <w:p>
      <w:pPr>
        <w:spacing w:after="0" w:line="183"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Pension expense is actuarially calculated annually based on data available at the beginning of each year. The expected return on plan assets is determined by multiplying the expected long-term rate of return on assets by the market-related value of plan assets for the U.S. qualified pension plan and market value for the Canadian qualified pension plan. The market-related value of plan assets is a calculated value that recognizes investment gains and losses in fair value related to equities over three or five years, depending on which computation results in a market-related value closer to market value. Market-related value for the U.S. qualified plan was $601 million and $615 million for 2019 and 2018, respectively.</w:t>
      </w:r>
    </w:p>
    <w:p>
      <w:pPr>
        <w:spacing w:after="0" w:line="124"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ind w:left="60" w:right="79"/>
        <w:spacing w:after="0" w:line="243" w:lineRule="auto"/>
        <w:rPr>
          <w:sz w:val="20"/>
          <w:szCs w:val="20"/>
          <w:color w:val="auto"/>
        </w:rPr>
      </w:pPr>
      <w:r>
        <w:rPr>
          <w:rFonts w:ascii="Arial" w:cs="Arial" w:eastAsia="Arial" w:hAnsi="Arial"/>
          <w:sz w:val="17"/>
          <w:szCs w:val="17"/>
          <w:color w:val="auto"/>
        </w:rPr>
        <w:t>Assumptions used in the calculation of net benefit cost include the discount rate selected and disclosed at the end of the previous year, as well as other assumptions detailed in the table below:</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0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ind w:left="900"/>
              <w:spacing w:after="0"/>
              <w:rPr>
                <w:sz w:val="20"/>
                <w:szCs w:val="20"/>
                <w:color w:val="auto"/>
              </w:rPr>
            </w:pPr>
            <w:r>
              <w:rPr>
                <w:rFonts w:ascii="Arial" w:cs="Arial" w:eastAsia="Arial" w:hAnsi="Arial"/>
                <w:sz w:val="17"/>
                <w:szCs w:val="17"/>
                <w:b w:val="1"/>
                <w:bCs w:val="1"/>
                <w:color w:val="auto"/>
              </w:rPr>
              <w:t>Pension Benefits</w:t>
            </w:r>
          </w:p>
        </w:tc>
        <w:tc>
          <w:tcPr>
            <w:tcW w:w="6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center"/>
              <w:ind w:right="135"/>
              <w:spacing w:after="0"/>
              <w:rPr>
                <w:sz w:val="20"/>
                <w:szCs w:val="20"/>
                <w:color w:val="auto"/>
              </w:rPr>
            </w:pPr>
            <w:r>
              <w:rPr>
                <w:rFonts w:ascii="Arial" w:cs="Arial" w:eastAsia="Arial" w:hAnsi="Arial"/>
                <w:sz w:val="17"/>
                <w:szCs w:val="17"/>
                <w:b w:val="1"/>
                <w:bCs w:val="1"/>
                <w:color w:val="auto"/>
              </w:rPr>
              <w:t>Postretirement Benefits</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b w:val="1"/>
                <w:bCs w:val="1"/>
                <w:color w:val="auto"/>
              </w:rPr>
              <w:t>2019</w:t>
            </w:r>
          </w:p>
        </w:tc>
        <w:tc>
          <w:tcPr>
            <w:tcW w:w="9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color w:val="auto"/>
              </w:rPr>
              <w:t>2018</w:t>
            </w:r>
          </w:p>
        </w:tc>
        <w:tc>
          <w:tcPr>
            <w:tcW w:w="960" w:type="dxa"/>
            <w:vAlign w:val="bottom"/>
            <w:tcBorders>
              <w:bottom w:val="single" w:sz="8" w:color="auto"/>
            </w:tcBorders>
            <w:gridSpan w:val="2"/>
          </w:tcPr>
          <w:p>
            <w:pPr>
              <w:jc w:val="right"/>
              <w:ind w:right="375"/>
              <w:spacing w:after="0" w:line="183" w:lineRule="exact"/>
              <w:rPr>
                <w:sz w:val="20"/>
                <w:szCs w:val="20"/>
                <w:color w:val="auto"/>
              </w:rPr>
            </w:pPr>
            <w:r>
              <w:rPr>
                <w:rFonts w:ascii="Arial" w:cs="Arial" w:eastAsia="Arial" w:hAnsi="Arial"/>
                <w:sz w:val="17"/>
                <w:szCs w:val="17"/>
                <w:color w:val="auto"/>
              </w:rPr>
              <w:t>2017</w:t>
            </w:r>
          </w:p>
        </w:tc>
        <w:tc>
          <w:tcPr>
            <w:tcW w:w="9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b w:val="1"/>
                <w:bCs w:val="1"/>
                <w:color w:val="auto"/>
              </w:rPr>
              <w:t>2019</w:t>
            </w:r>
          </w:p>
        </w:tc>
        <w:tc>
          <w:tcPr>
            <w:tcW w:w="9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color w:val="auto"/>
              </w:rPr>
              <w:t>2018</w:t>
            </w:r>
          </w:p>
        </w:tc>
        <w:tc>
          <w:tcPr>
            <w:tcW w:w="86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spacing w:after="0" w:line="183" w:lineRule="exact"/>
              <w:rPr>
                <w:sz w:val="20"/>
                <w:szCs w:val="20"/>
                <w:color w:val="auto"/>
              </w:rPr>
            </w:pPr>
            <w:r>
              <w:rPr>
                <w:rFonts w:ascii="Arial" w:cs="Arial" w:eastAsia="Arial" w:hAnsi="Arial"/>
                <w:sz w:val="15"/>
                <w:szCs w:val="15"/>
                <w:color w:val="auto"/>
              </w:rPr>
              <w:t xml:space="preserve">Discount rate </w:t>
            </w:r>
            <w:r>
              <w:rPr>
                <w:rFonts w:ascii="Arial" w:cs="Arial" w:eastAsia="Arial" w:hAnsi="Arial"/>
                <w:sz w:val="21"/>
                <w:szCs w:val="21"/>
                <w:color w:val="auto"/>
                <w:vertAlign w:val="superscript"/>
              </w:rPr>
              <w:t>(1)</w:t>
            </w:r>
          </w:p>
        </w:tc>
        <w:tc>
          <w:tcPr>
            <w:tcW w:w="11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4.0 %</w:t>
            </w:r>
          </w:p>
        </w:tc>
        <w:tc>
          <w:tcPr>
            <w:tcW w:w="9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4.0 %</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4.0 %</w:t>
            </w:r>
          </w:p>
        </w:tc>
        <w:tc>
          <w:tcPr>
            <w:tcW w:w="9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4.1 %</w:t>
            </w:r>
          </w:p>
        </w:tc>
        <w:tc>
          <w:tcPr>
            <w:tcW w:w="9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3.7 %</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4.0 %</w:t>
            </w:r>
          </w:p>
        </w:tc>
        <w:tc>
          <w:tcPr>
            <w:tcW w:w="0" w:type="dxa"/>
            <w:vAlign w:val="bottom"/>
          </w:tcPr>
          <w:p>
            <w:pPr>
              <w:spacing w:after="0"/>
              <w:rPr>
                <w:sz w:val="1"/>
                <w:szCs w:val="1"/>
                <w:color w:val="auto"/>
              </w:rPr>
            </w:pPr>
          </w:p>
        </w:tc>
      </w:tr>
      <w:tr>
        <w:trPr>
          <w:trHeight w:val="189"/>
        </w:trPr>
        <w:tc>
          <w:tcPr>
            <w:tcW w:w="3060" w:type="dxa"/>
            <w:vAlign w:val="bottom"/>
          </w:tcPr>
          <w:p>
            <w:pPr>
              <w:spacing w:after="0" w:line="189" w:lineRule="exact"/>
              <w:rPr>
                <w:sz w:val="20"/>
                <w:szCs w:val="20"/>
                <w:color w:val="auto"/>
              </w:rPr>
            </w:pPr>
            <w:r>
              <w:rPr>
                <w:rFonts w:ascii="Arial" w:cs="Arial" w:eastAsia="Arial" w:hAnsi="Arial"/>
                <w:sz w:val="17"/>
                <w:szCs w:val="17"/>
                <w:color w:val="auto"/>
              </w:rPr>
              <w:t>Rate of compensation increase</w:t>
            </w: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3.6 %</w:t>
            </w:r>
          </w:p>
        </w:tc>
        <w:tc>
          <w:tcPr>
            <w:tcW w:w="9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3.6 %</w:t>
            </w:r>
          </w:p>
        </w:tc>
        <w:tc>
          <w:tcPr>
            <w:tcW w:w="280" w:type="dxa"/>
            <w:vAlign w:val="bottom"/>
          </w:tcPr>
          <w:p>
            <w:pPr>
              <w:spacing w:after="0"/>
              <w:rPr>
                <w:sz w:val="16"/>
                <w:szCs w:val="16"/>
                <w:color w:val="auto"/>
              </w:rPr>
            </w:pPr>
          </w:p>
        </w:tc>
        <w:tc>
          <w:tcPr>
            <w:tcW w:w="6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3.6 %</w:t>
            </w: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long-term rate of return on</w:t>
            </w:r>
          </w:p>
        </w:tc>
        <w:tc>
          <w:tcPr>
            <w:tcW w:w="11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5.8 %</w:t>
            </w: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assets</w:t>
            </w: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5.9 %</w:t>
            </w:r>
          </w:p>
        </w:tc>
        <w:tc>
          <w:tcPr>
            <w:tcW w:w="2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5.8 %</w:t>
            </w:r>
          </w:p>
        </w:tc>
        <w:tc>
          <w:tcPr>
            <w:tcW w:w="9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80" w:right="79" w:hanging="330"/>
        <w:spacing w:after="0" w:line="258" w:lineRule="auto"/>
        <w:tabs>
          <w:tab w:leader="none" w:pos="3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U.S qualified pension plan was remeasured during the second quarter of 2018 in connection with the pension litigation. The discount rate used to determine the benefit obligation in 2018 before the remeasurement was 3.7%.</w:t>
      </w:r>
    </w:p>
    <w:p>
      <w:pPr>
        <w:spacing w:after="0" w:line="1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expected long-term rate of return on invested plan assets is based on the plans’ weighted-average target asset allocation, as well as historical and future expected performance of those assets. The target asset allocation is selected to obtain an investment return that is sufficient to cover the expected benefit payments and to reduce the variability of future contributions by the Company.</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are the components of net periodic pension benefit cost and net periodic postretirement benefit income.</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Pension Benefits</w:t>
            </w: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jc w:val="right"/>
              <w:ind w:right="415"/>
              <w:spacing w:after="0"/>
              <w:rPr>
                <w:sz w:val="20"/>
                <w:szCs w:val="20"/>
                <w:color w:val="auto"/>
              </w:rPr>
            </w:pPr>
            <w:r>
              <w:rPr>
                <w:rFonts w:ascii="Arial" w:cs="Arial" w:eastAsia="Arial" w:hAnsi="Arial"/>
                <w:sz w:val="17"/>
                <w:szCs w:val="17"/>
                <w:b w:val="1"/>
                <w:bCs w:val="1"/>
                <w:color w:val="auto"/>
              </w:rPr>
              <w:t>Postretirement Benefits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b w:val="1"/>
                <w:bCs w:val="1"/>
                <w:color w:val="auto"/>
              </w:rPr>
              <w:t>2019</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7"/>
                <w:szCs w:val="17"/>
                <w:color w:val="auto"/>
              </w:rPr>
              <w:t>2018</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7"/>
                <w:szCs w:val="17"/>
                <w:color w:val="auto"/>
              </w:rPr>
              <w:t>2017</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7"/>
                <w:szCs w:val="17"/>
                <w:color w:val="auto"/>
              </w:rPr>
              <w:t>2018</w:t>
            </w: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Service cost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20</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18</w:t>
            </w:r>
          </w:p>
        </w:tc>
        <w:tc>
          <w:tcPr>
            <w:tcW w:w="3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17</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tcPr>
          <w:p>
            <w:pPr>
              <w:spacing w:after="0" w:line="189" w:lineRule="exact"/>
              <w:rPr>
                <w:sz w:val="20"/>
                <w:szCs w:val="20"/>
                <w:color w:val="auto"/>
              </w:rPr>
            </w:pPr>
            <w:r>
              <w:rPr>
                <w:rFonts w:ascii="Arial" w:cs="Arial" w:eastAsia="Arial" w:hAnsi="Arial"/>
                <w:sz w:val="17"/>
                <w:szCs w:val="17"/>
                <w:color w:val="auto"/>
              </w:rPr>
              <w:t>Interest cost</w:t>
            </w:r>
          </w:p>
        </w:tc>
        <w:tc>
          <w:tcPr>
            <w:tcW w:w="4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27</w:t>
            </w:r>
          </w:p>
        </w:tc>
        <w:tc>
          <w:tcPr>
            <w:tcW w:w="340" w:type="dxa"/>
            <w:vAlign w:val="bottom"/>
          </w:tcPr>
          <w:p>
            <w:pPr>
              <w:spacing w:after="0"/>
              <w:rPr>
                <w:sz w:val="16"/>
                <w:szCs w:val="16"/>
                <w:color w:val="auto"/>
              </w:rPr>
            </w:pPr>
          </w:p>
        </w:tc>
        <w:tc>
          <w:tcPr>
            <w:tcW w:w="7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29</w:t>
            </w:r>
          </w:p>
        </w:tc>
        <w:tc>
          <w:tcPr>
            <w:tcW w:w="300" w:type="dxa"/>
            <w:vAlign w:val="bottom"/>
          </w:tcPr>
          <w:p>
            <w:pPr>
              <w:spacing w:after="0"/>
              <w:rPr>
                <w:sz w:val="16"/>
                <w:szCs w:val="16"/>
                <w:color w:val="auto"/>
              </w:rPr>
            </w:pPr>
          </w:p>
        </w:tc>
        <w:tc>
          <w:tcPr>
            <w:tcW w:w="7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25</w:t>
            </w:r>
          </w:p>
        </w:tc>
        <w:tc>
          <w:tcPr>
            <w:tcW w:w="260" w:type="dxa"/>
            <w:vAlign w:val="bottom"/>
          </w:tcPr>
          <w:p>
            <w:pPr>
              <w:spacing w:after="0"/>
              <w:rPr>
                <w:sz w:val="16"/>
                <w:szCs w:val="16"/>
                <w:color w:val="auto"/>
              </w:rPr>
            </w:pPr>
          </w:p>
        </w:tc>
        <w:tc>
          <w:tcPr>
            <w:tcW w:w="7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6"/>
                <w:szCs w:val="16"/>
                <w:color w:val="auto"/>
              </w:rPr>
            </w:pPr>
          </w:p>
        </w:tc>
        <w:tc>
          <w:tcPr>
            <w:tcW w:w="7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return on plan assets</w:t>
            </w: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(37)</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(38)</w:t>
            </w: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(37)</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Amortization of net loss (gain)</w:t>
            </w: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12</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12</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13</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(1)</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benefit expense (income)</w:t>
            </w:r>
          </w:p>
        </w:tc>
        <w:tc>
          <w:tcPr>
            <w:tcW w:w="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22</w:t>
            </w:r>
          </w:p>
        </w:tc>
        <w:tc>
          <w:tcPr>
            <w:tcW w:w="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21</w:t>
            </w:r>
          </w:p>
        </w:tc>
        <w:tc>
          <w:tcPr>
            <w:tcW w:w="3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18</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Service cost is recognized as a component of SG&amp;A and the remaining pension and postretirement expense components are recognized as part of Other income, net. In 2017 all components of net benefit expense (income) were recognized as part of SG&amp;A.</w:t>
      </w:r>
    </w:p>
    <w:p>
      <w:pPr>
        <w:spacing w:after="0" w:line="161" w:lineRule="exact"/>
        <w:rPr>
          <w:sz w:val="20"/>
          <w:szCs w:val="20"/>
          <w:color w:val="auto"/>
        </w:rPr>
      </w:pPr>
    </w:p>
    <w:p>
      <w:pPr>
        <w:jc w:val="both"/>
        <w:ind w:left="60" w:right="79"/>
        <w:spacing w:after="0" w:line="236" w:lineRule="auto"/>
        <w:rPr>
          <w:sz w:val="20"/>
          <w:szCs w:val="20"/>
          <w:color w:val="auto"/>
        </w:rPr>
      </w:pPr>
      <w:r>
        <w:rPr>
          <w:rFonts w:ascii="Arial" w:cs="Arial" w:eastAsia="Arial" w:hAnsi="Arial"/>
          <w:sz w:val="17"/>
          <w:szCs w:val="17"/>
          <w:color w:val="auto"/>
        </w:rPr>
        <w:t>Beginning in 2001, new retirees were charged the expected full cost of the medical plan, and then-existing retirees will incur 100 percent of the expected future increases in medical plan costs. Any changes in the health care cost trend rates assumed would not affect the accumulated benefit obligation or net benefit income, since retirees will incur 100 percent of such expected future increases.</w:t>
      </w:r>
    </w:p>
    <w:p>
      <w:pPr>
        <w:spacing w:after="0" w:line="16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Company maintains a Supplemental Executive Retirement Plan (“SERP”), which is an unfunded plan that includes provisions for the continuation of medical and dental insurance benefits to certain executive officers and other key employees of the Company (“SERP Medical Plan”). The SERP Medical Plan’s accumulated projected benefit obligation at February 1, 2020 was $10 million. The following initial and ultimate cost trend rate assumptions were used to determine the benefit obligations under the SERP Medical Plan:</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615"/>
              <w:spacing w:after="0"/>
              <w:rPr>
                <w:sz w:val="20"/>
                <w:szCs w:val="20"/>
                <w:color w:val="auto"/>
              </w:rPr>
            </w:pPr>
            <w:r>
              <w:rPr>
                <w:rFonts w:ascii="Arial" w:cs="Arial" w:eastAsia="Arial" w:hAnsi="Arial"/>
                <w:sz w:val="17"/>
                <w:szCs w:val="17"/>
                <w:b w:val="1"/>
                <w:bCs w:val="1"/>
                <w:color w:val="auto"/>
              </w:rPr>
              <w:t>Medical Trend Rate</w:t>
            </w: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Dental Trend Rate</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b w:val="1"/>
                <w:bCs w:val="1"/>
                <w:color w:val="auto"/>
              </w:rPr>
              <w:t>2019</w:t>
            </w:r>
          </w:p>
        </w:tc>
        <w:tc>
          <w:tcPr>
            <w:tcW w:w="9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color w:val="auto"/>
              </w:rPr>
              <w:t>2018</w:t>
            </w:r>
          </w:p>
        </w:tc>
        <w:tc>
          <w:tcPr>
            <w:tcW w:w="9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color w:val="auto"/>
              </w:rPr>
              <w:t>2017</w:t>
            </w:r>
          </w:p>
        </w:tc>
        <w:tc>
          <w:tcPr>
            <w:tcW w:w="9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b w:val="1"/>
                <w:bCs w:val="1"/>
                <w:color w:val="auto"/>
              </w:rPr>
              <w:t>2019</w:t>
            </w:r>
          </w:p>
        </w:tc>
        <w:tc>
          <w:tcPr>
            <w:tcW w:w="1060" w:type="dxa"/>
            <w:vAlign w:val="bottom"/>
            <w:tcBorders>
              <w:bottom w:val="single" w:sz="8" w:color="auto"/>
            </w:tcBorders>
          </w:tcPr>
          <w:p>
            <w:pPr>
              <w:jc w:val="right"/>
              <w:ind w:right="475"/>
              <w:spacing w:after="0" w:line="183" w:lineRule="exact"/>
              <w:rPr>
                <w:sz w:val="20"/>
                <w:szCs w:val="20"/>
                <w:color w:val="auto"/>
              </w:rPr>
            </w:pPr>
            <w:r>
              <w:rPr>
                <w:rFonts w:ascii="Arial" w:cs="Arial" w:eastAsia="Arial" w:hAnsi="Arial"/>
                <w:sz w:val="17"/>
                <w:szCs w:val="17"/>
                <w:color w:val="auto"/>
              </w:rPr>
              <w:t>2018</w:t>
            </w:r>
          </w:p>
        </w:tc>
        <w:tc>
          <w:tcPr>
            <w:tcW w:w="76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183"/>
        </w:trPr>
        <w:tc>
          <w:tcPr>
            <w:tcW w:w="3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Initial cost trend rate</w:t>
            </w:r>
          </w:p>
        </w:tc>
        <w:tc>
          <w:tcPr>
            <w:tcW w:w="10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6.5 %</w:t>
            </w:r>
          </w:p>
        </w:tc>
        <w:tc>
          <w:tcPr>
            <w:tcW w:w="9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6.5 %</w:t>
            </w:r>
          </w:p>
        </w:tc>
        <w:tc>
          <w:tcPr>
            <w:tcW w:w="9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7.0 %</w:t>
            </w:r>
          </w:p>
        </w:tc>
        <w:tc>
          <w:tcPr>
            <w:tcW w:w="9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5.0 %</w:t>
            </w:r>
          </w:p>
        </w:tc>
        <w:tc>
          <w:tcPr>
            <w:tcW w:w="106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5.0 %</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189"/>
        </w:trPr>
        <w:tc>
          <w:tcPr>
            <w:tcW w:w="3140" w:type="dxa"/>
            <w:vAlign w:val="bottom"/>
          </w:tcPr>
          <w:p>
            <w:pPr>
              <w:spacing w:after="0" w:line="189" w:lineRule="exact"/>
              <w:rPr>
                <w:sz w:val="20"/>
                <w:szCs w:val="20"/>
                <w:color w:val="auto"/>
              </w:rPr>
            </w:pPr>
            <w:r>
              <w:rPr>
                <w:rFonts w:ascii="Arial" w:cs="Arial" w:eastAsia="Arial" w:hAnsi="Arial"/>
                <w:sz w:val="17"/>
                <w:szCs w:val="17"/>
                <w:color w:val="auto"/>
              </w:rPr>
              <w:t>Ultimate cost trend rate</w:t>
            </w:r>
          </w:p>
        </w:tc>
        <w:tc>
          <w:tcPr>
            <w:tcW w:w="10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5.0 %</w:t>
            </w:r>
          </w:p>
        </w:tc>
        <w:tc>
          <w:tcPr>
            <w:tcW w:w="9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5.0 %</w:t>
            </w:r>
          </w:p>
        </w:tc>
        <w:tc>
          <w:tcPr>
            <w:tcW w:w="9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5.0 %</w:t>
            </w:r>
          </w:p>
        </w:tc>
        <w:tc>
          <w:tcPr>
            <w:tcW w:w="9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5.0 %</w:t>
            </w:r>
          </w:p>
        </w:tc>
        <w:tc>
          <w:tcPr>
            <w:tcW w:w="106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5.0 %</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183"/>
        </w:trPr>
        <w:tc>
          <w:tcPr>
            <w:tcW w:w="3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Year that the ultimate cost trend rate is</w:t>
            </w:r>
          </w:p>
        </w:tc>
        <w:tc>
          <w:tcPr>
            <w:tcW w:w="1060" w:type="dxa"/>
            <w:vAlign w:val="bottom"/>
            <w:vMerge w:val="restart"/>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2025</w:t>
            </w:r>
          </w:p>
        </w:tc>
        <w:tc>
          <w:tcPr>
            <w:tcW w:w="9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reached</w:t>
            </w: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2025</w:t>
            </w:r>
          </w:p>
        </w:tc>
        <w:tc>
          <w:tcPr>
            <w:tcW w:w="9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2025</w:t>
            </w: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rPr>
              <w:t>2019</w:t>
            </w:r>
          </w:p>
        </w:tc>
        <w:tc>
          <w:tcPr>
            <w:tcW w:w="7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initial and ultimate cost trend rate assumptions were used to determine the net periodic cost under the</w:t>
      </w:r>
    </w:p>
    <w:p>
      <w:pPr>
        <w:ind w:left="60"/>
        <w:spacing w:after="0"/>
        <w:rPr>
          <w:sz w:val="20"/>
          <w:szCs w:val="20"/>
          <w:color w:val="auto"/>
        </w:rPr>
      </w:pPr>
      <w:r>
        <w:rPr>
          <w:rFonts w:ascii="Arial" w:cs="Arial" w:eastAsia="Arial" w:hAnsi="Arial"/>
          <w:sz w:val="17"/>
          <w:szCs w:val="17"/>
          <w:color w:val="auto"/>
        </w:rPr>
        <w:t>SERP Medical Plan:</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615"/>
              <w:spacing w:after="0"/>
              <w:rPr>
                <w:sz w:val="20"/>
                <w:szCs w:val="20"/>
                <w:color w:val="auto"/>
              </w:rPr>
            </w:pPr>
            <w:r>
              <w:rPr>
                <w:rFonts w:ascii="Arial" w:cs="Arial" w:eastAsia="Arial" w:hAnsi="Arial"/>
                <w:sz w:val="17"/>
                <w:szCs w:val="17"/>
                <w:b w:val="1"/>
                <w:bCs w:val="1"/>
                <w:color w:val="auto"/>
              </w:rPr>
              <w:t>Medical Trend Rate</w:t>
            </w: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Dental Trend Rate</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b w:val="1"/>
                <w:bCs w:val="1"/>
                <w:color w:val="auto"/>
              </w:rPr>
              <w:t>2019</w:t>
            </w:r>
          </w:p>
        </w:tc>
        <w:tc>
          <w:tcPr>
            <w:tcW w:w="9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color w:val="auto"/>
              </w:rPr>
              <w:t>2018</w:t>
            </w:r>
          </w:p>
        </w:tc>
        <w:tc>
          <w:tcPr>
            <w:tcW w:w="9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color w:val="auto"/>
              </w:rPr>
              <w:t>2017</w:t>
            </w:r>
          </w:p>
        </w:tc>
        <w:tc>
          <w:tcPr>
            <w:tcW w:w="9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b w:val="1"/>
                <w:bCs w:val="1"/>
                <w:color w:val="auto"/>
              </w:rPr>
              <w:t>2019</w:t>
            </w:r>
          </w:p>
        </w:tc>
        <w:tc>
          <w:tcPr>
            <w:tcW w:w="1060" w:type="dxa"/>
            <w:vAlign w:val="bottom"/>
            <w:tcBorders>
              <w:bottom w:val="single" w:sz="8" w:color="auto"/>
            </w:tcBorders>
          </w:tcPr>
          <w:p>
            <w:pPr>
              <w:jc w:val="right"/>
              <w:ind w:right="475"/>
              <w:spacing w:after="0" w:line="183" w:lineRule="exact"/>
              <w:rPr>
                <w:sz w:val="20"/>
                <w:szCs w:val="20"/>
                <w:color w:val="auto"/>
              </w:rPr>
            </w:pPr>
            <w:r>
              <w:rPr>
                <w:rFonts w:ascii="Arial" w:cs="Arial" w:eastAsia="Arial" w:hAnsi="Arial"/>
                <w:sz w:val="17"/>
                <w:szCs w:val="17"/>
                <w:color w:val="auto"/>
              </w:rPr>
              <w:t>2018</w:t>
            </w:r>
          </w:p>
        </w:tc>
        <w:tc>
          <w:tcPr>
            <w:tcW w:w="76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183"/>
        </w:trPr>
        <w:tc>
          <w:tcPr>
            <w:tcW w:w="3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Initial cost trend rate</w:t>
            </w:r>
          </w:p>
        </w:tc>
        <w:tc>
          <w:tcPr>
            <w:tcW w:w="10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6.5 %</w:t>
            </w:r>
          </w:p>
        </w:tc>
        <w:tc>
          <w:tcPr>
            <w:tcW w:w="9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7.0 %</w:t>
            </w:r>
          </w:p>
        </w:tc>
        <w:tc>
          <w:tcPr>
            <w:tcW w:w="9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7.0 %</w:t>
            </w:r>
          </w:p>
        </w:tc>
        <w:tc>
          <w:tcPr>
            <w:tcW w:w="9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5.0 %</w:t>
            </w:r>
          </w:p>
        </w:tc>
        <w:tc>
          <w:tcPr>
            <w:tcW w:w="106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5.0 %</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189"/>
        </w:trPr>
        <w:tc>
          <w:tcPr>
            <w:tcW w:w="3140" w:type="dxa"/>
            <w:vAlign w:val="bottom"/>
          </w:tcPr>
          <w:p>
            <w:pPr>
              <w:spacing w:after="0" w:line="189" w:lineRule="exact"/>
              <w:rPr>
                <w:sz w:val="20"/>
                <w:szCs w:val="20"/>
                <w:color w:val="auto"/>
              </w:rPr>
            </w:pPr>
            <w:r>
              <w:rPr>
                <w:rFonts w:ascii="Arial" w:cs="Arial" w:eastAsia="Arial" w:hAnsi="Arial"/>
                <w:sz w:val="17"/>
                <w:szCs w:val="17"/>
                <w:color w:val="auto"/>
              </w:rPr>
              <w:t>Ultimate cost trend rate</w:t>
            </w:r>
          </w:p>
        </w:tc>
        <w:tc>
          <w:tcPr>
            <w:tcW w:w="10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5.0 %</w:t>
            </w:r>
          </w:p>
        </w:tc>
        <w:tc>
          <w:tcPr>
            <w:tcW w:w="9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5.0 %</w:t>
            </w:r>
          </w:p>
        </w:tc>
        <w:tc>
          <w:tcPr>
            <w:tcW w:w="9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5.0 %</w:t>
            </w:r>
          </w:p>
        </w:tc>
        <w:tc>
          <w:tcPr>
            <w:tcW w:w="9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5.0 %</w:t>
            </w:r>
          </w:p>
        </w:tc>
        <w:tc>
          <w:tcPr>
            <w:tcW w:w="106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5.0 %</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183"/>
        </w:trPr>
        <w:tc>
          <w:tcPr>
            <w:tcW w:w="3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Year that the ultimate cost trend rate is</w:t>
            </w:r>
          </w:p>
        </w:tc>
        <w:tc>
          <w:tcPr>
            <w:tcW w:w="1060" w:type="dxa"/>
            <w:vAlign w:val="bottom"/>
            <w:vMerge w:val="restart"/>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2025</w:t>
            </w:r>
          </w:p>
        </w:tc>
        <w:tc>
          <w:tcPr>
            <w:tcW w:w="9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2019</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reached</w:t>
            </w: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2025</w:t>
            </w:r>
          </w:p>
        </w:tc>
        <w:tc>
          <w:tcPr>
            <w:tcW w:w="9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2021</w:t>
            </w: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rPr>
              <w:t>2018</w:t>
            </w:r>
          </w:p>
        </w:tc>
        <w:tc>
          <w:tcPr>
            <w:tcW w:w="7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 one percentage-point change in the assumed health care cost trend rates would have the following effects on the</w:t>
      </w:r>
    </w:p>
    <w:p>
      <w:pPr>
        <w:ind w:left="60"/>
        <w:spacing w:after="0"/>
        <w:rPr>
          <w:sz w:val="20"/>
          <w:szCs w:val="20"/>
          <w:color w:val="auto"/>
        </w:rPr>
      </w:pPr>
      <w:r>
        <w:rPr>
          <w:rFonts w:ascii="Arial" w:cs="Arial" w:eastAsia="Arial" w:hAnsi="Arial"/>
          <w:sz w:val="17"/>
          <w:szCs w:val="17"/>
          <w:color w:val="auto"/>
        </w:rPr>
        <w:t>SERP Medical Plan:</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0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 Increase</w:t>
            </w: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99"/>
              </w:rPr>
              <w:t>1% (Decrease)</w:t>
            </w:r>
          </w:p>
        </w:tc>
      </w:tr>
      <w:tr>
        <w:trPr>
          <w:trHeight w:val="183"/>
        </w:trPr>
        <w:tc>
          <w:tcPr>
            <w:tcW w:w="5000" w:type="dxa"/>
            <w:vAlign w:val="bottom"/>
          </w:tcPr>
          <w:p>
            <w:pPr>
              <w:spacing w:after="0"/>
              <w:rPr>
                <w:sz w:val="15"/>
                <w:szCs w:val="15"/>
                <w:color w:val="auto"/>
              </w:rPr>
            </w:pPr>
          </w:p>
        </w:tc>
        <w:tc>
          <w:tcPr>
            <w:tcW w:w="3900" w:type="dxa"/>
            <w:vAlign w:val="bottom"/>
            <w:gridSpan w:val="4"/>
          </w:tcPr>
          <w:p>
            <w:pPr>
              <w:jc w:val="right"/>
              <w:ind w:right="95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 on total service and interest cost components</w:t>
            </w:r>
          </w:p>
        </w:tc>
        <w:tc>
          <w:tcPr>
            <w:tcW w:w="2060" w:type="dxa"/>
            <w:vAlign w:val="bottom"/>
            <w:shd w:val="clear" w:color="auto" w:fill="CCEEFF"/>
          </w:tcPr>
          <w:p>
            <w:pPr>
              <w:jc w:val="right"/>
              <w:ind w:right="1055"/>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5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Effect on accumulated postretirement benefit obligation</w:t>
            </w:r>
          </w:p>
        </w:tc>
        <w:tc>
          <w:tcPr>
            <w:tcW w:w="2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r>
    </w:tbl>
    <w:p>
      <w:pPr>
        <w:spacing w:after="0" w:line="183"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The mortality assumption used to value the Company’s 2019 U.S. pension obligations was the Pri-2012 mortality table with generational projection using modified MP-2019 for both males and females, while in the prior year the obligation was valued using the RP-2017 mortality table with generational projection using modified MP-2017. The Company used the 2014 CPM Private Sector mortality table projected generationally with Scale CPM-B for both males and females to value its Canadian pension obligations for 2019, while in the prior year the obligation was valued using the RP-2000 mortality table with generational projection using scale AA. For the SERP Medical Plan, the mortality assumption used to value the 2019 obligation was updated to the PriH-2012 table with generational projection using MP-2019, while in the prior year the obligation was valued using the RPH-2018 table with generational projection using MP-2018.</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Plan Assets</w:t>
      </w:r>
    </w:p>
    <w:p>
      <w:pPr>
        <w:spacing w:after="0" w:line="18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target composition of the Company’s Canadian qualified pension plan assets is 95 percent fixed-income securities and 5 percent equities. The Company believes plan assets are invested in a conservative manner with the same overall objective and investment strategy as noted below for the U.S. pension plan. The bond portfolio is comprised of government and corporate bonds chosen to match the duration of the pension plan’s benefit payment obligations. This current asset allocation will limit future volatility with regard to the funded status of the plan.</w:t>
      </w:r>
    </w:p>
    <w:p>
      <w:pPr>
        <w:spacing w:after="0" w:line="15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target composition of the Company’s U.S. qualified pension plan assets is 60 percent fixed-income securities, 36.5 percent equities, and 3.5 percent real estate. The Company may alter the asset allocation targets from time to time depending on market conditions and the funding requirements of the pension plan. This current asset allocation has and is expected to limit volatility with regard to the funded status of the plan, but may result in higher pension expense due to the lower long-term rate of return associated with fixed-income securities. Due to market conditions and other factors, actual asset allocations may vary from the target allocation outlined above.</w:t>
      </w:r>
    </w:p>
    <w:p>
      <w:pPr>
        <w:spacing w:after="0" w:line="161" w:lineRule="exact"/>
        <w:rPr>
          <w:sz w:val="20"/>
          <w:szCs w:val="20"/>
          <w:color w:val="auto"/>
        </w:rPr>
      </w:pPr>
    </w:p>
    <w:p>
      <w:pPr>
        <w:jc w:val="both"/>
        <w:ind w:left="60" w:right="59"/>
        <w:spacing w:after="0"/>
        <w:rPr>
          <w:sz w:val="20"/>
          <w:szCs w:val="20"/>
          <w:color w:val="auto"/>
        </w:rPr>
      </w:pPr>
      <w:r>
        <w:rPr>
          <w:rFonts w:ascii="Arial" w:cs="Arial" w:eastAsia="Arial" w:hAnsi="Arial"/>
          <w:sz w:val="17"/>
          <w:szCs w:val="17"/>
          <w:color w:val="auto"/>
        </w:rPr>
        <w:t>The Company believes plan assets are invested in a conservative manner with an objective of providing a total return that, over the long term, provides sufficient assets to fund benefit obligations, taking into account the Company’s expected contributions and the level of funding risk deemed appropriate. The Company’s investment strategy seeks to diversify assets among classes of investments with differing rates of return, volatility, and correlation in order to reduce funding risk. Diversification within asset classes is also utilized to ensure that there are no significant concentrations of risk in plan assets and to reduce the effect that the return on any single investment may have on the entire portfolio.</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Valuation of Investments</w:t>
      </w:r>
    </w:p>
    <w:p>
      <w:pPr>
        <w:spacing w:after="0" w:line="17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Significant portions of plan assets are invested in commingled trust funds. These funds are valued at the net asset value of units held by the plan at year end. Stocks traded on U.S. and Canadian security exchanges are valued at closing market prices on the measurement date.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fair values of the Canadian pension plan assets at February 1, 2020 and February 2, 2019 were as follows: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Level 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Level 3</w:t>
            </w:r>
          </w:p>
        </w:tc>
        <w:tc>
          <w:tcPr>
            <w:tcW w:w="108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rPr>
              <w:t>2019 Total</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2018 Total*</w:t>
            </w:r>
          </w:p>
        </w:tc>
      </w:tr>
      <w:tr>
        <w:trPr>
          <w:trHeight w:val="183"/>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Pr>
          <w:p>
            <w:pPr>
              <w:ind w:left="20"/>
              <w:spacing w:after="0" w:line="183" w:lineRule="exact"/>
              <w:rPr>
                <w:sz w:val="20"/>
                <w:szCs w:val="20"/>
                <w:color w:val="auto"/>
              </w:rPr>
            </w:pPr>
            <w:r>
              <w:rPr>
                <w:rFonts w:ascii="Arial" w:cs="Arial" w:eastAsia="Arial" w:hAnsi="Arial"/>
                <w:sz w:val="17"/>
                <w:szCs w:val="17"/>
                <w:color w:val="auto"/>
              </w:rPr>
              <w:t>in millions)</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equivalents</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ind w:left="580"/>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w:t>
            </w:r>
          </w:p>
        </w:tc>
        <w:tc>
          <w:tcPr>
            <w:tcW w:w="50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20" w:type="dxa"/>
            <w:vAlign w:val="bottom"/>
          </w:tcPr>
          <w:p>
            <w:pPr>
              <w:spacing w:after="0"/>
              <w:rPr>
                <w:sz w:val="16"/>
                <w:szCs w:val="16"/>
                <w:color w:val="auto"/>
              </w:rPr>
            </w:pPr>
          </w:p>
        </w:tc>
        <w:tc>
          <w:tcPr>
            <w:tcW w:w="2880" w:type="dxa"/>
            <w:vAlign w:val="bottom"/>
          </w:tcPr>
          <w:p>
            <w:pPr>
              <w:spacing w:after="0" w:line="189" w:lineRule="exact"/>
              <w:rPr>
                <w:sz w:val="20"/>
                <w:szCs w:val="20"/>
                <w:color w:val="auto"/>
              </w:rPr>
            </w:pPr>
            <w:r>
              <w:rPr>
                <w:rFonts w:ascii="Arial" w:cs="Arial" w:eastAsia="Arial" w:hAnsi="Arial"/>
                <w:sz w:val="17"/>
                <w:szCs w:val="17"/>
                <w:color w:val="auto"/>
              </w:rPr>
              <w:t>Equity securities:</w:t>
            </w: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ind w:left="80"/>
              <w:spacing w:after="0" w:line="189" w:lineRule="exact"/>
              <w:rPr>
                <w:sz w:val="20"/>
                <w:szCs w:val="20"/>
                <w:color w:val="auto"/>
              </w:rPr>
            </w:pPr>
            <w:r>
              <w:rPr>
                <w:rFonts w:ascii="Arial" w:cs="Arial" w:eastAsia="Arial" w:hAnsi="Arial"/>
                <w:sz w:val="15"/>
                <w:szCs w:val="15"/>
                <w:color w:val="auto"/>
              </w:rPr>
              <w:t xml:space="preserve">Canadian and international </w:t>
            </w:r>
            <w:r>
              <w:rPr>
                <w:rFonts w:ascii="Arial" w:cs="Arial" w:eastAsia="Arial" w:hAnsi="Arial"/>
                <w:sz w:val="21"/>
                <w:szCs w:val="21"/>
                <w:color w:val="auto"/>
                <w:vertAlign w:val="superscript"/>
              </w:rPr>
              <w:t>(1)</w:t>
            </w:r>
          </w:p>
        </w:tc>
        <w:tc>
          <w:tcPr>
            <w:tcW w:w="7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ind w:left="580"/>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20" w:type="dxa"/>
            <w:vAlign w:val="bottom"/>
          </w:tcPr>
          <w:p>
            <w:pPr>
              <w:spacing w:after="0"/>
              <w:rPr>
                <w:sz w:val="16"/>
                <w:szCs w:val="16"/>
                <w:color w:val="auto"/>
              </w:rPr>
            </w:pPr>
          </w:p>
        </w:tc>
        <w:tc>
          <w:tcPr>
            <w:tcW w:w="2880" w:type="dxa"/>
            <w:vAlign w:val="bottom"/>
          </w:tcPr>
          <w:p>
            <w:pPr>
              <w:spacing w:after="0" w:line="189" w:lineRule="exact"/>
              <w:rPr>
                <w:sz w:val="20"/>
                <w:szCs w:val="20"/>
                <w:color w:val="auto"/>
              </w:rPr>
            </w:pPr>
            <w:r>
              <w:rPr>
                <w:rFonts w:ascii="Arial" w:cs="Arial" w:eastAsia="Arial" w:hAnsi="Arial"/>
                <w:sz w:val="17"/>
                <w:szCs w:val="17"/>
                <w:color w:val="auto"/>
              </w:rPr>
              <w:t>Fixed-income securities:</w:t>
            </w: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88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5"/>
                <w:szCs w:val="15"/>
                <w:color w:val="auto"/>
              </w:rPr>
              <w:t xml:space="preserve">Cash matched bonds </w:t>
            </w:r>
            <w:r>
              <w:rPr>
                <w:rFonts w:ascii="Arial" w:cs="Arial" w:eastAsia="Arial" w:hAnsi="Arial"/>
                <w:sz w:val="21"/>
                <w:szCs w:val="21"/>
                <w:color w:val="auto"/>
                <w:vertAlign w:val="superscript"/>
              </w:rPr>
              <w:t>(2)</w:t>
            </w:r>
          </w:p>
        </w:tc>
        <w:tc>
          <w:tcPr>
            <w:tcW w:w="7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48</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580"/>
              <w:spacing w:after="0" w:line="189"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48</w:t>
            </w:r>
          </w:p>
        </w:tc>
        <w:tc>
          <w:tcPr>
            <w:tcW w:w="5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47</w:t>
            </w:r>
          </w:p>
        </w:tc>
      </w:tr>
      <w:tr>
        <w:trPr>
          <w:trHeight w:val="183"/>
        </w:trPr>
        <w:tc>
          <w:tcPr>
            <w:tcW w:w="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assets at fair value</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49</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ind w:left="580"/>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ind w:right="215"/>
              <w:spacing w:after="0" w:line="183" w:lineRule="exact"/>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51</w:t>
            </w:r>
          </w:p>
        </w:tc>
        <w:tc>
          <w:tcPr>
            <w:tcW w:w="50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51</w:t>
            </w:r>
          </w:p>
        </w:tc>
      </w:tr>
      <w:tr>
        <w:trPr>
          <w:trHeight w:val="20"/>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380" w:hanging="330"/>
        <w:spacing w:after="0"/>
        <w:tabs>
          <w:tab w:leader="none" w:pos="380" w:val="left"/>
        </w:tabs>
        <w:numPr>
          <w:ilvl w:val="0"/>
          <w:numId w:val="32"/>
        </w:numPr>
        <w:rPr>
          <w:rFonts w:ascii="Arial" w:cs="Arial" w:eastAsia="Arial" w:hAnsi="Arial"/>
          <w:sz w:val="17"/>
          <w:szCs w:val="17"/>
          <w:color w:val="auto"/>
        </w:rPr>
      </w:pPr>
      <w:r>
        <w:rPr>
          <w:rFonts w:ascii="Arial" w:cs="Arial" w:eastAsia="Arial" w:hAnsi="Arial"/>
          <w:sz w:val="13"/>
          <w:szCs w:val="13"/>
          <w:color w:val="auto"/>
        </w:rPr>
        <w:t>Each category of plan assets is classified within the same level of the fair value hierarchy for 2019 and 2018.</w:t>
      </w:r>
    </w:p>
    <w:p>
      <w:pPr>
        <w:spacing w:after="0" w:line="54" w:lineRule="exact"/>
        <w:rPr>
          <w:sz w:val="20"/>
          <w:szCs w:val="20"/>
          <w:color w:val="auto"/>
        </w:rPr>
      </w:pPr>
    </w:p>
    <w:p>
      <w:pPr>
        <w:ind w:left="380" w:hanging="330"/>
        <w:spacing w:after="0"/>
        <w:tabs>
          <w:tab w:leader="none" w:pos="3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This category comprises one mutual fund that invests primarily in a diverse portfolio of Canadian securities.</w:t>
      </w:r>
    </w:p>
    <w:p>
      <w:pPr>
        <w:spacing w:after="0" w:line="26" w:lineRule="exact"/>
        <w:rPr>
          <w:rFonts w:ascii="Arial" w:cs="Arial" w:eastAsia="Arial" w:hAnsi="Arial"/>
          <w:sz w:val="13"/>
          <w:szCs w:val="13"/>
          <w:color w:val="auto"/>
        </w:rPr>
      </w:pPr>
    </w:p>
    <w:p>
      <w:pPr>
        <w:ind w:left="380" w:right="79" w:hanging="330"/>
        <w:spacing w:after="0" w:line="258" w:lineRule="auto"/>
        <w:tabs>
          <w:tab w:leader="none" w:pos="3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This category consists of fixed-income securities, including strips and coupons, issued or guaranteed by the Government of Canada, provinces or municipalities of Canada including their agencies and crown corporations, as well as other governmental bonds and corporate bonds.</w:t>
      </w:r>
    </w:p>
    <w:p>
      <w:pPr>
        <w:spacing w:after="0" w:line="240" w:lineRule="exact"/>
        <w:rPr>
          <w:sz w:val="20"/>
          <w:szCs w:val="20"/>
          <w:color w:val="auto"/>
        </w:rPr>
      </w:pPr>
    </w:p>
    <w:p>
      <w:pPr>
        <w:ind w:left="60" w:right="59"/>
        <w:spacing w:after="0" w:line="241" w:lineRule="auto"/>
        <w:rPr>
          <w:sz w:val="20"/>
          <w:szCs w:val="20"/>
          <w:color w:val="auto"/>
        </w:rPr>
      </w:pPr>
      <w:r>
        <w:rPr>
          <w:rFonts w:ascii="Arial" w:cs="Arial" w:eastAsia="Arial" w:hAnsi="Arial"/>
          <w:sz w:val="17"/>
          <w:szCs w:val="17"/>
          <w:color w:val="auto"/>
        </w:rPr>
        <w:t>The fair values of the Company’s U.S. pension plan assets at February 1, 2020 and February 2, 2019 were as follows:</w:t>
      </w:r>
    </w:p>
    <w:p>
      <w:pPr>
        <w:spacing w:after="0" w:line="39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Level 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Level 2</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Level 3</w:t>
            </w:r>
          </w:p>
        </w:tc>
        <w:tc>
          <w:tcPr>
            <w:tcW w:w="106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rPr>
              <w:t>2019 Total</w:t>
            </w: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color w:val="auto"/>
                <w:w w:val="98"/>
              </w:rPr>
              <w:t>2018 Total*</w:t>
            </w: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Pr>
          <w:p>
            <w:pPr>
              <w:ind w:left="20"/>
              <w:spacing w:after="0" w:line="183" w:lineRule="exact"/>
              <w:rPr>
                <w:sz w:val="20"/>
                <w:szCs w:val="20"/>
                <w:color w:val="auto"/>
              </w:rPr>
            </w:pPr>
            <w:r>
              <w:rPr>
                <w:rFonts w:ascii="Arial" w:cs="Arial" w:eastAsia="Arial" w:hAnsi="Arial"/>
                <w:sz w:val="17"/>
                <w:szCs w:val="17"/>
                <w:color w:val="auto"/>
              </w:rPr>
              <w:t>in millions)</w:t>
            </w: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equivalents</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ind w:left="560"/>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44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3380" w:type="dxa"/>
            <w:vAlign w:val="bottom"/>
          </w:tcPr>
          <w:p>
            <w:pPr>
              <w:spacing w:after="0" w:line="189" w:lineRule="exact"/>
              <w:rPr>
                <w:sz w:val="20"/>
                <w:szCs w:val="20"/>
                <w:color w:val="auto"/>
              </w:rPr>
            </w:pPr>
            <w:r>
              <w:rPr>
                <w:rFonts w:ascii="Arial" w:cs="Arial" w:eastAsia="Arial" w:hAnsi="Arial"/>
                <w:sz w:val="17"/>
                <w:szCs w:val="17"/>
                <w:color w:val="auto"/>
              </w:rPr>
              <w:t>Equity securities:</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100"/>
              <w:spacing w:after="0" w:line="189" w:lineRule="exact"/>
              <w:rPr>
                <w:sz w:val="20"/>
                <w:szCs w:val="20"/>
                <w:color w:val="auto"/>
              </w:rPr>
            </w:pPr>
            <w:r>
              <w:rPr>
                <w:rFonts w:ascii="Arial" w:cs="Arial" w:eastAsia="Arial" w:hAnsi="Arial"/>
                <w:sz w:val="15"/>
                <w:szCs w:val="15"/>
                <w:color w:val="auto"/>
              </w:rPr>
              <w:t xml:space="preserve">U.S. large-cap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116</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ind w:left="560"/>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116</w:t>
            </w: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189"/>
        </w:trPr>
        <w:tc>
          <w:tcPr>
            <w:tcW w:w="3380" w:type="dxa"/>
            <w:vAlign w:val="bottom"/>
          </w:tcPr>
          <w:p>
            <w:pPr>
              <w:ind w:left="100"/>
              <w:spacing w:after="0" w:line="189" w:lineRule="exact"/>
              <w:rPr>
                <w:sz w:val="20"/>
                <w:szCs w:val="20"/>
                <w:color w:val="auto"/>
              </w:rPr>
            </w:pPr>
            <w:r>
              <w:rPr>
                <w:rFonts w:ascii="Arial" w:cs="Arial" w:eastAsia="Arial" w:hAnsi="Arial"/>
                <w:sz w:val="15"/>
                <w:szCs w:val="15"/>
                <w:color w:val="auto"/>
              </w:rPr>
              <w:t xml:space="preserve">U.S. mid-cap </w:t>
            </w:r>
            <w:r>
              <w:rPr>
                <w:rFonts w:ascii="Arial" w:cs="Arial" w:eastAsia="Arial" w:hAnsi="Arial"/>
                <w:sz w:val="21"/>
                <w:szCs w:val="21"/>
                <w:color w:val="auto"/>
                <w:vertAlign w:val="superscript"/>
              </w:rPr>
              <w:t>(1)</w:t>
            </w:r>
          </w:p>
        </w:tc>
        <w:tc>
          <w:tcPr>
            <w:tcW w:w="320" w:type="dxa"/>
            <w:vAlign w:val="bottom"/>
          </w:tcPr>
          <w:p>
            <w:pPr>
              <w:spacing w:after="0"/>
              <w:rPr>
                <w:sz w:val="16"/>
                <w:szCs w:val="16"/>
                <w:color w:val="auto"/>
              </w:rPr>
            </w:pPr>
          </w:p>
        </w:tc>
        <w:tc>
          <w:tcPr>
            <w:tcW w:w="8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840" w:type="dxa"/>
            <w:vAlign w:val="bottom"/>
          </w:tcPr>
          <w:p>
            <w:pPr>
              <w:jc w:val="right"/>
              <w:ind w:right="15"/>
              <w:spacing w:after="0" w:line="189" w:lineRule="exact"/>
              <w:rPr>
                <w:sz w:val="20"/>
                <w:szCs w:val="20"/>
                <w:color w:val="auto"/>
              </w:rPr>
            </w:pPr>
            <w:r>
              <w:rPr>
                <w:rFonts w:ascii="Arial" w:cs="Arial" w:eastAsia="Arial" w:hAnsi="Arial"/>
                <w:sz w:val="17"/>
                <w:szCs w:val="17"/>
                <w:color w:val="auto"/>
              </w:rPr>
              <w:t>34</w:t>
            </w:r>
          </w:p>
        </w:tc>
        <w:tc>
          <w:tcPr>
            <w:tcW w:w="260" w:type="dxa"/>
            <w:vAlign w:val="bottom"/>
          </w:tcPr>
          <w:p>
            <w:pPr>
              <w:spacing w:after="0"/>
              <w:rPr>
                <w:sz w:val="16"/>
                <w:szCs w:val="16"/>
                <w:color w:val="auto"/>
              </w:rPr>
            </w:pPr>
          </w:p>
        </w:tc>
        <w:tc>
          <w:tcPr>
            <w:tcW w:w="920" w:type="dxa"/>
            <w:vAlign w:val="bottom"/>
          </w:tcPr>
          <w:p>
            <w:pPr>
              <w:ind w:left="560"/>
              <w:spacing w:after="0" w:line="189" w:lineRule="exact"/>
              <w:rPr>
                <w:sz w:val="20"/>
                <w:szCs w:val="20"/>
                <w:color w:val="auto"/>
              </w:rPr>
            </w:pPr>
            <w:r>
              <w:rPr>
                <w:rFonts w:ascii="Arial" w:cs="Arial" w:eastAsia="Arial" w:hAnsi="Arial"/>
                <w:sz w:val="17"/>
                <w:szCs w:val="17"/>
                <w:color w:val="auto"/>
              </w:rPr>
              <w:t>—</w:t>
            </w:r>
          </w:p>
        </w:tc>
        <w:tc>
          <w:tcPr>
            <w:tcW w:w="400" w:type="dxa"/>
            <w:vAlign w:val="bottom"/>
          </w:tcPr>
          <w:p>
            <w:pPr>
              <w:spacing w:after="0"/>
              <w:rPr>
                <w:sz w:val="16"/>
                <w:szCs w:val="16"/>
                <w:color w:val="auto"/>
              </w:rPr>
            </w:pPr>
          </w:p>
        </w:tc>
        <w:tc>
          <w:tcPr>
            <w:tcW w:w="6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34</w:t>
            </w:r>
          </w:p>
        </w:tc>
        <w:tc>
          <w:tcPr>
            <w:tcW w:w="4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100"/>
              <w:spacing w:after="0" w:line="189" w:lineRule="exact"/>
              <w:rPr>
                <w:sz w:val="20"/>
                <w:szCs w:val="20"/>
                <w:color w:val="auto"/>
              </w:rPr>
            </w:pPr>
            <w:r>
              <w:rPr>
                <w:rFonts w:ascii="Arial" w:cs="Arial" w:eastAsia="Arial" w:hAnsi="Arial"/>
                <w:sz w:val="15"/>
                <w:szCs w:val="15"/>
                <w:color w:val="auto"/>
              </w:rPr>
              <w:t xml:space="preserve">International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78</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ind w:left="560"/>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78</w:t>
            </w: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89"/>
        </w:trPr>
        <w:tc>
          <w:tcPr>
            <w:tcW w:w="3380" w:type="dxa"/>
            <w:vAlign w:val="bottom"/>
          </w:tcPr>
          <w:p>
            <w:pPr>
              <w:ind w:left="100"/>
              <w:spacing w:after="0" w:line="189" w:lineRule="exact"/>
              <w:rPr>
                <w:sz w:val="20"/>
                <w:szCs w:val="20"/>
                <w:color w:val="auto"/>
              </w:rPr>
            </w:pPr>
            <w:r>
              <w:rPr>
                <w:rFonts w:ascii="Arial" w:cs="Arial" w:eastAsia="Arial" w:hAnsi="Arial"/>
                <w:sz w:val="15"/>
                <w:szCs w:val="15"/>
                <w:color w:val="auto"/>
              </w:rPr>
              <w:t xml:space="preserve">Corporate stock </w:t>
            </w:r>
            <w:r>
              <w:rPr>
                <w:rFonts w:ascii="Arial" w:cs="Arial" w:eastAsia="Arial" w:hAnsi="Arial"/>
                <w:sz w:val="21"/>
                <w:szCs w:val="21"/>
                <w:color w:val="auto"/>
                <w:vertAlign w:val="superscript"/>
              </w:rPr>
              <w:t>(3)</w:t>
            </w:r>
          </w:p>
        </w:tc>
        <w:tc>
          <w:tcPr>
            <w:tcW w:w="320" w:type="dxa"/>
            <w:vAlign w:val="bottom"/>
          </w:tcPr>
          <w:p>
            <w:pPr>
              <w:spacing w:after="0"/>
              <w:rPr>
                <w:sz w:val="16"/>
                <w:szCs w:val="16"/>
                <w:color w:val="auto"/>
              </w:rPr>
            </w:pPr>
          </w:p>
        </w:tc>
        <w:tc>
          <w:tcPr>
            <w:tcW w:w="8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15</w:t>
            </w:r>
          </w:p>
        </w:tc>
        <w:tc>
          <w:tcPr>
            <w:tcW w:w="240" w:type="dxa"/>
            <w:vAlign w:val="bottom"/>
          </w:tcPr>
          <w:p>
            <w:pPr>
              <w:spacing w:after="0"/>
              <w:rPr>
                <w:sz w:val="16"/>
                <w:szCs w:val="16"/>
                <w:color w:val="auto"/>
              </w:rPr>
            </w:pPr>
          </w:p>
        </w:tc>
        <w:tc>
          <w:tcPr>
            <w:tcW w:w="84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920" w:type="dxa"/>
            <w:vAlign w:val="bottom"/>
          </w:tcPr>
          <w:p>
            <w:pPr>
              <w:ind w:left="560"/>
              <w:spacing w:after="0" w:line="189" w:lineRule="exact"/>
              <w:rPr>
                <w:sz w:val="20"/>
                <w:szCs w:val="20"/>
                <w:color w:val="auto"/>
              </w:rPr>
            </w:pPr>
            <w:r>
              <w:rPr>
                <w:rFonts w:ascii="Arial" w:cs="Arial" w:eastAsia="Arial" w:hAnsi="Arial"/>
                <w:sz w:val="17"/>
                <w:szCs w:val="17"/>
                <w:color w:val="auto"/>
              </w:rPr>
              <w:t>—</w:t>
            </w:r>
          </w:p>
        </w:tc>
        <w:tc>
          <w:tcPr>
            <w:tcW w:w="400" w:type="dxa"/>
            <w:vAlign w:val="bottom"/>
          </w:tcPr>
          <w:p>
            <w:pPr>
              <w:spacing w:after="0"/>
              <w:rPr>
                <w:sz w:val="16"/>
                <w:szCs w:val="16"/>
                <w:color w:val="auto"/>
              </w:rPr>
            </w:pPr>
          </w:p>
        </w:tc>
        <w:tc>
          <w:tcPr>
            <w:tcW w:w="6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15</w:t>
            </w:r>
          </w:p>
        </w:tc>
        <w:tc>
          <w:tcPr>
            <w:tcW w:w="4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Fixed-income securities:</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80" w:type="dxa"/>
            <w:vAlign w:val="bottom"/>
          </w:tcPr>
          <w:p>
            <w:pPr>
              <w:ind w:left="100"/>
              <w:spacing w:after="0" w:line="181" w:lineRule="exact"/>
              <w:rPr>
                <w:sz w:val="20"/>
                <w:szCs w:val="20"/>
                <w:color w:val="auto"/>
              </w:rPr>
            </w:pPr>
            <w:r>
              <w:rPr>
                <w:rFonts w:ascii="Arial" w:cs="Arial" w:eastAsia="Arial" w:hAnsi="Arial"/>
                <w:sz w:val="17"/>
                <w:szCs w:val="17"/>
                <w:color w:val="auto"/>
              </w:rPr>
              <w:t>Long duration corporate and government</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273</w:t>
            </w: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80" w:type="dxa"/>
            <w:vAlign w:val="bottom"/>
          </w:tcPr>
          <w:p>
            <w:pPr>
              <w:ind w:left="300"/>
              <w:spacing w:after="0" w:line="197" w:lineRule="exact"/>
              <w:rPr>
                <w:sz w:val="20"/>
                <w:szCs w:val="20"/>
                <w:color w:val="auto"/>
              </w:rPr>
            </w:pPr>
            <w:r>
              <w:rPr>
                <w:rFonts w:ascii="Arial" w:cs="Arial" w:eastAsia="Arial" w:hAnsi="Arial"/>
                <w:sz w:val="15"/>
                <w:szCs w:val="15"/>
                <w:color w:val="auto"/>
              </w:rPr>
              <w:t xml:space="preserve">bonds </w:t>
            </w:r>
            <w:r>
              <w:rPr>
                <w:rFonts w:ascii="Arial" w:cs="Arial" w:eastAsia="Arial" w:hAnsi="Arial"/>
                <w:sz w:val="22"/>
                <w:szCs w:val="22"/>
                <w:color w:val="auto"/>
                <w:vertAlign w:val="superscript"/>
              </w:rPr>
              <w:t>(4)</w:t>
            </w:r>
          </w:p>
        </w:tc>
        <w:tc>
          <w:tcPr>
            <w:tcW w:w="32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273</w:t>
            </w:r>
          </w:p>
        </w:tc>
        <w:tc>
          <w:tcPr>
            <w:tcW w:w="260" w:type="dxa"/>
            <w:vAlign w:val="bottom"/>
          </w:tcPr>
          <w:p>
            <w:pPr>
              <w:spacing w:after="0"/>
              <w:rPr>
                <w:sz w:val="17"/>
                <w:szCs w:val="17"/>
                <w:color w:val="auto"/>
              </w:rPr>
            </w:pPr>
          </w:p>
        </w:tc>
        <w:tc>
          <w:tcPr>
            <w:tcW w:w="920" w:type="dxa"/>
            <w:vAlign w:val="bottom"/>
          </w:tcPr>
          <w:p>
            <w:pPr>
              <w:ind w:left="5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181"/>
        </w:trPr>
        <w:tc>
          <w:tcPr>
            <w:tcW w:w="3380" w:type="dxa"/>
            <w:vAlign w:val="bottom"/>
            <w:shd w:val="clear" w:color="auto" w:fill="CCEEFF"/>
          </w:tcPr>
          <w:p>
            <w:pPr>
              <w:ind w:left="100"/>
              <w:spacing w:after="0" w:line="181" w:lineRule="exact"/>
              <w:rPr>
                <w:sz w:val="20"/>
                <w:szCs w:val="20"/>
                <w:color w:val="auto"/>
              </w:rPr>
            </w:pPr>
            <w:r>
              <w:rPr>
                <w:rFonts w:ascii="Arial" w:cs="Arial" w:eastAsia="Arial" w:hAnsi="Arial"/>
                <w:sz w:val="17"/>
                <w:szCs w:val="17"/>
                <w:color w:val="auto"/>
              </w:rPr>
              <w:t>Intermediate duration corporate and</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121</w:t>
            </w: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300"/>
              <w:spacing w:after="0" w:line="197" w:lineRule="exact"/>
              <w:rPr>
                <w:sz w:val="20"/>
                <w:szCs w:val="20"/>
                <w:color w:val="auto"/>
              </w:rPr>
            </w:pPr>
            <w:r>
              <w:rPr>
                <w:rFonts w:ascii="Arial" w:cs="Arial" w:eastAsia="Arial" w:hAnsi="Arial"/>
                <w:sz w:val="15"/>
                <w:szCs w:val="15"/>
                <w:color w:val="auto"/>
              </w:rPr>
              <w:t xml:space="preserve">government bonds </w:t>
            </w:r>
            <w:r>
              <w:rPr>
                <w:rFonts w:ascii="Arial" w:cs="Arial" w:eastAsia="Arial" w:hAnsi="Arial"/>
                <w:sz w:val="22"/>
                <w:szCs w:val="22"/>
                <w:color w:val="auto"/>
                <w:vertAlign w:val="superscript"/>
              </w:rPr>
              <w:t>(5)</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121</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189"/>
        </w:trPr>
        <w:tc>
          <w:tcPr>
            <w:tcW w:w="3380" w:type="dxa"/>
            <w:vAlign w:val="bottom"/>
          </w:tcPr>
          <w:p>
            <w:pPr>
              <w:spacing w:after="0" w:line="189" w:lineRule="exact"/>
              <w:rPr>
                <w:sz w:val="20"/>
                <w:szCs w:val="20"/>
                <w:color w:val="auto"/>
              </w:rPr>
            </w:pPr>
            <w:r>
              <w:rPr>
                <w:rFonts w:ascii="Arial" w:cs="Arial" w:eastAsia="Arial" w:hAnsi="Arial"/>
                <w:sz w:val="17"/>
                <w:szCs w:val="17"/>
                <w:color w:val="auto"/>
              </w:rPr>
              <w:t>Other types of investments:</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100"/>
              <w:spacing w:after="0" w:line="189" w:lineRule="exact"/>
              <w:rPr>
                <w:sz w:val="20"/>
                <w:szCs w:val="20"/>
                <w:color w:val="auto"/>
              </w:rPr>
            </w:pPr>
            <w:r>
              <w:rPr>
                <w:rFonts w:ascii="Arial" w:cs="Arial" w:eastAsia="Arial" w:hAnsi="Arial"/>
                <w:sz w:val="15"/>
                <w:szCs w:val="15"/>
                <w:color w:val="auto"/>
              </w:rPr>
              <w:t xml:space="preserve">Real estate securities </w:t>
            </w:r>
            <w:r>
              <w:rPr>
                <w:rFonts w:ascii="Arial" w:cs="Arial" w:eastAsia="Arial" w:hAnsi="Arial"/>
                <w:sz w:val="21"/>
                <w:szCs w:val="21"/>
                <w:color w:val="auto"/>
                <w:vertAlign w:val="superscript"/>
              </w:rPr>
              <w:t>(6)</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23</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ind w:left="560"/>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23</w:t>
            </w: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89"/>
        </w:trPr>
        <w:tc>
          <w:tcPr>
            <w:tcW w:w="338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Insurance contracts</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560"/>
              <w:spacing w:after="0" w:line="189"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w:t>
            </w:r>
          </w:p>
        </w:tc>
        <w:tc>
          <w:tcPr>
            <w:tcW w:w="4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33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assets at fair value</w:t>
            </w:r>
          </w:p>
        </w:tc>
        <w:tc>
          <w:tcPr>
            <w:tcW w:w="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15</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649</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ind w:left="560"/>
              <w:spacing w:after="0" w:line="183"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664</w:t>
            </w:r>
          </w:p>
        </w:tc>
        <w:tc>
          <w:tcPr>
            <w:tcW w:w="44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80" w:hanging="330"/>
        <w:spacing w:after="0"/>
        <w:tabs>
          <w:tab w:leader="none" w:pos="3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Each category of plan assets is classified within the same level of the fair value hierarchy for 2019 and 2018.</w:t>
      </w:r>
    </w:p>
    <w:p>
      <w:pPr>
        <w:spacing w:after="0" w:line="40" w:lineRule="exact"/>
        <w:rPr>
          <w:sz w:val="20"/>
          <w:szCs w:val="20"/>
          <w:color w:val="auto"/>
        </w:rPr>
      </w:pPr>
    </w:p>
    <w:p>
      <w:pPr>
        <w:ind w:left="380" w:right="79" w:hanging="330"/>
        <w:spacing w:after="0" w:line="258" w:lineRule="auto"/>
        <w:tabs>
          <w:tab w:leader="none" w:pos="3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These categories consist of various managed funds that invest primarily in common stocks, as well as other equity securities and a combination of other funds.</w:t>
      </w:r>
    </w:p>
    <w:p>
      <w:pPr>
        <w:spacing w:after="0" w:line="16" w:lineRule="exact"/>
        <w:rPr>
          <w:rFonts w:ascii="Arial" w:cs="Arial" w:eastAsia="Arial" w:hAnsi="Arial"/>
          <w:sz w:val="13"/>
          <w:szCs w:val="13"/>
          <w:color w:val="auto"/>
        </w:rPr>
      </w:pPr>
    </w:p>
    <w:p>
      <w:pPr>
        <w:ind w:left="380" w:right="79" w:hanging="330"/>
        <w:spacing w:after="0" w:line="258" w:lineRule="auto"/>
        <w:tabs>
          <w:tab w:leader="none" w:pos="3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This category comprises three managed funds that invest primarily in international common stocks, as well as other equity securities and a combination of other funds.</w:t>
      </w:r>
    </w:p>
    <w:p>
      <w:pPr>
        <w:spacing w:after="0" w:line="2" w:lineRule="exact"/>
        <w:rPr>
          <w:rFonts w:ascii="Arial" w:cs="Arial" w:eastAsia="Arial" w:hAnsi="Arial"/>
          <w:sz w:val="13"/>
          <w:szCs w:val="13"/>
          <w:color w:val="auto"/>
        </w:rPr>
      </w:pPr>
    </w:p>
    <w:p>
      <w:pPr>
        <w:ind w:left="380" w:hanging="330"/>
        <w:spacing w:after="0"/>
        <w:tabs>
          <w:tab w:leader="none" w:pos="3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This category consists of the Company’s common stock.</w:t>
      </w:r>
    </w:p>
    <w:p>
      <w:pPr>
        <w:spacing w:after="0" w:line="39" w:lineRule="exact"/>
        <w:rPr>
          <w:rFonts w:ascii="Arial" w:cs="Arial" w:eastAsia="Arial" w:hAnsi="Arial"/>
          <w:sz w:val="13"/>
          <w:szCs w:val="13"/>
          <w:color w:val="auto"/>
        </w:rPr>
      </w:pPr>
    </w:p>
    <w:p>
      <w:pPr>
        <w:ind w:left="380" w:right="79" w:hanging="330"/>
        <w:spacing w:after="0" w:line="258" w:lineRule="auto"/>
        <w:tabs>
          <w:tab w:leader="none" w:pos="3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This category consists of various fixed-income funds that invest primarily in long-term bonds, as well as a combination of other funds, that together are designed to exceed the performance of related long-term market indices.</w:t>
      </w:r>
    </w:p>
    <w:p>
      <w:pPr>
        <w:spacing w:after="0" w:line="16" w:lineRule="exact"/>
        <w:rPr>
          <w:rFonts w:ascii="Arial" w:cs="Arial" w:eastAsia="Arial" w:hAnsi="Arial"/>
          <w:sz w:val="13"/>
          <w:szCs w:val="13"/>
          <w:color w:val="auto"/>
        </w:rPr>
      </w:pPr>
    </w:p>
    <w:p>
      <w:pPr>
        <w:ind w:left="380" w:right="79" w:hanging="330"/>
        <w:spacing w:after="0" w:line="258" w:lineRule="auto"/>
        <w:tabs>
          <w:tab w:leader="none" w:pos="3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This category consists of two fixed-income funds that invest primarily in intermediate duration bonds, as well as a combination of other funds, that together are designed to exceed the performance of related indices.</w:t>
      </w:r>
    </w:p>
    <w:p>
      <w:pPr>
        <w:spacing w:after="0" w:line="2" w:lineRule="exact"/>
        <w:rPr>
          <w:rFonts w:ascii="Arial" w:cs="Arial" w:eastAsia="Arial" w:hAnsi="Arial"/>
          <w:sz w:val="13"/>
          <w:szCs w:val="13"/>
          <w:color w:val="auto"/>
        </w:rPr>
      </w:pPr>
    </w:p>
    <w:p>
      <w:pPr>
        <w:ind w:left="380" w:hanging="330"/>
        <w:spacing w:after="0"/>
        <w:tabs>
          <w:tab w:leader="none" w:pos="3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This category consists of one fund that invests in global real estate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2" w:name="page73"/>
    <w:bookmarkEnd w:id="72"/>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Contributions and Expected Payments</w:t>
      </w:r>
    </w:p>
    <w:p>
      <w:pPr>
        <w:spacing w:after="0" w:line="17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We made a contribution of $55 million and $128 million to our U.S. qualified pension plan during 2019 and 2018, respectively. During 2019, we also paid $2 million in pension benefits related to our non-qualified pension plans. We do not anticipate making any contributions to the U.S. qualified pension plans in 2020, however we continually evaluate the amount and timing of any potential contributions based on market conditions and other factors.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7"/>
          <w:szCs w:val="17"/>
          <w:color w:val="auto"/>
        </w:rPr>
        <w:t>Estimated future benefit payments for each of the next five years and the five years thereafter are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320" w:type="dxa"/>
            <w:vAlign w:val="bottom"/>
          </w:tcPr>
          <w:p>
            <w:pPr>
              <w:spacing w:after="0"/>
              <w:rPr>
                <w:sz w:val="16"/>
                <w:szCs w:val="16"/>
                <w:color w:val="auto"/>
              </w:rPr>
            </w:pPr>
          </w:p>
        </w:tc>
        <w:tc>
          <w:tcPr>
            <w:tcW w:w="3560" w:type="dxa"/>
            <w:vAlign w:val="bottom"/>
          </w:tcPr>
          <w:p>
            <w:pPr>
              <w:ind w:left="2880"/>
              <w:spacing w:after="0"/>
              <w:rPr>
                <w:sz w:val="20"/>
                <w:szCs w:val="20"/>
                <w:color w:val="auto"/>
              </w:rPr>
            </w:pPr>
            <w:r>
              <w:rPr>
                <w:rFonts w:ascii="Arial" w:cs="Arial" w:eastAsia="Arial" w:hAnsi="Arial"/>
                <w:sz w:val="17"/>
                <w:szCs w:val="17"/>
                <w:b w:val="1"/>
                <w:bCs w:val="1"/>
                <w:color w:val="auto"/>
                <w:w w:val="99"/>
              </w:rPr>
              <w:t>Pension</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b w:val="1"/>
                <w:bCs w:val="1"/>
                <w:color w:val="auto"/>
                <w:w w:val="98"/>
              </w:rPr>
              <w:t>Postretirement</w:t>
            </w:r>
          </w:p>
        </w:tc>
      </w:tr>
      <w:tr>
        <w:trPr>
          <w:trHeight w:val="215"/>
        </w:trPr>
        <w:tc>
          <w:tcPr>
            <w:tcW w:w="33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ind w:left="2880"/>
              <w:spacing w:after="0"/>
              <w:rPr>
                <w:sz w:val="20"/>
                <w:szCs w:val="20"/>
                <w:color w:val="auto"/>
              </w:rPr>
            </w:pPr>
            <w:r>
              <w:rPr>
                <w:rFonts w:ascii="Arial" w:cs="Arial" w:eastAsia="Arial" w:hAnsi="Arial"/>
                <w:sz w:val="17"/>
                <w:szCs w:val="17"/>
                <w:b w:val="1"/>
                <w:bCs w:val="1"/>
                <w:color w:val="auto"/>
                <w:w w:val="98"/>
              </w:rPr>
              <w:t>Benefits</w:t>
            </w: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Benefits</w:t>
            </w:r>
          </w:p>
        </w:tc>
      </w:tr>
      <w:tr>
        <w:trPr>
          <w:trHeight w:val="183"/>
        </w:trPr>
        <w:tc>
          <w:tcPr>
            <w:tcW w:w="3320" w:type="dxa"/>
            <w:vAlign w:val="bottom"/>
          </w:tcPr>
          <w:p>
            <w:pPr>
              <w:spacing w:after="0"/>
              <w:rPr>
                <w:sz w:val="15"/>
                <w:szCs w:val="15"/>
                <w:color w:val="auto"/>
              </w:rPr>
            </w:pPr>
          </w:p>
        </w:tc>
        <w:tc>
          <w:tcPr>
            <w:tcW w:w="5580" w:type="dxa"/>
            <w:vAlign w:val="bottom"/>
            <w:gridSpan w:val="4"/>
          </w:tcPr>
          <w:p>
            <w:pPr>
              <w:jc w:val="right"/>
              <w:ind w:right="95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2020</w:t>
            </w:r>
          </w:p>
        </w:tc>
        <w:tc>
          <w:tcPr>
            <w:tcW w:w="3560" w:type="dxa"/>
            <w:vAlign w:val="bottom"/>
            <w:shd w:val="clear" w:color="auto" w:fill="CCEEFF"/>
          </w:tcPr>
          <w:p>
            <w:pPr>
              <w:jc w:val="right"/>
              <w:ind w:right="875"/>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98"/>
              </w:rPr>
              <w:t>103</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332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3560" w:type="dxa"/>
            <w:vAlign w:val="bottom"/>
          </w:tcPr>
          <w:p>
            <w:pPr>
              <w:spacing w:after="0"/>
              <w:rPr>
                <w:sz w:val="16"/>
                <w:szCs w:val="16"/>
                <w:color w:val="auto"/>
              </w:rPr>
            </w:pPr>
          </w:p>
        </w:tc>
        <w:tc>
          <w:tcPr>
            <w:tcW w:w="4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52</w:t>
            </w:r>
          </w:p>
        </w:tc>
        <w:tc>
          <w:tcPr>
            <w:tcW w:w="26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35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52</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3320" w:type="dxa"/>
            <w:vAlign w:val="bottom"/>
          </w:tcPr>
          <w:p>
            <w:pPr>
              <w:spacing w:after="0" w:line="189" w:lineRule="exact"/>
              <w:rPr>
                <w:sz w:val="20"/>
                <w:szCs w:val="20"/>
                <w:color w:val="auto"/>
              </w:rPr>
            </w:pPr>
            <w:r>
              <w:rPr>
                <w:rFonts w:ascii="Arial" w:cs="Arial" w:eastAsia="Arial" w:hAnsi="Arial"/>
                <w:sz w:val="17"/>
                <w:szCs w:val="17"/>
                <w:color w:val="auto"/>
              </w:rPr>
              <w:t>2023</w:t>
            </w:r>
          </w:p>
        </w:tc>
        <w:tc>
          <w:tcPr>
            <w:tcW w:w="3560" w:type="dxa"/>
            <w:vAlign w:val="bottom"/>
          </w:tcPr>
          <w:p>
            <w:pPr>
              <w:spacing w:after="0"/>
              <w:rPr>
                <w:sz w:val="16"/>
                <w:szCs w:val="16"/>
                <w:color w:val="auto"/>
              </w:rPr>
            </w:pPr>
          </w:p>
        </w:tc>
        <w:tc>
          <w:tcPr>
            <w:tcW w:w="4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49</w:t>
            </w:r>
          </w:p>
        </w:tc>
        <w:tc>
          <w:tcPr>
            <w:tcW w:w="26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2024</w:t>
            </w:r>
          </w:p>
        </w:tc>
        <w:tc>
          <w:tcPr>
            <w:tcW w:w="35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46</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33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2025-2029</w:t>
            </w:r>
          </w:p>
        </w:tc>
        <w:tc>
          <w:tcPr>
            <w:tcW w:w="3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w w:val="98"/>
              </w:rPr>
              <w:t>211</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r>
    </w:tbl>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Savings Plans</w:t>
      </w:r>
    </w:p>
    <w:p>
      <w:pPr>
        <w:spacing w:after="0" w:line="228"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The Company has two qualified savings plans, a 401(k) plan that is available to employees whose primary place of employment is the U.S., and another plan that is available to employees whose primary place of employment is in Puerto Rico. Eligible associates may contribute to the plans following 28 days of employment and are eligible for Company matching contributions upon completion of one year of service consisting of at least 1,000 hours. As of January 1, 2020, the savings plans allow eligible employees to contribute up to 40 percent of their compensation on a pre-tax basis, subject to a maximum of $19,500 for the U.S. plan and $15,000 for the Puerto Rico plan. Prior to January 1, 2020, the Company matched 25 percent of employees’ pre-tax contributions on up to the first 4 percent of the employees’ compensation (subject to certain limitations). Effective January 1, 2020, the Company matches 100 percent of employees’ pre-tax contributions on up to the first 1 percent and 50 percent of the next 5 percent of the employees’ compensation (subject to certain limitations). Prior to January 1, 2020, such matching contributions are vested incrementally over the first five years of participation for both plans. Effective January 1, 2020, matching contributions are vested over two years. The charge to operations for the Company’s matching contribution was $4 million for both 2019 and 2018.</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21. Share-Based Compensation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Stock Awards</w:t>
      </w:r>
    </w:p>
    <w:p>
      <w:pPr>
        <w:spacing w:after="0" w:line="228"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Under our 2007 Stock Incentive Plan (the “2007 Stock Plan”), stock options, restricted stock, restricted stock units, stock appreciation rights, or other share-based awards may be granted to nonemployee directors, officers and other employees of the Company, including its subsidiaries and operating divisions worldwide. Options for employees become exercisable in substantially equal annual installments over a three-year period, beginning with the first anniversary of the date of grant of the option, unless a shorter or longer duration is established at the time of the option grant. The options terminate ten years from the date of grant. On May 21, 2014, the 2007 Stock Plan was amended to increase the number of shares of the Company’s common stock reserved for all awards to 14 million shares. As of February 1, 2020, there were 7,476,896 shares available for issuance under this plan.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Employees Stock Purchase Plan</w:t>
      </w:r>
    </w:p>
    <w:p>
      <w:pPr>
        <w:spacing w:after="0" w:line="22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Under our 2013 Foot Locker Employees Stock Purchase Plan (“ESPP”), participating employees are able to contribute up to 10 percent of their annual compensation, not to exceed $25,000 in any plan year, through payroll deductions to acquire shares of the Company’s common stock at 85 percent of the lower market price on one of two specified dates in each plan year. Of the 3,000,000 shares of common stock authorized under this plan, there were 2,379,218 shares available for purchase as of February 1, 2020. During 2019 and 2018, participating employees purchased 96,451 shares and 48,196 shares, respectively.</w:t>
      </w:r>
    </w:p>
    <w:p>
      <w:pPr>
        <w:spacing w:after="0" w:line="202"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3" w:name="page74"/>
    <w:bookmarkEnd w:id="73"/>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Share-Based Compensation Expense</w:t>
      </w:r>
    </w:p>
    <w:p>
      <w:pPr>
        <w:spacing w:after="0" w:line="228" w:lineRule="exact"/>
        <w:rPr>
          <w:sz w:val="20"/>
          <w:szCs w:val="20"/>
          <w:color w:val="auto"/>
        </w:rPr>
      </w:pPr>
    </w:p>
    <w:p>
      <w:pPr>
        <w:jc w:val="both"/>
        <w:ind w:left="60" w:right="59"/>
        <w:spacing w:after="0"/>
        <w:rPr>
          <w:sz w:val="20"/>
          <w:szCs w:val="20"/>
          <w:color w:val="auto"/>
        </w:rPr>
      </w:pPr>
      <w:r>
        <w:rPr>
          <w:rFonts w:ascii="Arial" w:cs="Arial" w:eastAsia="Arial" w:hAnsi="Arial"/>
          <w:sz w:val="17"/>
          <w:szCs w:val="17"/>
          <w:color w:val="auto"/>
        </w:rPr>
        <w:t>Total compensation expense included in SG&amp;A and the associated tax benefits recognized related to our share-based compensation plans, were as follows:</w:t>
      </w: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9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2018</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Pr>
          <w:p>
            <w:pPr>
              <w:jc w:val="right"/>
              <w:ind w:right="175"/>
              <w:spacing w:after="0" w:line="183" w:lineRule="exact"/>
              <w:rPr>
                <w:sz w:val="20"/>
                <w:szCs w:val="20"/>
                <w:color w:val="auto"/>
              </w:rPr>
            </w:pPr>
            <w:r>
              <w:rPr>
                <w:rFonts w:ascii="Arial" w:cs="Arial" w:eastAsia="Arial" w:hAnsi="Arial"/>
                <w:sz w:val="17"/>
                <w:szCs w:val="17"/>
                <w:color w:val="auto"/>
              </w:rPr>
              <w:t>in millions)</w:t>
            </w: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and shares purchased under the ESPP</w:t>
            </w:r>
          </w:p>
        </w:tc>
        <w:tc>
          <w:tcPr>
            <w:tcW w:w="6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6</w:t>
            </w:r>
          </w:p>
        </w:tc>
        <w:tc>
          <w:tcPr>
            <w:tcW w:w="5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w:t>
            </w:r>
          </w:p>
        </w:tc>
        <w:tc>
          <w:tcPr>
            <w:tcW w:w="44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Restricted stock and restricted stock units</w:t>
            </w: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12</w:t>
            </w: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15</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share-based compensation expense</w:t>
            </w:r>
          </w:p>
        </w:tc>
        <w:tc>
          <w:tcPr>
            <w:tcW w:w="68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18</w:t>
            </w:r>
          </w:p>
        </w:tc>
        <w:tc>
          <w:tcPr>
            <w:tcW w:w="50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22</w:t>
            </w:r>
          </w:p>
        </w:tc>
        <w:tc>
          <w:tcPr>
            <w:tcW w:w="4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3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Tax benefit recognized</w:t>
            </w:r>
          </w:p>
        </w:tc>
        <w:tc>
          <w:tcPr>
            <w:tcW w:w="68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50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w:t>
            </w:r>
          </w:p>
        </w:tc>
        <w:tc>
          <w:tcPr>
            <w:tcW w:w="44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Valuation Model and Assumptions</w:t>
      </w:r>
    </w:p>
    <w:p>
      <w:pPr>
        <w:spacing w:after="0" w:line="17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Black-Scholes option-pricing model is used to estimate the fair value of share-based awards. The Black-Scholes option-pricing model incorporates various and subjective assumptions, including expected term and expected volatility.</w:t>
      </w:r>
    </w:p>
    <w:p>
      <w:pPr>
        <w:spacing w:after="0" w:line="16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We estimate the expected term of share-based awards using the Company’s historical exercise and post-vesting employment termination patterns, which we believe are representative of future behavior. The expected term for the employee stock purchase plan valuation is based on the length of each purchase period as measured at the beginning of the offering period, which is one year.</w:t>
      </w:r>
    </w:p>
    <w:p>
      <w:pPr>
        <w:spacing w:after="0" w:line="163" w:lineRule="exact"/>
        <w:rPr>
          <w:sz w:val="20"/>
          <w:szCs w:val="20"/>
          <w:color w:val="auto"/>
        </w:rPr>
      </w:pPr>
    </w:p>
    <w:p>
      <w:pPr>
        <w:jc w:val="both"/>
        <w:ind w:left="60" w:right="79"/>
        <w:spacing w:after="0" w:line="236" w:lineRule="auto"/>
        <w:rPr>
          <w:sz w:val="20"/>
          <w:szCs w:val="20"/>
          <w:color w:val="auto"/>
        </w:rPr>
      </w:pPr>
      <w:r>
        <w:rPr>
          <w:rFonts w:ascii="Arial" w:cs="Arial" w:eastAsia="Arial" w:hAnsi="Arial"/>
          <w:sz w:val="17"/>
          <w:szCs w:val="17"/>
          <w:color w:val="auto"/>
        </w:rPr>
        <w:t>We estimate the expected volatility of our common stock at the grant date using a weighted-average of the Company’s historical volatility and implied volatility from traded options on the Company’s common stock. We believe that this combination of historical volatility and implied volatility provides a better estimate of future stock price volatility.</w:t>
      </w:r>
    </w:p>
    <w:p>
      <w:pPr>
        <w:spacing w:after="0" w:line="14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risk-free interest rate assumption is determined using the Federal Reserve nominal rates for U.S. Treasury zero-coupon bonds with maturities similar to those of the expected term of the award being valued. The expected dividend yield is derived from the Company’s historical experience.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shows the assumptions used to compute the share-based compensation expense: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Stock Option Plans</w:t>
            </w: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Stock Purchase Plan</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55"/>
              <w:spacing w:after="0" w:line="183" w:lineRule="exact"/>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5"/>
              <w:spacing w:after="0" w:line="183" w:lineRule="exact"/>
              <w:rPr>
                <w:sz w:val="20"/>
                <w:szCs w:val="20"/>
                <w:color w:val="auto"/>
              </w:rPr>
            </w:pPr>
            <w:r>
              <w:rPr>
                <w:rFonts w:ascii="Arial" w:cs="Arial" w:eastAsia="Arial" w:hAnsi="Arial"/>
                <w:sz w:val="17"/>
                <w:szCs w:val="17"/>
                <w:color w:val="auto"/>
              </w:rPr>
              <w:t>2018</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5"/>
              <w:spacing w:after="0" w:line="183" w:lineRule="exact"/>
              <w:rPr>
                <w:sz w:val="20"/>
                <w:szCs w:val="20"/>
                <w:color w:val="auto"/>
              </w:rPr>
            </w:pPr>
            <w:r>
              <w:rPr>
                <w:rFonts w:ascii="Arial" w:cs="Arial" w:eastAsia="Arial" w:hAnsi="Arial"/>
                <w:sz w:val="17"/>
                <w:szCs w:val="17"/>
                <w:color w:val="auto"/>
                <w:w w:val="95"/>
              </w:rPr>
              <w:t>2017</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color w:val="auto"/>
              </w:rPr>
              <w:t>2018</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Weighted-average risk</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2.2 %</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2.2 %</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free rate of interest</w:t>
            </w:r>
          </w:p>
        </w:tc>
        <w:tc>
          <w:tcPr>
            <w:tcW w:w="12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189"/>
        </w:trPr>
        <w:tc>
          <w:tcPr>
            <w:tcW w:w="204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1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38 %</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37 %</w:t>
            </w:r>
          </w:p>
        </w:tc>
        <w:tc>
          <w:tcPr>
            <w:tcW w:w="3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25 %</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54 %</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50 %</w:t>
            </w:r>
          </w:p>
        </w:tc>
        <w:tc>
          <w:tcPr>
            <w:tcW w:w="2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30 %</w:t>
            </w: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w:t>
            </w: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expected award life (in</w:t>
            </w:r>
          </w:p>
        </w:tc>
        <w:tc>
          <w:tcPr>
            <w:tcW w:w="120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5.5</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1.0</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years)</w:t>
            </w:r>
          </w:p>
        </w:tc>
        <w:tc>
          <w:tcPr>
            <w:tcW w:w="12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5.5</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5.4</w:t>
            </w:r>
          </w:p>
        </w:tc>
        <w:tc>
          <w:tcPr>
            <w:tcW w:w="2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1.0</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204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1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2.6 %</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3.1 %</w:t>
            </w:r>
          </w:p>
        </w:tc>
        <w:tc>
          <w:tcPr>
            <w:tcW w:w="3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1.9 %</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3.1 %</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2.0 %</w:t>
            </w:r>
          </w:p>
        </w:tc>
        <w:tc>
          <w:tcPr>
            <w:tcW w:w="2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2.0 %</w:t>
            </w: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fair</w:t>
            </w:r>
          </w:p>
        </w:tc>
        <w:tc>
          <w:tcPr>
            <w:tcW w:w="120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   17.07</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16.68</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value</w:t>
            </w: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12.42</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14.74</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15.29</w:t>
            </w:r>
          </w:p>
        </w:tc>
        <w:tc>
          <w:tcPr>
            <w:tcW w:w="2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10.96</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information set forth in the following table covers options granted under the Company’s stock option plans: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60" w:type="dxa"/>
            <w:vAlign w:val="bottom"/>
          </w:tcPr>
          <w:p>
            <w:pPr>
              <w:jc w:val="center"/>
              <w:ind w:right="115"/>
              <w:spacing w:after="0"/>
              <w:rPr>
                <w:sz w:val="20"/>
                <w:szCs w:val="20"/>
                <w:color w:val="auto"/>
              </w:rPr>
            </w:pPr>
            <w:r>
              <w:rPr>
                <w:rFonts w:ascii="Arial" w:cs="Arial" w:eastAsia="Arial" w:hAnsi="Arial"/>
                <w:sz w:val="17"/>
                <w:szCs w:val="17"/>
                <w:b w:val="1"/>
                <w:bCs w:val="1"/>
                <w:color w:val="auto"/>
                <w:w w:val="99"/>
              </w:rPr>
              <w:t>Weighted-</w:t>
            </w:r>
          </w:p>
        </w:tc>
        <w:tc>
          <w:tcPr>
            <w:tcW w:w="500" w:type="dxa"/>
            <w:vAlign w:val="bottom"/>
          </w:tcPr>
          <w:p>
            <w:pPr>
              <w:spacing w:after="0"/>
              <w:rPr>
                <w:sz w:val="16"/>
                <w:szCs w:val="16"/>
                <w:color w:val="auto"/>
              </w:rPr>
            </w:pPr>
          </w:p>
        </w:tc>
        <w:tc>
          <w:tcPr>
            <w:tcW w:w="1080" w:type="dxa"/>
            <w:vAlign w:val="bottom"/>
          </w:tcPr>
          <w:p>
            <w:pPr>
              <w:jc w:val="center"/>
              <w:ind w:right="55"/>
              <w:spacing w:after="0"/>
              <w:rPr>
                <w:sz w:val="20"/>
                <w:szCs w:val="20"/>
                <w:color w:val="auto"/>
              </w:rPr>
            </w:pPr>
            <w:r>
              <w:rPr>
                <w:rFonts w:ascii="Arial" w:cs="Arial" w:eastAsia="Arial" w:hAnsi="Arial"/>
                <w:sz w:val="17"/>
                <w:szCs w:val="17"/>
                <w:b w:val="1"/>
                <w:bCs w:val="1"/>
                <w:color w:val="auto"/>
                <w:w w:val="99"/>
              </w:rPr>
              <w:t>Weighted-</w:t>
            </w:r>
          </w:p>
        </w:tc>
      </w:tr>
      <w:tr>
        <w:trPr>
          <w:trHeight w:val="189"/>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0" w:type="dxa"/>
            <w:vAlign w:val="bottom"/>
          </w:tcPr>
          <w:p>
            <w:pPr>
              <w:jc w:val="center"/>
              <w:ind w:right="455"/>
              <w:spacing w:after="0" w:line="189" w:lineRule="exact"/>
              <w:rPr>
                <w:sz w:val="20"/>
                <w:szCs w:val="20"/>
                <w:color w:val="auto"/>
              </w:rPr>
            </w:pPr>
            <w:r>
              <w:rPr>
                <w:rFonts w:ascii="Arial" w:cs="Arial" w:eastAsia="Arial" w:hAnsi="Arial"/>
                <w:sz w:val="17"/>
                <w:szCs w:val="17"/>
                <w:b w:val="1"/>
                <w:bCs w:val="1"/>
                <w:color w:val="auto"/>
              </w:rPr>
              <w:t>Number</w:t>
            </w:r>
          </w:p>
        </w:tc>
        <w:tc>
          <w:tcPr>
            <w:tcW w:w="186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8"/>
              </w:rPr>
              <w:t>Average</w:t>
            </w:r>
          </w:p>
        </w:tc>
        <w:tc>
          <w:tcPr>
            <w:tcW w:w="500" w:type="dxa"/>
            <w:vAlign w:val="bottom"/>
          </w:tcPr>
          <w:p>
            <w:pPr>
              <w:spacing w:after="0"/>
              <w:rPr>
                <w:sz w:val="16"/>
                <w:szCs w:val="16"/>
                <w:color w:val="auto"/>
              </w:rPr>
            </w:pPr>
          </w:p>
        </w:tc>
        <w:tc>
          <w:tcPr>
            <w:tcW w:w="108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8"/>
              </w:rPr>
              <w:t>Average</w:t>
            </w:r>
          </w:p>
        </w:tc>
      </w:tr>
      <w:tr>
        <w:trPr>
          <w:trHeight w:val="189"/>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0" w:type="dxa"/>
            <w:vAlign w:val="bottom"/>
          </w:tcPr>
          <w:p>
            <w:pPr>
              <w:jc w:val="center"/>
              <w:ind w:right="455"/>
              <w:spacing w:after="0" w:line="189" w:lineRule="exact"/>
              <w:rPr>
                <w:sz w:val="20"/>
                <w:szCs w:val="20"/>
                <w:color w:val="auto"/>
              </w:rPr>
            </w:pPr>
            <w:r>
              <w:rPr>
                <w:rFonts w:ascii="Arial" w:cs="Arial" w:eastAsia="Arial" w:hAnsi="Arial"/>
                <w:sz w:val="17"/>
                <w:szCs w:val="17"/>
                <w:b w:val="1"/>
                <w:bCs w:val="1"/>
                <w:color w:val="auto"/>
              </w:rPr>
              <w:t>of</w:t>
            </w:r>
          </w:p>
        </w:tc>
        <w:tc>
          <w:tcPr>
            <w:tcW w:w="186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8"/>
              </w:rPr>
              <w:t>Remaining</w:t>
            </w:r>
          </w:p>
        </w:tc>
        <w:tc>
          <w:tcPr>
            <w:tcW w:w="500" w:type="dxa"/>
            <w:vAlign w:val="bottom"/>
          </w:tcPr>
          <w:p>
            <w:pPr>
              <w:spacing w:after="0"/>
              <w:rPr>
                <w:sz w:val="16"/>
                <w:szCs w:val="16"/>
                <w:color w:val="auto"/>
              </w:rPr>
            </w:pPr>
          </w:p>
        </w:tc>
        <w:tc>
          <w:tcPr>
            <w:tcW w:w="108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20" w:type="dxa"/>
            <w:vAlign w:val="bottom"/>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455"/>
              <w:spacing w:after="0"/>
              <w:rPr>
                <w:sz w:val="20"/>
                <w:szCs w:val="20"/>
                <w:color w:val="auto"/>
              </w:rPr>
            </w:pPr>
            <w:r>
              <w:rPr>
                <w:rFonts w:ascii="Arial" w:cs="Arial" w:eastAsia="Arial" w:hAnsi="Arial"/>
                <w:sz w:val="17"/>
                <w:szCs w:val="17"/>
                <w:b w:val="1"/>
                <w:bCs w:val="1"/>
                <w:color w:val="auto"/>
              </w:rPr>
              <w:t>Shares</w:t>
            </w:r>
          </w:p>
        </w:tc>
        <w:tc>
          <w:tcPr>
            <w:tcW w:w="186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Contractual Life</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rPr>
              <w:t>Price</w:t>
            </w:r>
          </w:p>
        </w:tc>
      </w:tr>
      <w:tr>
        <w:trPr>
          <w:trHeight w:val="18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00" w:type="dxa"/>
            <w:vAlign w:val="bottom"/>
          </w:tcPr>
          <w:p>
            <w:pPr>
              <w:jc w:val="right"/>
              <w:ind w:right="75"/>
              <w:spacing w:after="0" w:line="183" w:lineRule="exact"/>
              <w:rPr>
                <w:sz w:val="20"/>
                <w:szCs w:val="20"/>
                <w:color w:val="auto"/>
              </w:rPr>
            </w:pPr>
            <w:r>
              <w:rPr>
                <w:rFonts w:ascii="Arial" w:cs="Arial" w:eastAsia="Arial" w:hAnsi="Arial"/>
                <w:sz w:val="17"/>
                <w:szCs w:val="17"/>
                <w:color w:val="auto"/>
              </w:rPr>
              <w:t>(in thousands)</w:t>
            </w:r>
          </w:p>
        </w:tc>
        <w:tc>
          <w:tcPr>
            <w:tcW w:w="1860" w:type="dxa"/>
            <w:vAlign w:val="bottom"/>
          </w:tcPr>
          <w:p>
            <w:pPr>
              <w:jc w:val="center"/>
              <w:ind w:right="115"/>
              <w:spacing w:after="0" w:line="183" w:lineRule="exact"/>
              <w:rPr>
                <w:sz w:val="20"/>
                <w:szCs w:val="20"/>
                <w:color w:val="auto"/>
              </w:rPr>
            </w:pPr>
            <w:r>
              <w:rPr>
                <w:rFonts w:ascii="Arial" w:cs="Arial" w:eastAsia="Arial" w:hAnsi="Arial"/>
                <w:sz w:val="17"/>
                <w:szCs w:val="17"/>
                <w:color w:val="auto"/>
                <w:w w:val="98"/>
              </w:rPr>
              <w:t>(in years)</w:t>
            </w:r>
          </w:p>
        </w:tc>
        <w:tc>
          <w:tcPr>
            <w:tcW w:w="500" w:type="dxa"/>
            <w:vAlign w:val="bottom"/>
          </w:tcPr>
          <w:p>
            <w:pPr>
              <w:spacing w:after="0"/>
              <w:rPr>
                <w:sz w:val="15"/>
                <w:szCs w:val="15"/>
                <w:color w:val="auto"/>
              </w:rPr>
            </w:pPr>
          </w:p>
        </w:tc>
        <w:tc>
          <w:tcPr>
            <w:tcW w:w="1080" w:type="dxa"/>
            <w:vAlign w:val="bottom"/>
          </w:tcPr>
          <w:p>
            <w:pPr>
              <w:jc w:val="center"/>
              <w:ind w:right="55"/>
              <w:spacing w:after="0" w:line="183" w:lineRule="exact"/>
              <w:rPr>
                <w:sz w:val="20"/>
                <w:szCs w:val="20"/>
                <w:color w:val="auto"/>
              </w:rPr>
            </w:pPr>
            <w:r>
              <w:rPr>
                <w:rFonts w:ascii="Arial" w:cs="Arial" w:eastAsia="Arial" w:hAnsi="Arial"/>
                <w:sz w:val="17"/>
                <w:szCs w:val="17"/>
                <w:color w:val="auto"/>
                <w:w w:val="98"/>
              </w:rPr>
              <w:t>(per share)</w:t>
            </w:r>
          </w:p>
        </w:tc>
      </w:tr>
      <w:tr>
        <w:trPr>
          <w:trHeight w:val="189"/>
        </w:trPr>
        <w:tc>
          <w:tcPr>
            <w:tcW w:w="20" w:type="dxa"/>
            <w:vAlign w:val="bottom"/>
          </w:tcPr>
          <w:p>
            <w:pPr>
              <w:spacing w:after="0"/>
              <w:rPr>
                <w:sz w:val="16"/>
                <w:szCs w:val="16"/>
                <w:color w:val="auto"/>
              </w:rPr>
            </w:pPr>
          </w:p>
        </w:tc>
        <w:tc>
          <w:tcPr>
            <w:tcW w:w="3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outstanding at the beginning of the year</w:t>
            </w:r>
          </w:p>
        </w:tc>
        <w:tc>
          <w:tcPr>
            <w:tcW w:w="1600" w:type="dxa"/>
            <w:vAlign w:val="bottom"/>
            <w:shd w:val="clear" w:color="auto" w:fill="CCEEFF"/>
          </w:tcPr>
          <w:p>
            <w:pPr>
              <w:jc w:val="right"/>
              <w:ind w:right="555"/>
              <w:spacing w:after="0" w:line="189" w:lineRule="exact"/>
              <w:rPr>
                <w:sz w:val="20"/>
                <w:szCs w:val="20"/>
                <w:color w:val="auto"/>
              </w:rPr>
            </w:pPr>
            <w:r>
              <w:rPr>
                <w:rFonts w:ascii="Arial" w:cs="Arial" w:eastAsia="Arial" w:hAnsi="Arial"/>
                <w:sz w:val="17"/>
                <w:szCs w:val="17"/>
                <w:color w:val="auto"/>
              </w:rPr>
              <w:t>2,861</w:t>
            </w:r>
          </w:p>
        </w:tc>
        <w:tc>
          <w:tcPr>
            <w:tcW w:w="1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52.34</w:t>
            </w:r>
          </w:p>
        </w:tc>
      </w:tr>
      <w:tr>
        <w:trPr>
          <w:trHeight w:val="189"/>
        </w:trPr>
        <w:tc>
          <w:tcPr>
            <w:tcW w:w="20" w:type="dxa"/>
            <w:vAlign w:val="bottom"/>
          </w:tcPr>
          <w:p>
            <w:pPr>
              <w:spacing w:after="0"/>
              <w:rPr>
                <w:sz w:val="16"/>
                <w:szCs w:val="16"/>
                <w:color w:val="auto"/>
              </w:rPr>
            </w:pPr>
          </w:p>
        </w:tc>
        <w:tc>
          <w:tcPr>
            <w:tcW w:w="384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600" w:type="dxa"/>
            <w:vAlign w:val="bottom"/>
          </w:tcPr>
          <w:p>
            <w:pPr>
              <w:jc w:val="right"/>
              <w:ind w:right="555"/>
              <w:spacing w:after="0" w:line="189" w:lineRule="exact"/>
              <w:rPr>
                <w:sz w:val="20"/>
                <w:szCs w:val="20"/>
                <w:color w:val="auto"/>
              </w:rPr>
            </w:pPr>
            <w:r>
              <w:rPr>
                <w:rFonts w:ascii="Arial" w:cs="Arial" w:eastAsia="Arial" w:hAnsi="Arial"/>
                <w:sz w:val="17"/>
                <w:szCs w:val="17"/>
                <w:color w:val="auto"/>
              </w:rPr>
              <w:t>321</w:t>
            </w:r>
          </w:p>
        </w:tc>
        <w:tc>
          <w:tcPr>
            <w:tcW w:w="1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58.65</w:t>
            </w:r>
          </w:p>
        </w:tc>
      </w:tr>
      <w:tr>
        <w:trPr>
          <w:trHeight w:val="189"/>
        </w:trPr>
        <w:tc>
          <w:tcPr>
            <w:tcW w:w="20" w:type="dxa"/>
            <w:vAlign w:val="bottom"/>
          </w:tcPr>
          <w:p>
            <w:pPr>
              <w:spacing w:after="0"/>
              <w:rPr>
                <w:sz w:val="16"/>
                <w:szCs w:val="16"/>
                <w:color w:val="auto"/>
              </w:rPr>
            </w:pPr>
          </w:p>
        </w:tc>
        <w:tc>
          <w:tcPr>
            <w:tcW w:w="3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1600" w:type="dxa"/>
            <w:vAlign w:val="bottom"/>
            <w:shd w:val="clear" w:color="auto" w:fill="CCEEFF"/>
          </w:tcPr>
          <w:p>
            <w:pPr>
              <w:jc w:val="right"/>
              <w:ind w:right="495"/>
              <w:spacing w:after="0" w:line="189" w:lineRule="exact"/>
              <w:rPr>
                <w:sz w:val="20"/>
                <w:szCs w:val="20"/>
                <w:color w:val="auto"/>
              </w:rPr>
            </w:pPr>
            <w:r>
              <w:rPr>
                <w:rFonts w:ascii="Arial" w:cs="Arial" w:eastAsia="Arial" w:hAnsi="Arial"/>
                <w:sz w:val="17"/>
                <w:szCs w:val="17"/>
                <w:color w:val="auto"/>
              </w:rPr>
              <w:t>(171)</w:t>
            </w:r>
          </w:p>
        </w:tc>
        <w:tc>
          <w:tcPr>
            <w:tcW w:w="1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26.97</w:t>
            </w:r>
          </w:p>
        </w:tc>
      </w:tr>
      <w:tr>
        <w:trPr>
          <w:trHeight w:val="189"/>
        </w:trPr>
        <w:tc>
          <w:tcPr>
            <w:tcW w:w="20" w:type="dxa"/>
            <w:vAlign w:val="bottom"/>
          </w:tcPr>
          <w:p>
            <w:pPr>
              <w:spacing w:after="0"/>
              <w:rPr>
                <w:sz w:val="16"/>
                <w:szCs w:val="16"/>
                <w:color w:val="auto"/>
              </w:rPr>
            </w:pPr>
          </w:p>
        </w:tc>
        <w:tc>
          <w:tcPr>
            <w:tcW w:w="38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Expired or cancelled</w:t>
            </w:r>
          </w:p>
        </w:tc>
        <w:tc>
          <w:tcPr>
            <w:tcW w:w="1600" w:type="dxa"/>
            <w:vAlign w:val="bottom"/>
            <w:tcBorders>
              <w:bottom w:val="single" w:sz="8" w:color="auto"/>
            </w:tcBorders>
          </w:tcPr>
          <w:p>
            <w:pPr>
              <w:jc w:val="right"/>
              <w:ind w:right="495"/>
              <w:spacing w:after="0" w:line="189" w:lineRule="exact"/>
              <w:rPr>
                <w:sz w:val="20"/>
                <w:szCs w:val="20"/>
                <w:color w:val="auto"/>
              </w:rPr>
            </w:pPr>
            <w:r>
              <w:rPr>
                <w:rFonts w:ascii="Arial" w:cs="Arial" w:eastAsia="Arial" w:hAnsi="Arial"/>
                <w:sz w:val="17"/>
                <w:szCs w:val="17"/>
                <w:color w:val="auto"/>
              </w:rPr>
              <w:t>(130)</w:t>
            </w:r>
          </w:p>
        </w:tc>
        <w:tc>
          <w:tcPr>
            <w:tcW w:w="1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59.79</w:t>
            </w:r>
          </w:p>
        </w:tc>
      </w:tr>
      <w:tr>
        <w:trPr>
          <w:trHeight w:val="183"/>
        </w:trPr>
        <w:tc>
          <w:tcPr>
            <w:tcW w:w="20" w:type="dxa"/>
            <w:vAlign w:val="bottom"/>
          </w:tcPr>
          <w:p>
            <w:pPr>
              <w:spacing w:after="0"/>
              <w:rPr>
                <w:sz w:val="15"/>
                <w:szCs w:val="15"/>
                <w:color w:val="auto"/>
              </w:rPr>
            </w:pPr>
          </w:p>
        </w:tc>
        <w:tc>
          <w:tcPr>
            <w:tcW w:w="38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Options outstanding at February 1, 2020</w:t>
            </w:r>
          </w:p>
        </w:tc>
        <w:tc>
          <w:tcPr>
            <w:tcW w:w="1600" w:type="dxa"/>
            <w:vAlign w:val="bottom"/>
            <w:tcBorders>
              <w:bottom w:val="single" w:sz="8" w:color="auto"/>
            </w:tcBorders>
            <w:shd w:val="clear" w:color="auto" w:fill="CCEEFF"/>
          </w:tcPr>
          <w:p>
            <w:pPr>
              <w:jc w:val="right"/>
              <w:ind w:right="555"/>
              <w:spacing w:after="0" w:line="183" w:lineRule="exact"/>
              <w:rPr>
                <w:sz w:val="20"/>
                <w:szCs w:val="20"/>
                <w:color w:val="auto"/>
              </w:rPr>
            </w:pPr>
            <w:r>
              <w:rPr>
                <w:rFonts w:ascii="Arial" w:cs="Arial" w:eastAsia="Arial" w:hAnsi="Arial"/>
                <w:sz w:val="17"/>
                <w:szCs w:val="17"/>
                <w:color w:val="auto"/>
              </w:rPr>
              <w:t>2,881</w:t>
            </w:r>
          </w:p>
        </w:tc>
        <w:tc>
          <w:tcPr>
            <w:tcW w:w="1860" w:type="dxa"/>
            <w:vAlign w:val="bottom"/>
            <w:tcBorders>
              <w:bottom w:val="single" w:sz="8" w:color="auto"/>
            </w:tcBorders>
            <w:shd w:val="clear" w:color="auto" w:fill="CCEEFF"/>
          </w:tcPr>
          <w:p>
            <w:pPr>
              <w:jc w:val="right"/>
              <w:ind w:right="335"/>
              <w:spacing w:after="0" w:line="183" w:lineRule="exact"/>
              <w:rPr>
                <w:sz w:val="20"/>
                <w:szCs w:val="20"/>
                <w:color w:val="auto"/>
              </w:rPr>
            </w:pPr>
            <w:r>
              <w:rPr>
                <w:rFonts w:ascii="Arial" w:cs="Arial" w:eastAsia="Arial" w:hAnsi="Arial"/>
                <w:sz w:val="17"/>
                <w:szCs w:val="17"/>
                <w:color w:val="auto"/>
              </w:rPr>
              <w:t>5.7</w:t>
            </w:r>
          </w:p>
        </w:tc>
        <w:tc>
          <w:tcPr>
            <w:tcW w:w="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54.21</w:t>
            </w:r>
          </w:p>
        </w:tc>
      </w:tr>
      <w:tr>
        <w:trPr>
          <w:trHeight w:val="20"/>
        </w:trPr>
        <w:tc>
          <w:tcPr>
            <w:tcW w:w="38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84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color w:val="auto"/>
              </w:rPr>
              <w:t>Options exercisable at February 1, 2020</w:t>
            </w:r>
          </w:p>
        </w:tc>
        <w:tc>
          <w:tcPr>
            <w:tcW w:w="1600" w:type="dxa"/>
            <w:vAlign w:val="bottom"/>
            <w:tcBorders>
              <w:top w:val="single" w:sz="8" w:color="auto"/>
            </w:tcBorders>
          </w:tcPr>
          <w:p>
            <w:pPr>
              <w:jc w:val="right"/>
              <w:ind w:right="555"/>
              <w:spacing w:after="0" w:line="185" w:lineRule="exact"/>
              <w:rPr>
                <w:sz w:val="20"/>
                <w:szCs w:val="20"/>
                <w:color w:val="auto"/>
              </w:rPr>
            </w:pPr>
            <w:r>
              <w:rPr>
                <w:rFonts w:ascii="Arial" w:cs="Arial" w:eastAsia="Arial" w:hAnsi="Arial"/>
                <w:sz w:val="17"/>
                <w:szCs w:val="17"/>
                <w:color w:val="auto"/>
              </w:rPr>
              <w:t>2,162</w:t>
            </w:r>
          </w:p>
        </w:tc>
        <w:tc>
          <w:tcPr>
            <w:tcW w:w="1860" w:type="dxa"/>
            <w:vAlign w:val="bottom"/>
            <w:tcBorders>
              <w:top w:val="single" w:sz="8" w:color="auto"/>
            </w:tcBorders>
          </w:tcPr>
          <w:p>
            <w:pPr>
              <w:jc w:val="right"/>
              <w:ind w:right="335"/>
              <w:spacing w:after="0" w:line="185" w:lineRule="exact"/>
              <w:rPr>
                <w:sz w:val="20"/>
                <w:szCs w:val="20"/>
                <w:color w:val="auto"/>
              </w:rPr>
            </w:pPr>
            <w:r>
              <w:rPr>
                <w:rFonts w:ascii="Arial" w:cs="Arial" w:eastAsia="Arial" w:hAnsi="Arial"/>
                <w:sz w:val="17"/>
                <w:szCs w:val="17"/>
                <w:color w:val="auto"/>
              </w:rPr>
              <w:t>4.8</w:t>
            </w:r>
          </w:p>
        </w:tc>
        <w:tc>
          <w:tcPr>
            <w:tcW w:w="50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color w:val="auto"/>
              </w:rPr>
              <w:t>53.70</w:t>
            </w:r>
          </w:p>
        </w:tc>
      </w:tr>
    </w:tbl>
    <w:p>
      <w:pPr>
        <w:spacing w:after="0" w:line="16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total fair value of options vested during 2019 and 2018 was $6 million and $8 million, respectively. During the year ended February 1, 2020, we received $5 million in cash from option exercises and recognized a related tax benefit of $1 million.</w:t>
      </w:r>
    </w:p>
    <w:p>
      <w:pPr>
        <w:spacing w:after="0" w:line="201"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The total intrinsic value of options exercised (the difference between the market price of the Company’s common stock on the exercise date and the price paid by the optionee to exercise the option) is presented below:</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5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2018</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2017</w:t>
            </w:r>
          </w:p>
        </w:tc>
      </w:tr>
      <w:tr>
        <w:trPr>
          <w:trHeight w:val="183"/>
        </w:trPr>
        <w:tc>
          <w:tcPr>
            <w:tcW w:w="25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ind w:right="115"/>
              <w:spacing w:after="0" w:line="183" w:lineRule="exact"/>
              <w:rPr>
                <w:sz w:val="20"/>
                <w:szCs w:val="20"/>
                <w:color w:val="auto"/>
              </w:rPr>
            </w:pPr>
            <w:r>
              <w:rPr>
                <w:rFonts w:ascii="Arial" w:cs="Arial" w:eastAsia="Arial" w:hAnsi="Arial"/>
                <w:sz w:val="17"/>
                <w:szCs w:val="17"/>
                <w:color w:val="auto"/>
                <w:w w:val="99"/>
              </w:rPr>
              <w:t>($ in millions)</w:t>
            </w: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25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210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5</w:t>
            </w:r>
          </w:p>
        </w:tc>
        <w:tc>
          <w:tcPr>
            <w:tcW w:w="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w:t>
            </w:r>
          </w:p>
        </w:tc>
        <w:tc>
          <w:tcPr>
            <w:tcW w:w="44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22</w:t>
            </w:r>
          </w:p>
        </w:tc>
      </w:tr>
    </w:tbl>
    <w:p>
      <w:pPr>
        <w:spacing w:after="0" w:line="18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aggregate intrinsic value for stock options outstanding, and those outstanding and exercisable (the difference between the Company’s closing stock price on the last trading day of the period and the exercise price of the options, multiplied by the number of in-the-money stock options) is presented below:</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8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r>
      <w:tr>
        <w:trPr>
          <w:trHeight w:val="183"/>
        </w:trPr>
        <w:tc>
          <w:tcPr>
            <w:tcW w:w="4820" w:type="dxa"/>
            <w:vAlign w:val="bottom"/>
          </w:tcPr>
          <w:p>
            <w:pPr>
              <w:spacing w:after="0"/>
              <w:rPr>
                <w:sz w:val="15"/>
                <w:szCs w:val="15"/>
                <w:color w:val="auto"/>
              </w:rPr>
            </w:pPr>
          </w:p>
        </w:tc>
        <w:tc>
          <w:tcPr>
            <w:tcW w:w="30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115"/>
              <w:spacing w:after="0" w:line="183" w:lineRule="exact"/>
              <w:rPr>
                <w:sz w:val="20"/>
                <w:szCs w:val="20"/>
                <w:color w:val="auto"/>
              </w:rPr>
            </w:pPr>
            <w:r>
              <w:rPr>
                <w:rFonts w:ascii="Arial" w:cs="Arial" w:eastAsia="Arial" w:hAnsi="Arial"/>
                <w:sz w:val="17"/>
                <w:szCs w:val="17"/>
                <w:color w:val="auto"/>
              </w:rPr>
              <w:t>in millions)</w:t>
            </w:r>
          </w:p>
        </w:tc>
      </w:tr>
      <w:tr>
        <w:trPr>
          <w:trHeight w:val="189"/>
        </w:trPr>
        <w:tc>
          <w:tcPr>
            <w:tcW w:w="4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Outstanding</w:t>
            </w:r>
          </w:p>
        </w:tc>
        <w:tc>
          <w:tcPr>
            <w:tcW w:w="304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r>
      <w:tr>
        <w:trPr>
          <w:trHeight w:val="189"/>
        </w:trPr>
        <w:tc>
          <w:tcPr>
            <w:tcW w:w="48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Outstanding and exercisable</w:t>
            </w:r>
          </w:p>
        </w:tc>
        <w:tc>
          <w:tcPr>
            <w:tcW w:w="3040" w:type="dxa"/>
            <w:vAlign w:val="bottom"/>
            <w:tcBorders>
              <w:bottom w:val="single" w:sz="8" w:color="auto"/>
            </w:tcBorders>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w:t>
            </w:r>
          </w:p>
        </w:tc>
      </w:tr>
    </w:tbl>
    <w:p>
      <w:pPr>
        <w:spacing w:after="0" w:line="183"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As of February 1, 2020, there was $3 million of total unrecognized compensation cost related to nonvested stock options, which is expected to be recognized over a remaining weighted-average period of 1.4 years.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information about stock options outstanding and exercisable at February 1, 2020:</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44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3"/>
          </w:tcPr>
          <w:p>
            <w:pPr>
              <w:jc w:val="center"/>
              <w:ind w:left="1755"/>
              <w:spacing w:after="0"/>
              <w:rPr>
                <w:sz w:val="20"/>
                <w:szCs w:val="20"/>
                <w:color w:val="auto"/>
              </w:rPr>
            </w:pPr>
            <w:r>
              <w:rPr>
                <w:rFonts w:ascii="Arial" w:cs="Arial" w:eastAsia="Arial" w:hAnsi="Arial"/>
                <w:sz w:val="17"/>
                <w:szCs w:val="17"/>
                <w:b w:val="1"/>
                <w:bCs w:val="1"/>
                <w:color w:val="auto"/>
              </w:rPr>
              <w:t>Options Outstanding</w:t>
            </w:r>
          </w:p>
        </w:tc>
        <w:tc>
          <w:tcPr>
            <w:tcW w:w="7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7"/>
                <w:szCs w:val="17"/>
                <w:b w:val="1"/>
                <w:bCs w:val="1"/>
                <w:color w:val="auto"/>
              </w:rPr>
              <w:t>Options Exercisable</w:t>
            </w:r>
          </w:p>
        </w:tc>
      </w:tr>
      <w:tr>
        <w:trPr>
          <w:trHeight w:val="156"/>
        </w:trPr>
        <w:tc>
          <w:tcPr>
            <w:tcW w:w="24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jc w:val="center"/>
              <w:spacing w:after="0" w:line="156" w:lineRule="exact"/>
              <w:rPr>
                <w:sz w:val="20"/>
                <w:szCs w:val="20"/>
                <w:color w:val="auto"/>
              </w:rPr>
            </w:pPr>
            <w:r>
              <w:rPr>
                <w:rFonts w:ascii="Arial" w:cs="Arial" w:eastAsia="Arial" w:hAnsi="Arial"/>
                <w:sz w:val="17"/>
                <w:szCs w:val="17"/>
                <w:b w:val="1"/>
                <w:bCs w:val="1"/>
                <w:color w:val="auto"/>
                <w:w w:val="99"/>
              </w:rPr>
              <w:t>Weighted-</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9"/>
        </w:trPr>
        <w:tc>
          <w:tcPr>
            <w:tcW w:w="2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106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9"/>
              </w:rPr>
              <w:t>Weighted-</w:t>
            </w:r>
          </w:p>
        </w:tc>
        <w:tc>
          <w:tcPr>
            <w:tcW w:w="1160" w:type="dxa"/>
            <w:vAlign w:val="bottom"/>
          </w:tcPr>
          <w:p>
            <w:pPr>
              <w:spacing w:after="0"/>
              <w:rPr>
                <w:sz w:val="16"/>
                <w:szCs w:val="16"/>
                <w:color w:val="auto"/>
              </w:rPr>
            </w:pPr>
          </w:p>
        </w:tc>
        <w:tc>
          <w:tcPr>
            <w:tcW w:w="1000" w:type="dxa"/>
            <w:vAlign w:val="bottom"/>
            <w:gridSpan w:val="2"/>
          </w:tcPr>
          <w:p>
            <w:pPr>
              <w:jc w:val="center"/>
              <w:ind w:left="15"/>
              <w:spacing w:after="0" w:line="189" w:lineRule="exact"/>
              <w:rPr>
                <w:sz w:val="20"/>
                <w:szCs w:val="20"/>
                <w:color w:val="auto"/>
              </w:rPr>
            </w:pPr>
            <w:r>
              <w:rPr>
                <w:rFonts w:ascii="Arial" w:cs="Arial" w:eastAsia="Arial" w:hAnsi="Arial"/>
                <w:sz w:val="17"/>
                <w:szCs w:val="17"/>
                <w:b w:val="1"/>
                <w:bCs w:val="1"/>
                <w:color w:val="auto"/>
                <w:w w:val="99"/>
              </w:rPr>
              <w:t>Weighted-</w:t>
            </w:r>
          </w:p>
        </w:tc>
      </w:tr>
      <w:tr>
        <w:trPr>
          <w:trHeight w:val="189"/>
        </w:trPr>
        <w:tc>
          <w:tcPr>
            <w:tcW w:w="2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Remaining</w:t>
            </w:r>
          </w:p>
        </w:tc>
        <w:tc>
          <w:tcPr>
            <w:tcW w:w="106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w w:val="98"/>
              </w:rPr>
              <w:t>Average</w:t>
            </w:r>
          </w:p>
        </w:tc>
      </w:tr>
      <w:tr>
        <w:trPr>
          <w:trHeight w:val="189"/>
        </w:trPr>
        <w:tc>
          <w:tcPr>
            <w:tcW w:w="2440" w:type="dxa"/>
            <w:vAlign w:val="bottom"/>
          </w:tcPr>
          <w:p>
            <w:pPr>
              <w:spacing w:after="0" w:line="189" w:lineRule="exact"/>
              <w:rPr>
                <w:sz w:val="20"/>
                <w:szCs w:val="20"/>
                <w:color w:val="auto"/>
              </w:rPr>
            </w:pPr>
            <w:r>
              <w:rPr>
                <w:rFonts w:ascii="Arial" w:cs="Arial" w:eastAsia="Arial" w:hAnsi="Arial"/>
                <w:sz w:val="17"/>
                <w:szCs w:val="17"/>
                <w:b w:val="1"/>
                <w:bCs w:val="1"/>
                <w:color w:val="auto"/>
              </w:rPr>
              <w:t>Range of Exercise</w:t>
            </w:r>
          </w:p>
        </w:tc>
        <w:tc>
          <w:tcPr>
            <w:tcW w:w="208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Number</w:t>
            </w:r>
          </w:p>
        </w:tc>
        <w:tc>
          <w:tcPr>
            <w:tcW w:w="11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Contractual</w:t>
            </w:r>
          </w:p>
        </w:tc>
        <w:tc>
          <w:tcPr>
            <w:tcW w:w="106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Exercise</w:t>
            </w:r>
          </w:p>
        </w:tc>
        <w:tc>
          <w:tcPr>
            <w:tcW w:w="116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Number</w:t>
            </w:r>
          </w:p>
        </w:tc>
        <w:tc>
          <w:tcPr>
            <w:tcW w:w="200" w:type="dxa"/>
            <w:vAlign w:val="bottom"/>
          </w:tcPr>
          <w:p>
            <w:pPr>
              <w:spacing w:after="0"/>
              <w:rPr>
                <w:sz w:val="16"/>
                <w:szCs w:val="16"/>
                <w:color w:val="auto"/>
              </w:rPr>
            </w:pPr>
          </w:p>
        </w:tc>
        <w:tc>
          <w:tcPr>
            <w:tcW w:w="80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2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Prices</w:t>
            </w:r>
          </w:p>
        </w:tc>
        <w:tc>
          <w:tcPr>
            <w:tcW w:w="2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Outstanding</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Life</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b w:val="1"/>
                <w:bCs w:val="1"/>
                <w:color w:val="auto"/>
              </w:rPr>
              <w:t>Price</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Exercisable</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rPr>
              <w:t>Price</w:t>
            </w:r>
          </w:p>
        </w:tc>
      </w:tr>
      <w:tr>
        <w:trPr>
          <w:trHeight w:val="183"/>
        </w:trPr>
        <w:tc>
          <w:tcPr>
            <w:tcW w:w="2440" w:type="dxa"/>
            <w:vAlign w:val="bottom"/>
          </w:tcPr>
          <w:p>
            <w:pPr>
              <w:spacing w:after="0"/>
              <w:rPr>
                <w:sz w:val="15"/>
                <w:szCs w:val="15"/>
                <w:color w:val="auto"/>
              </w:rPr>
            </w:pPr>
          </w:p>
        </w:tc>
        <w:tc>
          <w:tcPr>
            <w:tcW w:w="6460" w:type="dxa"/>
            <w:vAlign w:val="bottom"/>
            <w:gridSpan w:val="7"/>
          </w:tcPr>
          <w:p>
            <w:pPr>
              <w:jc w:val="right"/>
              <w:ind w:right="455"/>
              <w:spacing w:after="0" w:line="183" w:lineRule="exact"/>
              <w:rPr>
                <w:sz w:val="20"/>
                <w:szCs w:val="20"/>
                <w:color w:val="auto"/>
              </w:rPr>
            </w:pPr>
            <w:r>
              <w:rPr>
                <w:rFonts w:ascii="Arial" w:cs="Arial" w:eastAsia="Arial" w:hAnsi="Arial"/>
                <w:sz w:val="17"/>
                <w:szCs w:val="17"/>
                <w:color w:val="auto"/>
              </w:rPr>
              <w:t>(in thousands, except prices per share and contractual life)</w:t>
            </w:r>
          </w:p>
        </w:tc>
      </w:tr>
      <w:tr>
        <w:trPr>
          <w:trHeight w:val="189"/>
        </w:trPr>
        <w:tc>
          <w:tcPr>
            <w:tcW w:w="2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$9.85 to $18.84</w:t>
            </w:r>
          </w:p>
        </w:tc>
        <w:tc>
          <w:tcPr>
            <w:tcW w:w="2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126</w:t>
            </w:r>
          </w:p>
        </w:tc>
        <w:tc>
          <w:tcPr>
            <w:tcW w:w="11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1.1</w:t>
            </w:r>
          </w:p>
        </w:tc>
        <w:tc>
          <w:tcPr>
            <w:tcW w:w="3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18.60</w:t>
            </w: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126</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18.60</w:t>
            </w:r>
          </w:p>
        </w:tc>
      </w:tr>
      <w:tr>
        <w:trPr>
          <w:trHeight w:val="189"/>
        </w:trPr>
        <w:tc>
          <w:tcPr>
            <w:tcW w:w="2440" w:type="dxa"/>
            <w:vAlign w:val="bottom"/>
          </w:tcPr>
          <w:p>
            <w:pPr>
              <w:spacing w:after="0" w:line="189" w:lineRule="exact"/>
              <w:rPr>
                <w:sz w:val="20"/>
                <w:szCs w:val="20"/>
                <w:color w:val="auto"/>
              </w:rPr>
            </w:pPr>
            <w:r>
              <w:rPr>
                <w:rFonts w:ascii="Arial" w:cs="Arial" w:eastAsia="Arial" w:hAnsi="Arial"/>
                <w:sz w:val="17"/>
                <w:szCs w:val="17"/>
                <w:color w:val="auto"/>
              </w:rPr>
              <w:t>$24.75 to $36.51</w:t>
            </w:r>
          </w:p>
        </w:tc>
        <w:tc>
          <w:tcPr>
            <w:tcW w:w="20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377</w:t>
            </w: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3.1</w:t>
            </w:r>
          </w:p>
        </w:tc>
        <w:tc>
          <w:tcPr>
            <w:tcW w:w="300" w:type="dxa"/>
            <w:vAlign w:val="bottom"/>
          </w:tcPr>
          <w:p>
            <w:pPr>
              <w:spacing w:after="0"/>
              <w:rPr>
                <w:sz w:val="16"/>
                <w:szCs w:val="16"/>
                <w:color w:val="auto"/>
              </w:rPr>
            </w:pPr>
          </w:p>
        </w:tc>
        <w:tc>
          <w:tcPr>
            <w:tcW w:w="7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32.13</w:t>
            </w: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334</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31.77</w:t>
            </w:r>
          </w:p>
        </w:tc>
      </w:tr>
      <w:tr>
        <w:trPr>
          <w:trHeight w:val="189"/>
        </w:trPr>
        <w:tc>
          <w:tcPr>
            <w:tcW w:w="2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$44.78 to $45.75</w:t>
            </w:r>
          </w:p>
        </w:tc>
        <w:tc>
          <w:tcPr>
            <w:tcW w:w="2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567</w:t>
            </w:r>
          </w:p>
        </w:tc>
        <w:tc>
          <w:tcPr>
            <w:tcW w:w="11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6.3</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44.91</w:t>
            </w: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348</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44.99</w:t>
            </w:r>
          </w:p>
        </w:tc>
      </w:tr>
      <w:tr>
        <w:trPr>
          <w:trHeight w:val="189"/>
        </w:trPr>
        <w:tc>
          <w:tcPr>
            <w:tcW w:w="2440" w:type="dxa"/>
            <w:vAlign w:val="bottom"/>
          </w:tcPr>
          <w:p>
            <w:pPr>
              <w:spacing w:after="0" w:line="189" w:lineRule="exact"/>
              <w:rPr>
                <w:sz w:val="20"/>
                <w:szCs w:val="20"/>
                <w:color w:val="auto"/>
              </w:rPr>
            </w:pPr>
            <w:r>
              <w:rPr>
                <w:rFonts w:ascii="Arial" w:cs="Arial" w:eastAsia="Arial" w:hAnsi="Arial"/>
                <w:sz w:val="17"/>
                <w:szCs w:val="17"/>
                <w:color w:val="auto"/>
              </w:rPr>
              <w:t>$46.64 to $62.11</w:t>
            </w:r>
          </w:p>
        </w:tc>
        <w:tc>
          <w:tcPr>
            <w:tcW w:w="20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927</w:t>
            </w: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6.3</w:t>
            </w:r>
          </w:p>
        </w:tc>
        <w:tc>
          <w:tcPr>
            <w:tcW w:w="300" w:type="dxa"/>
            <w:vAlign w:val="bottom"/>
          </w:tcPr>
          <w:p>
            <w:pPr>
              <w:spacing w:after="0"/>
              <w:rPr>
                <w:sz w:val="16"/>
                <w:szCs w:val="16"/>
                <w:color w:val="auto"/>
              </w:rPr>
            </w:pPr>
          </w:p>
        </w:tc>
        <w:tc>
          <w:tcPr>
            <w:tcW w:w="7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59.99</w:t>
            </w: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615</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60.82</w:t>
            </w:r>
          </w:p>
        </w:tc>
      </w:tr>
      <w:tr>
        <w:trPr>
          <w:trHeight w:val="189"/>
        </w:trPr>
        <w:tc>
          <w:tcPr>
            <w:tcW w:w="24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$63.33 to $73.21</w:t>
            </w:r>
          </w:p>
        </w:tc>
        <w:tc>
          <w:tcPr>
            <w:tcW w:w="20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884</w:t>
            </w:r>
          </w:p>
        </w:tc>
        <w:tc>
          <w:tcPr>
            <w:tcW w:w="11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6.4</w:t>
            </w: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68.57</w:t>
            </w:r>
          </w:p>
        </w:tc>
        <w:tc>
          <w:tcPr>
            <w:tcW w:w="11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739</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67.75</w:t>
            </w:r>
          </w:p>
        </w:tc>
      </w:tr>
      <w:tr>
        <w:trPr>
          <w:trHeight w:val="183"/>
        </w:trPr>
        <w:tc>
          <w:tcPr>
            <w:tcW w:w="24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2,881</w:t>
            </w:r>
          </w:p>
        </w:tc>
        <w:tc>
          <w:tcPr>
            <w:tcW w:w="11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5.7</w:t>
            </w:r>
          </w:p>
        </w:tc>
        <w:tc>
          <w:tcPr>
            <w:tcW w:w="3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54.21</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2,162</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53.70</w:t>
            </w: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Restricted Stock Units</w:t>
      </w:r>
    </w:p>
    <w:p>
      <w:pPr>
        <w:spacing w:after="0" w:line="22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Restricted stock units (“RSU”) of the Company’s common stock may be awarded to certain officers and key employees of the Company. Additionally, RSU awards are made to employees in connection with the Company’s long-term incentive program, and to nonemployee directors. Each RSU award represents the right to receive one share of the Company’s common stock provided that the performance and vesting conditions are satisfied.</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Generally, awards fully vest after the passage of time, typically three years. However, RSU awards made in connection with the Company’s performance-based long-term incentive program are earned after the attainment of certain performance metrics and, with regards to certain awards, vest after an additional one-year period.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 dividends are paid or accumulated on any RSU awards.</w:t>
      </w:r>
    </w:p>
    <w:p>
      <w:pPr>
        <w:spacing w:after="0" w:line="183"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Compensation expense is recognized using the market value at the date of grant and is amortized over the vesting period, provided the recipient continues to be employed by the Company.</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3560" w:type="dxa"/>
            <w:vAlign w:val="bottom"/>
            <w:gridSpan w:val="2"/>
          </w:tcPr>
          <w:p>
            <w:pPr>
              <w:spacing w:after="0"/>
              <w:rPr>
                <w:sz w:val="20"/>
                <w:szCs w:val="20"/>
                <w:color w:val="auto"/>
              </w:rPr>
            </w:pPr>
            <w:r>
              <w:rPr>
                <w:rFonts w:ascii="Arial" w:cs="Arial" w:eastAsia="Arial" w:hAnsi="Arial"/>
                <w:sz w:val="17"/>
                <w:szCs w:val="17"/>
                <w:color w:val="auto"/>
              </w:rPr>
              <w:t>RSU activity is summarized as follows:</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40" w:type="dxa"/>
            <w:vAlign w:val="bottom"/>
          </w:tcPr>
          <w:p>
            <w:pPr>
              <w:jc w:val="center"/>
              <w:ind w:left="15"/>
              <w:spacing w:after="0"/>
              <w:rPr>
                <w:sz w:val="20"/>
                <w:szCs w:val="20"/>
                <w:color w:val="auto"/>
              </w:rPr>
            </w:pPr>
            <w:r>
              <w:rPr>
                <w:rFonts w:ascii="Arial" w:cs="Arial" w:eastAsia="Arial" w:hAnsi="Arial"/>
                <w:sz w:val="17"/>
                <w:szCs w:val="17"/>
                <w:b w:val="1"/>
                <w:bCs w:val="1"/>
                <w:color w:val="auto"/>
              </w:rPr>
              <w:t>Weighted-Average</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164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8"/>
              </w:rPr>
              <w:t>Remaining</w:t>
            </w:r>
          </w:p>
        </w:tc>
        <w:tc>
          <w:tcPr>
            <w:tcW w:w="156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9"/>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164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9"/>
              </w:rPr>
              <w:t>Contractual</w:t>
            </w:r>
          </w:p>
        </w:tc>
        <w:tc>
          <w:tcPr>
            <w:tcW w:w="220" w:type="dxa"/>
            <w:vAlign w:val="bottom"/>
          </w:tcPr>
          <w:p>
            <w:pPr>
              <w:spacing w:after="0"/>
              <w:rPr>
                <w:sz w:val="16"/>
                <w:szCs w:val="16"/>
                <w:color w:val="auto"/>
              </w:rPr>
            </w:pPr>
          </w:p>
        </w:tc>
        <w:tc>
          <w:tcPr>
            <w:tcW w:w="134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640" w:type="dxa"/>
            <w:vAlign w:val="bottom"/>
            <w:tcBorders>
              <w:bottom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99"/>
              </w:rPr>
              <w:t>Life</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8"/>
              </w:rPr>
              <w:t>Fair 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jc w:val="center"/>
              <w:spacing w:after="0" w:line="183" w:lineRule="exact"/>
              <w:rPr>
                <w:sz w:val="20"/>
                <w:szCs w:val="20"/>
                <w:color w:val="auto"/>
              </w:rPr>
            </w:pPr>
            <w:r>
              <w:rPr>
                <w:rFonts w:ascii="Arial" w:cs="Arial" w:eastAsia="Arial" w:hAnsi="Arial"/>
                <w:sz w:val="17"/>
                <w:szCs w:val="17"/>
                <w:color w:val="auto"/>
              </w:rPr>
              <w:t>(in thousands)</w:t>
            </w:r>
          </w:p>
        </w:tc>
        <w:tc>
          <w:tcPr>
            <w:tcW w:w="1640" w:type="dxa"/>
            <w:vAlign w:val="bottom"/>
          </w:tcPr>
          <w:p>
            <w:pPr>
              <w:jc w:val="center"/>
              <w:ind w:left="15"/>
              <w:spacing w:after="0" w:line="183" w:lineRule="exact"/>
              <w:rPr>
                <w:sz w:val="20"/>
                <w:szCs w:val="20"/>
                <w:color w:val="auto"/>
              </w:rPr>
            </w:pPr>
            <w:r>
              <w:rPr>
                <w:rFonts w:ascii="Arial" w:cs="Arial" w:eastAsia="Arial" w:hAnsi="Arial"/>
                <w:sz w:val="17"/>
                <w:szCs w:val="17"/>
                <w:color w:val="auto"/>
                <w:w w:val="98"/>
              </w:rPr>
              <w:t>(in years)</w:t>
            </w:r>
          </w:p>
        </w:tc>
        <w:tc>
          <w:tcPr>
            <w:tcW w:w="220" w:type="dxa"/>
            <w:vAlign w:val="bottom"/>
          </w:tcPr>
          <w:p>
            <w:pPr>
              <w:spacing w:after="0"/>
              <w:rPr>
                <w:sz w:val="15"/>
                <w:szCs w:val="15"/>
                <w:color w:val="auto"/>
              </w:rPr>
            </w:pPr>
          </w:p>
        </w:tc>
        <w:tc>
          <w:tcPr>
            <w:tcW w:w="1340" w:type="dxa"/>
            <w:vAlign w:val="bottom"/>
          </w:tcPr>
          <w:p>
            <w:pPr>
              <w:jc w:val="right"/>
              <w:ind w:right="155"/>
              <w:spacing w:after="0" w:line="183" w:lineRule="exact"/>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Nonvested at beginning of year</w:t>
            </w:r>
          </w:p>
        </w:tc>
        <w:tc>
          <w:tcPr>
            <w:tcW w:w="8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1,022</w:t>
            </w:r>
          </w:p>
        </w:tc>
        <w:tc>
          <w:tcPr>
            <w:tcW w:w="16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5"/>
                <w:szCs w:val="15"/>
                <w:color w:val="auto"/>
              </w:rPr>
              <w:t xml:space="preserve">Granted </w:t>
            </w:r>
            <w:r>
              <w:rPr>
                <w:rFonts w:ascii="Arial" w:cs="Arial" w:eastAsia="Arial" w:hAnsi="Arial"/>
                <w:sz w:val="21"/>
                <w:szCs w:val="21"/>
                <w:color w:val="auto"/>
                <w:vertAlign w:val="superscript"/>
              </w:rPr>
              <w:t>(1)</w:t>
            </w:r>
          </w:p>
        </w:tc>
        <w:tc>
          <w:tcPr>
            <w:tcW w:w="820" w:type="dxa"/>
            <w:vAlign w:val="bottom"/>
          </w:tcPr>
          <w:p>
            <w:pPr>
              <w:spacing w:after="0"/>
              <w:rPr>
                <w:sz w:val="16"/>
                <w:szCs w:val="16"/>
                <w:color w:val="auto"/>
              </w:rPr>
            </w:pP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306</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58.48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8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(89)</w:t>
            </w:r>
          </w:p>
        </w:tc>
        <w:tc>
          <w:tcPr>
            <w:tcW w:w="1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60.54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5"/>
                <w:szCs w:val="15"/>
                <w:color w:val="auto"/>
              </w:rPr>
              <w:t xml:space="preserve">Performance adjustment </w:t>
            </w:r>
            <w:r>
              <w:rPr>
                <w:rFonts w:ascii="Arial" w:cs="Arial" w:eastAsia="Arial" w:hAnsi="Arial"/>
                <w:sz w:val="21"/>
                <w:szCs w:val="21"/>
                <w:color w:val="auto"/>
                <w:vertAlign w:val="superscript"/>
              </w:rPr>
              <w:t>(2)</w:t>
            </w:r>
          </w:p>
        </w:tc>
        <w:tc>
          <w:tcPr>
            <w:tcW w:w="820" w:type="dxa"/>
            <w:vAlign w:val="bottom"/>
          </w:tcPr>
          <w:p>
            <w:pPr>
              <w:spacing w:after="0"/>
              <w:rPr>
                <w:sz w:val="16"/>
                <w:szCs w:val="16"/>
                <w:color w:val="auto"/>
              </w:rPr>
            </w:pPr>
          </w:p>
        </w:tc>
        <w:tc>
          <w:tcPr>
            <w:tcW w:w="13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(259)</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Forfeited</w:t>
            </w:r>
          </w:p>
        </w:tc>
        <w:tc>
          <w:tcPr>
            <w:tcW w:w="8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(44)</w:t>
            </w:r>
          </w:p>
        </w:tc>
        <w:tc>
          <w:tcPr>
            <w:tcW w:w="16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Nonvested at February 1, 2020</w:t>
            </w: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936</w:t>
            </w:r>
          </w:p>
        </w:tc>
        <w:tc>
          <w:tcPr>
            <w:tcW w:w="164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1.3</w:t>
            </w:r>
          </w:p>
        </w:tc>
        <w:tc>
          <w:tcPr>
            <w:tcW w:w="2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49.25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35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Aggregate value ($ in millions)</w:t>
            </w: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46</w:t>
            </w:r>
          </w:p>
        </w:tc>
        <w:tc>
          <w:tcPr>
            <w:tcW w:w="1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80" w:right="179" w:hanging="430"/>
        <w:spacing w:after="0" w:line="238" w:lineRule="auto"/>
        <w:tabs>
          <w:tab w:leader="none" w:pos="4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Included in the units granted are approximately 0.2 million performance-based RSUs. The number of performance-based RSUs that are ultimately earned may vary from 0% to 200% of target depending on the achievement relative to the Company’s predefined financial performance targets.</w:t>
      </w:r>
    </w:p>
    <w:p>
      <w:pPr>
        <w:ind w:left="480" w:right="179" w:hanging="430"/>
        <w:spacing w:after="0" w:line="258" w:lineRule="auto"/>
        <w:tabs>
          <w:tab w:leader="none" w:pos="4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This represents adjustments made to performance-based RSU awards and reflect changes in estimates based upon the Company’s current performance against predefined financial targets.</w:t>
      </w:r>
    </w:p>
    <w:p>
      <w:pPr>
        <w:spacing w:after="0" w:line="254"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7"/>
          <w:szCs w:val="17"/>
          <w:color w:val="auto"/>
        </w:rPr>
        <w:t>The total fair value of awards vested was $5 million, $7 million, and $15 million for 2019, 2018, and 2017, respectively. At February 1, 2020, there was $20 million of total unrecognized compensation cost related to nonvested RSU awards.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22. Legal Proceedings</w:t>
      </w:r>
    </w:p>
    <w:p>
      <w:pPr>
        <w:spacing w:after="0" w:line="122"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 Additionally, the Company and certain officers of the Company were defendants in a purported securities law class action in New York. During the third quarter of 2019, the Court granted the Company’s motion to dismiss the class action and the plaintiffs’ time to appeal has expired. The directors and certain officers of the Company were defendants in related derivative actions filed in state and federal court. The courts ordered the dismissals of plaintiffs’ complaints following the parties’ submission of a joint stipulation to dismiss.</w:t>
      </w:r>
    </w:p>
    <w:p>
      <w:pPr>
        <w:spacing w:after="0" w:line="94"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do not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23. Quarterly Results (Unaudited)</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1</w:t>
            </w:r>
            <w:r>
              <w:rPr>
                <w:rFonts w:ascii="Arial" w:cs="Arial" w:eastAsia="Arial" w:hAnsi="Arial"/>
                <w:sz w:val="25"/>
                <w:szCs w:val="25"/>
                <w:b w:val="1"/>
                <w:bCs w:val="1"/>
                <w:color w:val="auto"/>
                <w:vertAlign w:val="superscript"/>
              </w:rPr>
              <w:t>st</w:t>
            </w:r>
            <w:r>
              <w:rPr>
                <w:rFonts w:ascii="Arial" w:cs="Arial" w:eastAsia="Arial" w:hAnsi="Arial"/>
                <w:sz w:val="17"/>
                <w:szCs w:val="17"/>
                <w:b w:val="1"/>
                <w:bCs w:val="1"/>
                <w:color w:val="auto"/>
              </w:rPr>
              <w:t xml:space="preserve"> Quarter</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w:t>
            </w:r>
            <w:r>
              <w:rPr>
                <w:rFonts w:ascii="Arial" w:cs="Arial" w:eastAsia="Arial" w:hAnsi="Arial"/>
                <w:sz w:val="25"/>
                <w:szCs w:val="25"/>
                <w:b w:val="1"/>
                <w:bCs w:val="1"/>
                <w:color w:val="auto"/>
                <w:vertAlign w:val="superscript"/>
              </w:rPr>
              <w:t>nd</w:t>
            </w:r>
            <w:r>
              <w:rPr>
                <w:rFonts w:ascii="Arial" w:cs="Arial" w:eastAsia="Arial" w:hAnsi="Arial"/>
                <w:sz w:val="17"/>
                <w:szCs w:val="17"/>
                <w:b w:val="1"/>
                <w:bCs w:val="1"/>
                <w:color w:val="auto"/>
              </w:rPr>
              <w:t xml:space="preserve"> Quarter</w:t>
            </w:r>
          </w:p>
        </w:tc>
        <w:tc>
          <w:tcPr>
            <w:tcW w:w="12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3</w:t>
            </w:r>
            <w:r>
              <w:rPr>
                <w:rFonts w:ascii="Arial" w:cs="Arial" w:eastAsia="Arial" w:hAnsi="Arial"/>
                <w:sz w:val="25"/>
                <w:szCs w:val="25"/>
                <w:b w:val="1"/>
                <w:bCs w:val="1"/>
                <w:color w:val="auto"/>
                <w:vertAlign w:val="superscript"/>
              </w:rPr>
              <w:t>rd</w:t>
            </w:r>
            <w:r>
              <w:rPr>
                <w:rFonts w:ascii="Arial" w:cs="Arial" w:eastAsia="Arial" w:hAnsi="Arial"/>
                <w:sz w:val="17"/>
                <w:szCs w:val="17"/>
                <w:b w:val="1"/>
                <w:bCs w:val="1"/>
                <w:color w:val="auto"/>
              </w:rPr>
              <w:t xml:space="preserve"> Quarter</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7"/>
                <w:szCs w:val="17"/>
                <w:b w:val="1"/>
                <w:bCs w:val="1"/>
                <w:color w:val="auto"/>
              </w:rPr>
              <w:t xml:space="preserve"> Quarter</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97"/>
              </w:rPr>
              <w:t>Fiscal Year</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Sales</w:t>
            </w:r>
          </w:p>
        </w:tc>
        <w:tc>
          <w:tcPr>
            <w:tcW w:w="14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jc w:val="right"/>
              <w:ind w:right="2059"/>
              <w:spacing w:after="0" w:line="189" w:lineRule="exact"/>
              <w:rPr>
                <w:sz w:val="20"/>
                <w:szCs w:val="20"/>
                <w:color w:val="auto"/>
              </w:rPr>
            </w:pPr>
            <w:r>
              <w:rPr>
                <w:rFonts w:ascii="Arial" w:cs="Arial" w:eastAsia="Arial" w:hAnsi="Arial"/>
                <w:sz w:val="17"/>
                <w:szCs w:val="17"/>
                <w:b w:val="1"/>
                <w:bCs w:val="1"/>
                <w:color w:val="auto"/>
              </w:rPr>
              <w:t>2019</w:t>
            </w:r>
          </w:p>
        </w:tc>
        <w:tc>
          <w:tcPr>
            <w:tcW w:w="14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2,078</w:t>
            </w:r>
          </w:p>
        </w:tc>
        <w:tc>
          <w:tcPr>
            <w:tcW w:w="12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1,774</w:t>
            </w:r>
          </w:p>
        </w:tc>
        <w:tc>
          <w:tcPr>
            <w:tcW w:w="12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1,932</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2,221</w:t>
            </w:r>
          </w:p>
        </w:tc>
        <w:tc>
          <w:tcPr>
            <w:tcW w:w="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8,005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shd w:val="clear" w:color="auto" w:fill="CCEEFF"/>
          </w:tcPr>
          <w:p>
            <w:pPr>
              <w:jc w:val="right"/>
              <w:ind w:right="2059"/>
              <w:spacing w:after="0" w:line="189" w:lineRule="exact"/>
              <w:rPr>
                <w:sz w:val="20"/>
                <w:szCs w:val="20"/>
                <w:color w:val="auto"/>
              </w:rPr>
            </w:pPr>
            <w:r>
              <w:rPr>
                <w:rFonts w:ascii="Arial" w:cs="Arial" w:eastAsia="Arial" w:hAnsi="Arial"/>
                <w:sz w:val="17"/>
                <w:szCs w:val="17"/>
                <w:color w:val="auto"/>
              </w:rPr>
              <w:t>2018</w:t>
            </w:r>
          </w:p>
        </w:tc>
        <w:tc>
          <w:tcPr>
            <w:tcW w:w="14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2,025</w:t>
            </w:r>
          </w:p>
        </w:tc>
        <w:tc>
          <w:tcPr>
            <w:tcW w:w="12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1,782</w:t>
            </w:r>
          </w:p>
        </w:tc>
        <w:tc>
          <w:tcPr>
            <w:tcW w:w="12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1,860</w:t>
            </w:r>
          </w:p>
        </w:tc>
        <w:tc>
          <w:tcPr>
            <w:tcW w:w="11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2,272</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7,939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spacing w:after="0" w:line="189" w:lineRule="exact"/>
              <w:rPr>
                <w:sz w:val="20"/>
                <w:szCs w:val="20"/>
                <w:color w:val="auto"/>
              </w:rPr>
            </w:pPr>
            <w:r>
              <w:rPr>
                <w:rFonts w:ascii="Arial" w:cs="Arial" w:eastAsia="Arial" w:hAnsi="Arial"/>
                <w:sz w:val="15"/>
                <w:szCs w:val="15"/>
                <w:color w:val="auto"/>
              </w:rPr>
              <w:t xml:space="preserve">Gross margin </w:t>
            </w:r>
            <w:r>
              <w:rPr>
                <w:rFonts w:ascii="Arial" w:cs="Arial" w:eastAsia="Arial" w:hAnsi="Arial"/>
                <w:sz w:val="21"/>
                <w:szCs w:val="21"/>
                <w:color w:val="auto"/>
                <w:vertAlign w:val="superscript"/>
              </w:rPr>
              <w:t>(1)</w:t>
            </w: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shd w:val="clear" w:color="auto" w:fill="CCEEFF"/>
          </w:tcPr>
          <w:p>
            <w:pPr>
              <w:jc w:val="right"/>
              <w:ind w:right="2059"/>
              <w:spacing w:after="0" w:line="189" w:lineRule="exact"/>
              <w:rPr>
                <w:sz w:val="20"/>
                <w:szCs w:val="20"/>
                <w:color w:val="auto"/>
              </w:rPr>
            </w:pPr>
            <w:r>
              <w:rPr>
                <w:rFonts w:ascii="Arial" w:cs="Arial" w:eastAsia="Arial" w:hAnsi="Arial"/>
                <w:sz w:val="17"/>
                <w:szCs w:val="17"/>
                <w:b w:val="1"/>
                <w:bCs w:val="1"/>
                <w:color w:val="auto"/>
              </w:rPr>
              <w:t>2019</w:t>
            </w:r>
          </w:p>
        </w:tc>
        <w:tc>
          <w:tcPr>
            <w:tcW w:w="14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689</w:t>
            </w:r>
          </w:p>
        </w:tc>
        <w:tc>
          <w:tcPr>
            <w:tcW w:w="12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534</w:t>
            </w:r>
          </w:p>
        </w:tc>
        <w:tc>
          <w:tcPr>
            <w:tcW w:w="12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620</w:t>
            </w:r>
          </w:p>
        </w:tc>
        <w:tc>
          <w:tcPr>
            <w:tcW w:w="11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700</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2,543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jc w:val="right"/>
              <w:ind w:right="2059"/>
              <w:spacing w:after="0" w:line="189" w:lineRule="exact"/>
              <w:rPr>
                <w:sz w:val="20"/>
                <w:szCs w:val="20"/>
                <w:color w:val="auto"/>
              </w:rPr>
            </w:pPr>
            <w:r>
              <w:rPr>
                <w:rFonts w:ascii="Arial" w:cs="Arial" w:eastAsia="Arial" w:hAnsi="Arial"/>
                <w:sz w:val="17"/>
                <w:szCs w:val="17"/>
                <w:color w:val="auto"/>
              </w:rPr>
              <w:t>2018</w:t>
            </w:r>
          </w:p>
        </w:tc>
        <w:tc>
          <w:tcPr>
            <w:tcW w:w="14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666</w:t>
            </w:r>
          </w:p>
        </w:tc>
        <w:tc>
          <w:tcPr>
            <w:tcW w:w="12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539</w:t>
            </w:r>
          </w:p>
        </w:tc>
        <w:tc>
          <w:tcPr>
            <w:tcW w:w="12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588</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735</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2,528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Operating profit </w:t>
            </w:r>
            <w:r>
              <w:rPr>
                <w:rFonts w:ascii="Arial" w:cs="Arial" w:eastAsia="Arial" w:hAnsi="Arial"/>
                <w:sz w:val="21"/>
                <w:szCs w:val="21"/>
                <w:color w:val="auto"/>
                <w:vertAlign w:val="superscript"/>
              </w:rPr>
              <w:t>(2)</w:t>
            </w:r>
          </w:p>
        </w:tc>
        <w:tc>
          <w:tcPr>
            <w:tcW w:w="14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jc w:val="right"/>
              <w:ind w:right="2059"/>
              <w:spacing w:after="0" w:line="189" w:lineRule="exact"/>
              <w:rPr>
                <w:sz w:val="20"/>
                <w:szCs w:val="20"/>
                <w:color w:val="auto"/>
              </w:rPr>
            </w:pPr>
            <w:r>
              <w:rPr>
                <w:rFonts w:ascii="Arial" w:cs="Arial" w:eastAsia="Arial" w:hAnsi="Arial"/>
                <w:sz w:val="17"/>
                <w:szCs w:val="17"/>
                <w:b w:val="1"/>
                <w:bCs w:val="1"/>
                <w:color w:val="auto"/>
              </w:rPr>
              <w:t>2019</w:t>
            </w:r>
          </w:p>
        </w:tc>
        <w:tc>
          <w:tcPr>
            <w:tcW w:w="14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228</w:t>
            </w:r>
          </w:p>
        </w:tc>
        <w:tc>
          <w:tcPr>
            <w:tcW w:w="12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81</w:t>
            </w:r>
          </w:p>
        </w:tc>
        <w:tc>
          <w:tcPr>
            <w:tcW w:w="12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164</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176</w:t>
            </w:r>
          </w:p>
        </w:tc>
        <w:tc>
          <w:tcPr>
            <w:tcW w:w="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shd w:val="clear" w:color="auto" w:fill="CCEEFF"/>
          </w:tcPr>
          <w:p>
            <w:pPr>
              <w:jc w:val="right"/>
              <w:ind w:right="2059"/>
              <w:spacing w:after="0" w:line="189" w:lineRule="exact"/>
              <w:rPr>
                <w:sz w:val="20"/>
                <w:szCs w:val="20"/>
                <w:color w:val="auto"/>
              </w:rPr>
            </w:pPr>
            <w:r>
              <w:rPr>
                <w:rFonts w:ascii="Arial" w:cs="Arial" w:eastAsia="Arial" w:hAnsi="Arial"/>
                <w:sz w:val="17"/>
                <w:szCs w:val="17"/>
                <w:color w:val="auto"/>
              </w:rPr>
              <w:t>2018</w:t>
            </w:r>
          </w:p>
        </w:tc>
        <w:tc>
          <w:tcPr>
            <w:tcW w:w="14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224</w:t>
            </w:r>
          </w:p>
        </w:tc>
        <w:tc>
          <w:tcPr>
            <w:tcW w:w="12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112</w:t>
            </w:r>
          </w:p>
        </w:tc>
        <w:tc>
          <w:tcPr>
            <w:tcW w:w="12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144</w:t>
            </w:r>
          </w:p>
        </w:tc>
        <w:tc>
          <w:tcPr>
            <w:tcW w:w="11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219</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spacing w:after="0" w:line="189" w:lineRule="exact"/>
              <w:rPr>
                <w:sz w:val="20"/>
                <w:szCs w:val="20"/>
                <w:color w:val="auto"/>
              </w:rPr>
            </w:pPr>
            <w:r>
              <w:rPr>
                <w:rFonts w:ascii="Arial" w:cs="Arial" w:eastAsia="Arial" w:hAnsi="Arial"/>
                <w:sz w:val="21"/>
                <w:szCs w:val="21"/>
                <w:color w:val="auto"/>
                <w:vertAlign w:val="subscript"/>
              </w:rPr>
              <w:t>Net income</w:t>
            </w:r>
            <w:r>
              <w:rPr>
                <w:rFonts w:ascii="Arial" w:cs="Arial" w:eastAsia="Arial" w:hAnsi="Arial"/>
                <w:sz w:val="10"/>
                <w:szCs w:val="10"/>
                <w:color w:val="auto"/>
              </w:rPr>
              <w:t xml:space="preserve"> (3), (4), (5)</w:t>
            </w: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shd w:val="clear" w:color="auto" w:fill="CCEEFF"/>
          </w:tcPr>
          <w:p>
            <w:pPr>
              <w:jc w:val="right"/>
              <w:ind w:right="2059"/>
              <w:spacing w:after="0" w:line="189" w:lineRule="exact"/>
              <w:rPr>
                <w:sz w:val="20"/>
                <w:szCs w:val="20"/>
                <w:color w:val="auto"/>
              </w:rPr>
            </w:pPr>
            <w:r>
              <w:rPr>
                <w:rFonts w:ascii="Arial" w:cs="Arial" w:eastAsia="Arial" w:hAnsi="Arial"/>
                <w:sz w:val="17"/>
                <w:szCs w:val="17"/>
                <w:b w:val="1"/>
                <w:bCs w:val="1"/>
                <w:color w:val="auto"/>
              </w:rPr>
              <w:t>2019</w:t>
            </w:r>
          </w:p>
        </w:tc>
        <w:tc>
          <w:tcPr>
            <w:tcW w:w="14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172</w:t>
            </w:r>
          </w:p>
        </w:tc>
        <w:tc>
          <w:tcPr>
            <w:tcW w:w="12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60</w:t>
            </w:r>
          </w:p>
        </w:tc>
        <w:tc>
          <w:tcPr>
            <w:tcW w:w="12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125</w:t>
            </w:r>
          </w:p>
        </w:tc>
        <w:tc>
          <w:tcPr>
            <w:tcW w:w="11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134</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jc w:val="right"/>
              <w:ind w:right="2059"/>
              <w:spacing w:after="0" w:line="189" w:lineRule="exact"/>
              <w:rPr>
                <w:sz w:val="20"/>
                <w:szCs w:val="20"/>
                <w:color w:val="auto"/>
              </w:rPr>
            </w:pPr>
            <w:r>
              <w:rPr>
                <w:rFonts w:ascii="Arial" w:cs="Arial" w:eastAsia="Arial" w:hAnsi="Arial"/>
                <w:sz w:val="17"/>
                <w:szCs w:val="17"/>
                <w:color w:val="auto"/>
              </w:rPr>
              <w:t>2018</w:t>
            </w:r>
          </w:p>
        </w:tc>
        <w:tc>
          <w:tcPr>
            <w:tcW w:w="14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165</w:t>
            </w:r>
          </w:p>
        </w:tc>
        <w:tc>
          <w:tcPr>
            <w:tcW w:w="12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88</w:t>
            </w:r>
          </w:p>
        </w:tc>
        <w:tc>
          <w:tcPr>
            <w:tcW w:w="12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130</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158</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Basic earnings per share </w:t>
            </w:r>
            <w:r>
              <w:rPr>
                <w:rFonts w:ascii="Arial" w:cs="Arial" w:eastAsia="Arial" w:hAnsi="Arial"/>
                <w:sz w:val="21"/>
                <w:szCs w:val="21"/>
                <w:color w:val="auto"/>
                <w:vertAlign w:val="superscript"/>
              </w:rPr>
              <w:t>(6)</w:t>
            </w:r>
          </w:p>
        </w:tc>
        <w:tc>
          <w:tcPr>
            <w:tcW w:w="14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jc w:val="right"/>
              <w:ind w:right="2059"/>
              <w:spacing w:after="0" w:line="189" w:lineRule="exact"/>
              <w:rPr>
                <w:sz w:val="20"/>
                <w:szCs w:val="20"/>
                <w:color w:val="auto"/>
              </w:rPr>
            </w:pPr>
            <w:r>
              <w:rPr>
                <w:rFonts w:ascii="Arial" w:cs="Arial" w:eastAsia="Arial" w:hAnsi="Arial"/>
                <w:sz w:val="17"/>
                <w:szCs w:val="17"/>
                <w:b w:val="1"/>
                <w:bCs w:val="1"/>
                <w:color w:val="auto"/>
              </w:rPr>
              <w:t>2019</w:t>
            </w:r>
          </w:p>
        </w:tc>
        <w:tc>
          <w:tcPr>
            <w:tcW w:w="14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1.53</w:t>
            </w:r>
          </w:p>
        </w:tc>
        <w:tc>
          <w:tcPr>
            <w:tcW w:w="12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0.55</w:t>
            </w:r>
          </w:p>
        </w:tc>
        <w:tc>
          <w:tcPr>
            <w:tcW w:w="12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1.16</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1.28</w:t>
            </w:r>
          </w:p>
        </w:tc>
        <w:tc>
          <w:tcPr>
            <w:tcW w:w="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shd w:val="clear" w:color="auto" w:fill="CCEEFF"/>
          </w:tcPr>
          <w:p>
            <w:pPr>
              <w:jc w:val="right"/>
              <w:ind w:right="2059"/>
              <w:spacing w:after="0" w:line="189" w:lineRule="exact"/>
              <w:rPr>
                <w:sz w:val="20"/>
                <w:szCs w:val="20"/>
                <w:color w:val="auto"/>
              </w:rPr>
            </w:pPr>
            <w:r>
              <w:rPr>
                <w:rFonts w:ascii="Arial" w:cs="Arial" w:eastAsia="Arial" w:hAnsi="Arial"/>
                <w:sz w:val="17"/>
                <w:szCs w:val="17"/>
                <w:color w:val="auto"/>
              </w:rPr>
              <w:t>2018</w:t>
            </w:r>
          </w:p>
        </w:tc>
        <w:tc>
          <w:tcPr>
            <w:tcW w:w="14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1.39</w:t>
            </w:r>
          </w:p>
        </w:tc>
        <w:tc>
          <w:tcPr>
            <w:tcW w:w="12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0.76</w:t>
            </w:r>
          </w:p>
        </w:tc>
        <w:tc>
          <w:tcPr>
            <w:tcW w:w="12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1.14</w:t>
            </w:r>
          </w:p>
        </w:tc>
        <w:tc>
          <w:tcPr>
            <w:tcW w:w="11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1.40</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spacing w:after="0" w:line="189" w:lineRule="exact"/>
              <w:rPr>
                <w:sz w:val="20"/>
                <w:szCs w:val="20"/>
                <w:color w:val="auto"/>
              </w:rPr>
            </w:pPr>
            <w:r>
              <w:rPr>
                <w:rFonts w:ascii="Arial" w:cs="Arial" w:eastAsia="Arial" w:hAnsi="Arial"/>
                <w:sz w:val="15"/>
                <w:szCs w:val="15"/>
                <w:color w:val="auto"/>
              </w:rPr>
              <w:t xml:space="preserve">Diluted earnings per share </w:t>
            </w:r>
            <w:r>
              <w:rPr>
                <w:rFonts w:ascii="Arial" w:cs="Arial" w:eastAsia="Arial" w:hAnsi="Arial"/>
                <w:sz w:val="21"/>
                <w:szCs w:val="21"/>
                <w:color w:val="auto"/>
                <w:vertAlign w:val="superscript"/>
              </w:rPr>
              <w:t>(6)</w:t>
            </w: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shd w:val="clear" w:color="auto" w:fill="CCEEFF"/>
          </w:tcPr>
          <w:p>
            <w:pPr>
              <w:jc w:val="right"/>
              <w:ind w:right="2059"/>
              <w:spacing w:after="0" w:line="189" w:lineRule="exact"/>
              <w:rPr>
                <w:sz w:val="20"/>
                <w:szCs w:val="20"/>
                <w:color w:val="auto"/>
              </w:rPr>
            </w:pPr>
            <w:r>
              <w:rPr>
                <w:rFonts w:ascii="Arial" w:cs="Arial" w:eastAsia="Arial" w:hAnsi="Arial"/>
                <w:sz w:val="17"/>
                <w:szCs w:val="17"/>
                <w:b w:val="1"/>
                <w:bCs w:val="1"/>
                <w:color w:val="auto"/>
              </w:rPr>
              <w:t>2019</w:t>
            </w:r>
          </w:p>
        </w:tc>
        <w:tc>
          <w:tcPr>
            <w:tcW w:w="14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1.52</w:t>
            </w:r>
          </w:p>
        </w:tc>
        <w:tc>
          <w:tcPr>
            <w:tcW w:w="12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0.55</w:t>
            </w:r>
          </w:p>
        </w:tc>
        <w:tc>
          <w:tcPr>
            <w:tcW w:w="12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1.16</w:t>
            </w:r>
          </w:p>
        </w:tc>
        <w:tc>
          <w:tcPr>
            <w:tcW w:w="11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1.27</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Borders>
              <w:bottom w:val="single" w:sz="8" w:color="auto"/>
            </w:tcBorders>
          </w:tcPr>
          <w:p>
            <w:pPr>
              <w:jc w:val="right"/>
              <w:ind w:right="2059"/>
              <w:spacing w:after="0" w:line="189" w:lineRule="exact"/>
              <w:rPr>
                <w:sz w:val="20"/>
                <w:szCs w:val="20"/>
                <w:color w:val="auto"/>
              </w:rPr>
            </w:pPr>
            <w:r>
              <w:rPr>
                <w:rFonts w:ascii="Arial" w:cs="Arial" w:eastAsia="Arial" w:hAnsi="Arial"/>
                <w:sz w:val="17"/>
                <w:szCs w:val="17"/>
                <w:color w:val="auto"/>
              </w:rPr>
              <w:t>2018</w:t>
            </w:r>
          </w:p>
        </w:tc>
        <w:tc>
          <w:tcPr>
            <w:tcW w:w="14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1.38</w:t>
            </w:r>
          </w:p>
        </w:tc>
        <w:tc>
          <w:tcPr>
            <w:tcW w:w="12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0.75</w:t>
            </w:r>
          </w:p>
        </w:tc>
        <w:tc>
          <w:tcPr>
            <w:tcW w:w="12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1.14</w:t>
            </w:r>
          </w:p>
        </w:tc>
        <w:tc>
          <w:tcPr>
            <w:tcW w:w="11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1.39</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4.66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80" w:right="79" w:hanging="330"/>
        <w:spacing w:after="0" w:line="248" w:lineRule="auto"/>
        <w:tabs>
          <w:tab w:leader="none" w:pos="3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Gross margin represents sales less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spacing w:after="0" w:line="22" w:lineRule="exact"/>
        <w:rPr>
          <w:rFonts w:ascii="Arial" w:cs="Arial" w:eastAsia="Arial" w:hAnsi="Arial"/>
          <w:sz w:val="13"/>
          <w:szCs w:val="13"/>
          <w:color w:val="auto"/>
        </w:rPr>
      </w:pPr>
    </w:p>
    <w:p>
      <w:pPr>
        <w:ind w:left="380" w:hanging="330"/>
        <w:spacing w:after="0"/>
        <w:tabs>
          <w:tab w:leader="none" w:pos="3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Operating profit represents income before income taxes, net interest income and non-operating income.</w:t>
      </w:r>
    </w:p>
    <w:p>
      <w:pPr>
        <w:spacing w:after="0" w:line="39" w:lineRule="exact"/>
        <w:rPr>
          <w:rFonts w:ascii="Arial" w:cs="Arial" w:eastAsia="Arial" w:hAnsi="Arial"/>
          <w:sz w:val="13"/>
          <w:szCs w:val="13"/>
          <w:color w:val="auto"/>
        </w:rPr>
      </w:pPr>
    </w:p>
    <w:p>
      <w:pPr>
        <w:jc w:val="both"/>
        <w:ind w:left="380" w:right="79" w:hanging="330"/>
        <w:spacing w:after="0" w:line="251" w:lineRule="auto"/>
        <w:tabs>
          <w:tab w:leader="none" w:pos="3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 connection with the pension plan reformation, we recorded charges of $1 million during each quarter of 2019. Related to the same matter, in 2018 we recorded charges of $12 million, $3 million, $2 million, and $1 million during the first, second, third, and fourth quarters of 2018, respectively.</w:t>
      </w:r>
    </w:p>
    <w:p>
      <w:pPr>
        <w:spacing w:after="0" w:line="159" w:lineRule="exact"/>
        <w:rPr>
          <w:rFonts w:ascii="Arial" w:cs="Arial" w:eastAsia="Arial" w:hAnsi="Arial"/>
          <w:sz w:val="13"/>
          <w:szCs w:val="13"/>
          <w:color w:val="auto"/>
        </w:rPr>
      </w:pPr>
    </w:p>
    <w:p>
      <w:pPr>
        <w:jc w:val="both"/>
        <w:ind w:left="380" w:right="79" w:hanging="330"/>
        <w:spacing w:after="0" w:line="248" w:lineRule="auto"/>
        <w:tabs>
          <w:tab w:leader="none" w:pos="3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During the fourth quarters of 2019 and 2018, we recorded impairment charges totaling $48 million and $19 million, respectively. In the second quarter of 2019, we recorded lease termination costs of $13 million related to the closing of SIX:02 locations. See Note 3, </w:t>
      </w:r>
      <w:r>
        <w:rPr>
          <w:rFonts w:ascii="Arial" w:cs="Arial" w:eastAsia="Arial" w:hAnsi="Arial"/>
          <w:sz w:val="13"/>
          <w:szCs w:val="13"/>
          <w:i w:val="1"/>
          <w:iCs w:val="1"/>
          <w:color w:val="auto"/>
        </w:rPr>
        <w:t>Impairment and Other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Charges </w:t>
      </w:r>
      <w:r>
        <w:rPr>
          <w:rFonts w:ascii="Arial" w:cs="Arial" w:eastAsia="Arial" w:hAnsi="Arial"/>
          <w:sz w:val="13"/>
          <w:szCs w:val="13"/>
          <w:color w:val="auto"/>
        </w:rPr>
        <w:t>for additional information.</w:t>
      </w:r>
    </w:p>
    <w:p>
      <w:pPr>
        <w:spacing w:after="0" w:line="22" w:lineRule="exact"/>
        <w:rPr>
          <w:rFonts w:ascii="Arial" w:cs="Arial" w:eastAsia="Arial" w:hAnsi="Arial"/>
          <w:sz w:val="13"/>
          <w:szCs w:val="13"/>
          <w:color w:val="auto"/>
        </w:rPr>
      </w:pPr>
    </w:p>
    <w:p>
      <w:pPr>
        <w:ind w:left="380" w:right="79" w:hanging="330"/>
        <w:spacing w:after="0" w:line="258" w:lineRule="auto"/>
        <w:tabs>
          <w:tab w:leader="none" w:pos="3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During second, third, and fourth quarters 2018, we recorded benefits of $1 million, $23 million, and $4 million, respectively, from the completion of the accounting for the Tax Act. See Note 17,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for further information.</w:t>
      </w:r>
    </w:p>
    <w:p>
      <w:pPr>
        <w:spacing w:after="0" w:line="16" w:lineRule="exact"/>
        <w:rPr>
          <w:rFonts w:ascii="Arial" w:cs="Arial" w:eastAsia="Arial" w:hAnsi="Arial"/>
          <w:sz w:val="13"/>
          <w:szCs w:val="13"/>
          <w:color w:val="auto"/>
        </w:rPr>
      </w:pPr>
    </w:p>
    <w:p>
      <w:pPr>
        <w:ind w:left="380" w:right="79" w:hanging="330"/>
        <w:spacing w:after="0" w:line="249" w:lineRule="auto"/>
        <w:tabs>
          <w:tab w:leader="none" w:pos="3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Quarterly income per share amounts may not total to the annual amount due to changes in weighted-average shares outstanding during the year.</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24. Subsequent Events</w:t>
      </w:r>
    </w:p>
    <w:p>
      <w:pPr>
        <w:spacing w:after="0" w:line="23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On February 19, 2020, we announced that our Board of Directors declared a quarterly dividend of $0.40 per share on our common stock. The dividend will be payable on May 1, 2020 to shareholders of record at the close of business on April 17, 2020. Although it is our Company’s intention to continue to pay a quarterly cash dividend in the future, any decision to pay future cash dividends will be made by the Board of Directors and will depend on future earnings, financial condition, and other factors.</w:t>
      </w:r>
    </w:p>
    <w:p>
      <w:pPr>
        <w:spacing w:after="0" w:line="20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COVID-19 is having a significant effect on overall economic conditions in the various geographic areas in which we have operations. Our top priority is to protect our associates and their families, our customers, and our operations. We are taking all precautionary measures as directed by health authorities and local and national governments. On March 18, 2020, in response to intensifying efforts to contain the spread of COVID-19, we temporarily closed our stores across all of our brands in North America, EMEA, and Malaysia. On March 25, 2020, we temporarily closed our stores in New Zealand.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2019 Form 10-K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The rest of our locations in the Asia Pacific region, which include Hong Kong, Singapore, and Australia, will remain open subject to direction from local and national governments.</w:t>
      </w:r>
    </w:p>
    <w:p>
      <w:pPr>
        <w:spacing w:after="0" w:line="198"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continue to monitor the outbreak of COVID-19 and other closures, or closures for a longer period, may be required to help ensure the health and safety of our associates and our customers. COVID-19 has and may continue to have an effect on ports and trade, as well as global travel. We have set up a special management committee and the committee is taking the necessary precautionary measures to protect the health and safety of our associates as well as following the guidance provided by local health authorities. Given the dynamic nature of these circumstances, the duration of business disruption, and reduced customer traffic, the related financial affect cannot be reasonably estimated at this time but are expected to materially affect our business for the first quarter and full year of 2020.</w:t>
      </w:r>
    </w:p>
    <w:p>
      <w:pPr>
        <w:spacing w:after="0" w:line="151"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On March 19, 2020, in order to increase our cash position and help preserve our financial flexibility, we have drawn $330 million of our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59"/>
        <w:spacing w:after="0"/>
        <w:rPr>
          <w:sz w:val="20"/>
          <w:szCs w:val="20"/>
          <w:color w:val="auto"/>
        </w:rPr>
      </w:pPr>
      <w:r>
        <w:rPr>
          <w:rFonts w:ascii="Arial" w:cs="Arial" w:eastAsia="Arial" w:hAnsi="Arial"/>
          <w:sz w:val="17"/>
          <w:szCs w:val="17"/>
          <w:color w:val="auto"/>
        </w:rPr>
        <w:t>2019 Form 10-K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30" w:lineRule="exact"/>
        <w:rPr>
          <w:sz w:val="20"/>
          <w:szCs w:val="20"/>
          <w:color w:val="auto"/>
        </w:rPr>
      </w:pPr>
    </w:p>
    <w:p>
      <w:pPr>
        <w:ind w:left="60" w:right="59"/>
        <w:spacing w:after="0" w:line="243" w:lineRule="auto"/>
        <w:rPr>
          <w:sz w:val="20"/>
          <w:szCs w:val="20"/>
          <w:color w:val="auto"/>
        </w:rPr>
      </w:pPr>
      <w:r>
        <w:rPr>
          <w:rFonts w:ascii="Arial" w:cs="Arial" w:eastAsia="Arial" w:hAnsi="Arial"/>
          <w:sz w:val="17"/>
          <w:szCs w:val="17"/>
          <w:color w:val="auto"/>
        </w:rPr>
        <w:t>There were no disagreements between the Company and its independent registered public accounting firm on matters of accounting principles or practices.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9A. Controls and Procedures</w:t>
      </w:r>
    </w:p>
    <w:p>
      <w:pPr>
        <w:spacing w:after="0" w:line="187" w:lineRule="exact"/>
        <w:rPr>
          <w:sz w:val="20"/>
          <w:szCs w:val="20"/>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7"/>
          <w:szCs w:val="17"/>
          <w:color w:val="auto"/>
        </w:rPr>
        <w:t>Evaluation of Disclosure Controls and Procedures.</w:t>
      </w:r>
    </w:p>
    <w:p>
      <w:pPr>
        <w:spacing w:after="0" w:line="173" w:lineRule="exact"/>
        <w:rPr>
          <w:sz w:val="20"/>
          <w:szCs w:val="20"/>
          <w:color w:val="auto"/>
        </w:rPr>
      </w:pPr>
    </w:p>
    <w:p>
      <w:pPr>
        <w:jc w:val="both"/>
        <w:ind w:left="700" w:right="59"/>
        <w:spacing w:after="0" w:line="233" w:lineRule="auto"/>
        <w:rPr>
          <w:sz w:val="20"/>
          <w:szCs w:val="20"/>
          <w:color w:val="auto"/>
        </w:rPr>
      </w:pPr>
      <w:r>
        <w:rPr>
          <w:rFonts w:ascii="Arial" w:cs="Arial" w:eastAsia="Arial" w:hAnsi="Arial"/>
          <w:sz w:val="17"/>
          <w:szCs w:val="17"/>
          <w:color w:val="auto"/>
        </w:rPr>
        <w:t>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as of February 1, 2020.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52" w:lineRule="exact"/>
        <w:rPr>
          <w:sz w:val="20"/>
          <w:szCs w:val="20"/>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7"/>
          <w:szCs w:val="17"/>
          <w:color w:val="auto"/>
        </w:rPr>
        <w:t>Management’s Annual Report on Internal Control over Financial Reporting.</w:t>
      </w:r>
    </w:p>
    <w:p>
      <w:pPr>
        <w:spacing w:after="0" w:line="173" w:lineRule="exact"/>
        <w:rPr>
          <w:sz w:val="20"/>
          <w:szCs w:val="20"/>
          <w:color w:val="auto"/>
        </w:rPr>
      </w:pPr>
    </w:p>
    <w:p>
      <w:pPr>
        <w:jc w:val="both"/>
        <w:ind w:left="700" w:right="59"/>
        <w:spacing w:after="0" w:line="233"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that term is defined in Exchange Act Rules 13a-15(f) and 15d-15(f)). To evaluate the effectiveness of the Company’s internal control over financial reporting, the Company uses the framework in Internal Control-Integrated Framework (2013) issued by the Committee of Sponsoring Organizations of the Treadway Commission (the “2013 COSO Framework”). Using the 2013 COSO Framework, the Company’s management, including the CEO and CFO, evaluated the Company’s internal control over financial reporting and concluded that the Company’s internal control over financial reporting was effective as of February 1, 2020. KPMG LLP, the independent registered public accounting firm that audits the Company’s consolidated financial statements included in this annual report, has issued an attestation report on the Company’s effectiveness of internal control over financial reporting, which is included in Item 9A(d).</w:t>
      </w:r>
    </w:p>
    <w:p>
      <w:pPr>
        <w:spacing w:after="0" w:line="165" w:lineRule="exact"/>
        <w:rPr>
          <w:sz w:val="20"/>
          <w:szCs w:val="20"/>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7"/>
          <w:szCs w:val="17"/>
          <w:color w:val="auto"/>
        </w:rPr>
        <w:t>Changes in Internal Control over Financial Reporting.</w:t>
      </w:r>
    </w:p>
    <w:p>
      <w:pPr>
        <w:spacing w:after="0" w:line="160" w:lineRule="exact"/>
        <w:rPr>
          <w:sz w:val="20"/>
          <w:szCs w:val="20"/>
          <w:color w:val="auto"/>
        </w:rPr>
      </w:pPr>
    </w:p>
    <w:p>
      <w:pPr>
        <w:jc w:val="both"/>
        <w:ind w:left="700" w:right="59"/>
        <w:spacing w:after="0"/>
        <w:rPr>
          <w:sz w:val="20"/>
          <w:szCs w:val="20"/>
          <w:color w:val="auto"/>
        </w:rPr>
      </w:pPr>
      <w:r>
        <w:rPr>
          <w:rFonts w:ascii="Arial" w:cs="Arial" w:eastAsia="Arial" w:hAnsi="Arial"/>
          <w:sz w:val="17"/>
          <w:szCs w:val="17"/>
          <w:color w:val="auto"/>
        </w:rPr>
        <w:t>We are currently migrating our point-of-sale software to a new platform. Approximately 2,900 stores have been converted to the new software platform as of February 1, 2020, and we currently expect to complete the implementation in the first half of 2020. In connection with this implementation and resulting business process changes, we may make changes to the design and operation of our internal control over financial reporting.</w:t>
      </w:r>
    </w:p>
    <w:p>
      <w:pPr>
        <w:spacing w:after="0" w:line="339" w:lineRule="exact"/>
        <w:rPr>
          <w:sz w:val="20"/>
          <w:szCs w:val="20"/>
          <w:color w:val="auto"/>
        </w:rPr>
      </w:pPr>
    </w:p>
    <w:p>
      <w:pPr>
        <w:jc w:val="both"/>
        <w:ind w:left="700" w:right="59"/>
        <w:spacing w:after="0" w:line="236" w:lineRule="auto"/>
        <w:rPr>
          <w:sz w:val="20"/>
          <w:szCs w:val="20"/>
          <w:color w:val="auto"/>
        </w:rPr>
      </w:pPr>
      <w:r>
        <w:rPr>
          <w:rFonts w:ascii="Arial" w:cs="Arial" w:eastAsia="Arial" w:hAnsi="Arial"/>
          <w:sz w:val="17"/>
          <w:szCs w:val="17"/>
          <w:color w:val="auto"/>
        </w:rPr>
        <w:t>Additionally, during the fourth quarter of 2018 the Company implemented a new leasing accounting system in advance of the adoption of the new leasing standard that was effective the first quarter of 2019. We revised our controls in connection with this adoption and further refined business processes and made changes to the design and implementation of our internal control in connection with the new standard.</w:t>
      </w:r>
    </w:p>
    <w:p>
      <w:pPr>
        <w:spacing w:after="0" w:line="163" w:lineRule="exact"/>
        <w:rPr>
          <w:sz w:val="20"/>
          <w:szCs w:val="20"/>
          <w:color w:val="auto"/>
        </w:rPr>
      </w:pPr>
    </w:p>
    <w:p>
      <w:pPr>
        <w:jc w:val="both"/>
        <w:ind w:left="700" w:right="59"/>
        <w:spacing w:after="0" w:line="236" w:lineRule="auto"/>
        <w:rPr>
          <w:sz w:val="20"/>
          <w:szCs w:val="20"/>
          <w:color w:val="auto"/>
        </w:rPr>
      </w:pPr>
      <w:r>
        <w:rPr>
          <w:rFonts w:ascii="Arial" w:cs="Arial" w:eastAsia="Arial" w:hAnsi="Arial"/>
          <w:sz w:val="17"/>
          <w:szCs w:val="17"/>
          <w:color w:val="auto"/>
        </w:rPr>
        <w:t>During the Company’s last fiscal quarter there were no changes in internal control over financial reporting, other than the implementation of new point-of-sale software and lease accounting system noted above, that materially affected, or are reasonably likely to materially affect, the Company’s internal control over financial reporting.</w:t>
      </w:r>
    </w:p>
    <w:p>
      <w:pPr>
        <w:spacing w:after="0" w:line="149" w:lineRule="exact"/>
        <w:rPr>
          <w:sz w:val="20"/>
          <w:szCs w:val="20"/>
          <w:color w:val="auto"/>
        </w:rPr>
      </w:pPr>
    </w:p>
    <w:p>
      <w:pPr>
        <w:ind w:left="720" w:right="79" w:hanging="319"/>
        <w:spacing w:after="0" w:line="234"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7"/>
          <w:szCs w:val="17"/>
          <w:color w:val="auto"/>
        </w:rPr>
        <w:t>Report of Independent Registered Public Accounting Firm on Internal Control Over Financial Reporting- the report appears on the following page.</w:t>
      </w:r>
    </w:p>
    <w:p>
      <w:pPr>
        <w:spacing w:after="0" w:line="350" w:lineRule="exact"/>
        <w:rPr>
          <w:sz w:val="20"/>
          <w:szCs w:val="20"/>
          <w:color w:val="auto"/>
        </w:rPr>
      </w:pPr>
    </w:p>
    <w:p>
      <w:pPr>
        <w:jc w:val="right"/>
        <w:ind w:right="59"/>
        <w:spacing w:after="0"/>
        <w:rPr>
          <w:sz w:val="20"/>
          <w:szCs w:val="20"/>
          <w:color w:val="auto"/>
        </w:rPr>
      </w:pPr>
      <w:r>
        <w:rPr>
          <w:rFonts w:ascii="Arial" w:cs="Arial" w:eastAsia="Arial" w:hAnsi="Arial"/>
          <w:sz w:val="17"/>
          <w:szCs w:val="17"/>
          <w:color w:val="auto"/>
        </w:rPr>
        <w:t>2019 Form 10-K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79" w:name="page80"/>
    <w:bookmarkEnd w:id="79"/>
    <w:p>
      <w:pPr>
        <w:ind w:left="16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the Shareholders and Board of Directors</w:t>
      </w:r>
    </w:p>
    <w:p>
      <w:pPr>
        <w:ind w:left="60"/>
        <w:spacing w:after="0"/>
        <w:rPr>
          <w:sz w:val="20"/>
          <w:szCs w:val="20"/>
          <w:color w:val="auto"/>
        </w:rPr>
      </w:pPr>
      <w:r>
        <w:rPr>
          <w:rFonts w:ascii="Arial" w:cs="Arial" w:eastAsia="Arial" w:hAnsi="Arial"/>
          <w:sz w:val="17"/>
          <w:szCs w:val="17"/>
          <w:color w:val="auto"/>
        </w:rPr>
        <w:t>Foot Locker, Inc.:</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14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have audited Foot Locker, Inc.’s and subsidiaries (the “Company”) internal control over financial reporting as of February 1, 2020, based on criteria established in Internal Control – Integrated Framework (2013) issued by the Committee of Sponsoring Organizations of the Treadway Commission. In our opinion, the Company maintained, in all material respects, effective internal control over financial reporting as of February 1, 2020, based on criteria established in Internal Control – Integrated Framework (2013) issued by the Committee of Sponsoring Organizations of the Treadway Commission.</w:t>
      </w:r>
    </w:p>
    <w:p>
      <w:pPr>
        <w:spacing w:after="0" w:line="6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February 1, 2020 and February 2, 2019, the related consolidated statements of operations, comprehensive income, changes in shareholders’ equity, and cash flows for each of the years in the three-year period ended February 1, 2020, and the related notes (collectively, the “consolidated financial statements”), and our report dated March 27, 2020 expressed an unqualified opinion on those consolidated financial statements.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Basis for Opinion</w:t>
      </w:r>
    </w:p>
    <w:p>
      <w:pPr>
        <w:spacing w:after="0" w:line="106"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106"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7"/>
          <w:szCs w:val="17"/>
          <w:color w:val="auto"/>
        </w:rPr>
        <w:t>/s/ KPMG LLP</w:t>
      </w:r>
    </w:p>
    <w:p>
      <w:pPr>
        <w:ind w:left="60"/>
        <w:spacing w:after="0"/>
        <w:rPr>
          <w:sz w:val="20"/>
          <w:szCs w:val="20"/>
          <w:color w:val="auto"/>
        </w:rPr>
      </w:pPr>
      <w:r>
        <w:rPr>
          <w:rFonts w:ascii="Arial" w:cs="Arial" w:eastAsia="Arial" w:hAnsi="Arial"/>
          <w:sz w:val="17"/>
          <w:szCs w:val="17"/>
          <w:color w:val="auto"/>
        </w:rPr>
        <w:t>New York, New York</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March 27, 2020</w:t>
      </w:r>
    </w:p>
    <w:p>
      <w:pPr>
        <w:spacing w:after="0" w:line="129" w:lineRule="exact"/>
        <w:rPr>
          <w:sz w:val="20"/>
          <w:szCs w:val="20"/>
          <w:color w:val="auto"/>
        </w:rPr>
      </w:pPr>
    </w:p>
    <w:p>
      <w:pPr>
        <w:jc w:val="right"/>
        <w:ind w:right="59"/>
        <w:spacing w:after="0"/>
        <w:rPr>
          <w:sz w:val="20"/>
          <w:szCs w:val="20"/>
          <w:color w:val="auto"/>
        </w:rPr>
      </w:pPr>
      <w:r>
        <w:rPr>
          <w:rFonts w:ascii="Arial" w:cs="Arial" w:eastAsia="Arial" w:hAnsi="Arial"/>
          <w:sz w:val="17"/>
          <w:szCs w:val="17"/>
          <w:color w:val="auto"/>
        </w:rPr>
        <w:t>2019 Form 10-K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7"/>
          <w:szCs w:val="17"/>
          <w:b w:val="1"/>
          <w:bCs w:val="1"/>
          <w:i w:val="1"/>
          <w:iCs w:val="1"/>
          <w:color w:val="auto"/>
        </w:rPr>
        <w:t>Item 9B. Other Information</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None.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10. Directors, Executive Officers and Corporate Governance</w:t>
      </w:r>
    </w:p>
    <w:p>
      <w:pPr>
        <w:spacing w:after="0" w:line="227" w:lineRule="exact"/>
        <w:rPr>
          <w:sz w:val="20"/>
          <w:szCs w:val="20"/>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7"/>
          <w:szCs w:val="17"/>
          <w:color w:val="auto"/>
        </w:rPr>
        <w:t>Directors of the Company</w:t>
      </w:r>
    </w:p>
    <w:p>
      <w:pPr>
        <w:spacing w:after="0" w:line="214" w:lineRule="exact"/>
        <w:rPr>
          <w:sz w:val="20"/>
          <w:szCs w:val="20"/>
          <w:color w:val="auto"/>
        </w:rPr>
      </w:pPr>
    </w:p>
    <w:p>
      <w:pPr>
        <w:ind w:left="1020" w:right="79"/>
        <w:spacing w:after="0" w:line="243" w:lineRule="auto"/>
        <w:rPr>
          <w:sz w:val="20"/>
          <w:szCs w:val="20"/>
          <w:color w:val="auto"/>
        </w:rPr>
      </w:pPr>
      <w:r>
        <w:rPr>
          <w:rFonts w:ascii="Arial" w:cs="Arial" w:eastAsia="Arial" w:hAnsi="Arial"/>
          <w:sz w:val="17"/>
          <w:szCs w:val="17"/>
          <w:color w:val="auto"/>
        </w:rPr>
        <w:t>Information relative to directors of the Company will be set forth under the section captioned “Proposal 1-Election of Directors” in the Proxy Statement and is incorporated herein by reference.</w:t>
      </w:r>
    </w:p>
    <w:p>
      <w:pPr>
        <w:spacing w:after="0" w:line="196" w:lineRule="exact"/>
        <w:rPr>
          <w:sz w:val="20"/>
          <w:szCs w:val="20"/>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7"/>
          <w:szCs w:val="17"/>
          <w:color w:val="auto"/>
        </w:rPr>
        <w:t>Executive Officers of the Company</w:t>
      </w:r>
    </w:p>
    <w:p>
      <w:pPr>
        <w:spacing w:after="0" w:line="21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Information with respect to executive officers of the Company will be set forth in Item 4A in Part I.</w:t>
      </w:r>
    </w:p>
    <w:p>
      <w:pPr>
        <w:spacing w:after="0" w:line="210" w:lineRule="exact"/>
        <w:rPr>
          <w:sz w:val="20"/>
          <w:szCs w:val="20"/>
          <w:color w:val="auto"/>
        </w:rPr>
      </w:pPr>
    </w:p>
    <w:p>
      <w:pPr>
        <w:jc w:val="both"/>
        <w:ind w:left="720" w:right="79" w:hanging="319"/>
        <w:spacing w:after="0" w:line="233"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7"/>
          <w:szCs w:val="17"/>
          <w:color w:val="auto"/>
        </w:rPr>
        <w:t>Information with respect to compliance with Section 16(a) of the Securities Exchange Act of 1934 will be set forth under the section captioned “Section 16(a) Beneficial Ownership Reporting Compliance” in the Proxy Statement and is incorporated herein by reference.</w:t>
      </w:r>
    </w:p>
    <w:p>
      <w:pPr>
        <w:spacing w:after="0" w:line="202"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7"/>
          <w:szCs w:val="17"/>
          <w:color w:val="auto"/>
        </w:rPr>
        <w:t>Information on our audit committee and the audit committee financial expert will be contained in the Proxy Statement under the section captioned “Committees of the Board” and is incorporated herein by reference.</w:t>
      </w:r>
    </w:p>
    <w:p>
      <w:pPr>
        <w:spacing w:after="0" w:line="201" w:lineRule="exact"/>
        <w:rPr>
          <w:rFonts w:ascii="Arial" w:cs="Arial" w:eastAsia="Arial" w:hAnsi="Arial"/>
          <w:sz w:val="18"/>
          <w:szCs w:val="18"/>
          <w:color w:val="auto"/>
        </w:rPr>
      </w:pPr>
    </w:p>
    <w:p>
      <w:pPr>
        <w:jc w:val="both"/>
        <w:ind w:left="720" w:right="79" w:hanging="319"/>
        <w:spacing w:after="0" w:line="233"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7"/>
          <w:szCs w:val="17"/>
          <w:color w:val="auto"/>
        </w:rPr>
        <w:t>Information about the Code of Business Conduct governing our employees, including our Chief Executive Officer, Chief Financial Officer, Chief Accounting Officer, and the Board of Directors, will be set forth under the heading “Code of Business Conduct” under the Corporate Governance section of the Proxy Statement and is incorporated herein by reference.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11. Executive Compensation</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Information set forth in the Proxy Statement beginning with the section captioned “Director Compensation” through and including the section captioned “Pension Benefits” is incorporated herein by reference, and information set forth in the Proxy Statement under the heading “Compensation Committee Interlocks and Insider Participation” is incorporated herein by reference.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12. Security Ownership of Certain Beneficial Owners and Management and Related Stockholder Matters</w:t>
      </w:r>
    </w:p>
    <w:p>
      <w:pPr>
        <w:spacing w:after="0" w:line="230"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Information set forth in the Proxy Statement under the sections captioned “Equity Compensation Plan Information” and “Beneficial Ownership of the Company’s Stock” is incorporated herein by reference.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13. Certain Relationships and Related Transactions, and Director Independence</w:t>
      </w:r>
    </w:p>
    <w:p>
      <w:pPr>
        <w:spacing w:after="0" w:line="230"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Information set forth in the Proxy Statement under the section captioned “Directors’ Independence” is incorporated herein by reference.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14. Principal Accounting Fees and Services</w:t>
      </w:r>
    </w:p>
    <w:p>
      <w:pPr>
        <w:spacing w:after="0" w:line="23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Information about the principal accounting fees and services is set forth under the section captioned “Proposal 3: Ratification of the Appointment of our Independent Registered Public Accounting Firm — Audit and Non-Audit Fees” in the Proxy Statement and is incorporated herein by reference. Information about the Audit Committee’s preapproval policies and procedures is set forth in the section captioned “Proposal 3: Ratification of the Appointment of our Independent Registered Public Accounting Firm — Audit Committee Preapproval Policies and Procedures” in the Proxy Statement and is incorporated herein by reference.</w:t>
      </w:r>
    </w:p>
    <w:p>
      <w:pPr>
        <w:spacing w:after="0" w:line="202" w:lineRule="exact"/>
        <w:rPr>
          <w:sz w:val="20"/>
          <w:szCs w:val="20"/>
          <w:color w:val="auto"/>
        </w:rPr>
      </w:pPr>
    </w:p>
    <w:p>
      <w:pPr>
        <w:jc w:val="right"/>
        <w:ind w:right="59"/>
        <w:spacing w:after="0"/>
        <w:rPr>
          <w:sz w:val="20"/>
          <w:szCs w:val="20"/>
          <w:color w:val="auto"/>
        </w:rPr>
      </w:pPr>
      <w:r>
        <w:rPr>
          <w:rFonts w:ascii="Arial" w:cs="Arial" w:eastAsia="Arial" w:hAnsi="Arial"/>
          <w:sz w:val="17"/>
          <w:szCs w:val="17"/>
          <w:color w:val="auto"/>
        </w:rPr>
        <w:t>2019 Form 10-K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81" w:name="page82"/>
    <w:bookmarkEnd w:id="81"/>
    <w:p>
      <w:pPr>
        <w:ind w:left="4180"/>
        <w:spacing w:after="0"/>
        <w:rPr>
          <w:sz w:val="20"/>
          <w:szCs w:val="20"/>
          <w:color w:val="auto"/>
        </w:rPr>
      </w:pPr>
      <w:r>
        <w:rPr>
          <w:rFonts w:ascii="Arial" w:cs="Arial" w:eastAsia="Arial" w:hAnsi="Arial"/>
          <w:sz w:val="17"/>
          <w:szCs w:val="17"/>
          <w:b w:val="1"/>
          <w:bCs w:val="1"/>
          <w:color w:val="auto"/>
        </w:rPr>
        <w:t>PART IV</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15. Exhibits and Financial Statement Schedules</w:t>
      </w:r>
    </w:p>
    <w:p>
      <w:pPr>
        <w:spacing w:after="0" w:line="23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(a)(1) and (2) Financial Statements</w:t>
      </w:r>
    </w:p>
    <w:p>
      <w:pPr>
        <w:spacing w:after="0" w:line="210" w:lineRule="exact"/>
        <w:rPr>
          <w:sz w:val="20"/>
          <w:szCs w:val="20"/>
          <w:color w:val="auto"/>
        </w:rPr>
      </w:pPr>
    </w:p>
    <w:p>
      <w:pPr>
        <w:jc w:val="both"/>
        <w:ind w:left="700" w:right="59"/>
        <w:spacing w:after="0" w:line="236" w:lineRule="auto"/>
        <w:rPr>
          <w:sz w:val="20"/>
          <w:szCs w:val="20"/>
          <w:color w:val="auto"/>
        </w:rPr>
      </w:pPr>
      <w:r>
        <w:rPr>
          <w:rFonts w:ascii="Arial" w:cs="Arial" w:eastAsia="Arial" w:hAnsi="Arial"/>
          <w:sz w:val="17"/>
          <w:szCs w:val="17"/>
          <w:color w:val="auto"/>
        </w:rPr>
        <w:t>The list of financial statements required by this item is set forth in Item 8. “Consolidated Financial Statements and Supplementary Data.” All other schedules specified under Regulation S-X have been omitted because they are not applicable, because they are not required, or because the information required is included in the financial statements or notes thereto.</w:t>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(a)(3) and (c) Exhibits</w:t>
      </w:r>
    </w:p>
    <w:p>
      <w:pPr>
        <w:spacing w:after="0" w:line="210" w:lineRule="exact"/>
        <w:rPr>
          <w:sz w:val="20"/>
          <w:szCs w:val="20"/>
          <w:color w:val="auto"/>
        </w:rPr>
      </w:pPr>
    </w:p>
    <w:p>
      <w:pPr>
        <w:jc w:val="both"/>
        <w:ind w:left="700" w:right="59"/>
        <w:spacing w:after="0" w:line="243" w:lineRule="auto"/>
        <w:rPr>
          <w:sz w:val="20"/>
          <w:szCs w:val="20"/>
          <w:color w:val="auto"/>
        </w:rPr>
      </w:pPr>
      <w:r>
        <w:rPr>
          <w:rFonts w:ascii="Arial" w:cs="Arial" w:eastAsia="Arial" w:hAnsi="Arial"/>
          <w:sz w:val="17"/>
          <w:szCs w:val="17"/>
          <w:color w:val="auto"/>
        </w:rPr>
        <w:t>An index of the exhibits which are required by this item and which are included or incorporated herein by reference in this report appears on pages 79 through 82.</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16. Form 10-K Summary</w:t>
      </w:r>
    </w:p>
    <w:p>
      <w:pPr>
        <w:spacing w:after="0" w:line="2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59"/>
        <w:spacing w:after="0"/>
        <w:rPr>
          <w:sz w:val="20"/>
          <w:szCs w:val="20"/>
          <w:color w:val="auto"/>
        </w:rPr>
      </w:pPr>
      <w:r>
        <w:rPr>
          <w:rFonts w:ascii="Arial" w:cs="Arial" w:eastAsia="Arial" w:hAnsi="Arial"/>
          <w:sz w:val="17"/>
          <w:szCs w:val="17"/>
          <w:color w:val="auto"/>
        </w:rPr>
        <w:t>2019 Form 10-K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82" w:name="page83"/>
    <w:bookmarkEnd w:id="82"/>
    <w:tbl>
      <w:tblPr>
        <w:tblLayout w:type="fixed"/>
        <w:tblInd w:w="60" w:type="dxa"/>
        <w:tblCellMar>
          <w:top w:w="0" w:type="dxa"/>
          <w:left w:w="0" w:type="dxa"/>
          <w:bottom w:w="0" w:type="dxa"/>
          <w:right w:w="0" w:type="dxa"/>
        </w:tblCellMar>
      </w:tblPr>
      <w:tr>
        <w:trPr>
          <w:trHeight w:val="225"/>
        </w:trPr>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gridSpan w:val="16"/>
          </w:tcPr>
          <w:p>
            <w:pPr>
              <w:ind w:left="220"/>
              <w:spacing w:after="0"/>
              <w:rPr>
                <w:sz w:val="20"/>
                <w:szCs w:val="20"/>
                <w:color w:val="auto"/>
              </w:rPr>
            </w:pPr>
            <w:r>
              <w:rPr>
                <w:rFonts w:ascii="Arial" w:cs="Arial" w:eastAsia="Arial" w:hAnsi="Arial"/>
                <w:sz w:val="17"/>
                <w:szCs w:val="17"/>
                <w:b w:val="1"/>
                <w:bCs w:val="1"/>
                <w:color w:val="auto"/>
              </w:rPr>
              <w:t>FOOT LOCKER, INC.</w:t>
            </w:r>
          </w:p>
        </w:tc>
      </w:tr>
      <w:tr>
        <w:trPr>
          <w:trHeight w:val="405"/>
        </w:trPr>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16"/>
          </w:tcPr>
          <w:p>
            <w:pPr>
              <w:ind w:left="240"/>
              <w:spacing w:after="0"/>
              <w:rPr>
                <w:sz w:val="20"/>
                <w:szCs w:val="20"/>
                <w:color w:val="auto"/>
              </w:rPr>
            </w:pPr>
            <w:r>
              <w:rPr>
                <w:rFonts w:ascii="Arial" w:cs="Arial" w:eastAsia="Arial" w:hAnsi="Arial"/>
                <w:sz w:val="17"/>
                <w:szCs w:val="17"/>
                <w:b w:val="1"/>
                <w:bCs w:val="1"/>
                <w:color w:val="auto"/>
              </w:rPr>
              <w:t>INDEX OF EXHIBITS</w:t>
            </w:r>
          </w:p>
        </w:tc>
      </w:tr>
      <w:tr>
        <w:trPr>
          <w:trHeight w:val="396"/>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Exhibit No.</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14"/>
          </w:tcPr>
          <w:p>
            <w:pPr>
              <w:ind w:left="20"/>
              <w:spacing w:after="0"/>
              <w:rPr>
                <w:sz w:val="20"/>
                <w:szCs w:val="20"/>
                <w:color w:val="auto"/>
              </w:rPr>
            </w:pPr>
            <w:r>
              <w:rPr>
                <w:rFonts w:ascii="Arial" w:cs="Arial" w:eastAsia="Arial" w:hAnsi="Arial"/>
                <w:sz w:val="17"/>
                <w:szCs w:val="17"/>
                <w:b w:val="1"/>
                <w:bCs w:val="1"/>
                <w:color w:val="auto"/>
              </w:rPr>
              <w:t>Description</w:t>
            </w:r>
          </w:p>
        </w:tc>
      </w:tr>
      <w:tr>
        <w:trPr>
          <w:trHeight w:val="156"/>
        </w:trPr>
        <w:tc>
          <w:tcPr>
            <w:tcW w:w="940" w:type="dxa"/>
            <w:vAlign w:val="bottom"/>
          </w:tcPr>
          <w:p>
            <w:pPr>
              <w:jc w:val="center"/>
              <w:spacing w:after="0" w:line="155" w:lineRule="exact"/>
              <w:rPr>
                <w:sz w:val="20"/>
                <w:szCs w:val="20"/>
                <w:color w:val="auto"/>
              </w:rPr>
            </w:pPr>
            <w:r>
              <w:rPr>
                <w:rFonts w:ascii="Arial" w:cs="Arial" w:eastAsia="Arial" w:hAnsi="Arial"/>
                <w:sz w:val="17"/>
                <w:szCs w:val="17"/>
                <w:color w:val="auto"/>
              </w:rPr>
              <w:t>3.1</w:t>
            </w:r>
          </w:p>
        </w:tc>
        <w:tc>
          <w:tcPr>
            <w:tcW w:w="28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7660" w:type="dxa"/>
            <w:vAlign w:val="bottom"/>
            <w:tcBorders>
              <w:bottom w:val="single" w:sz="8" w:color="0000EE"/>
            </w:tcBorders>
            <w:gridSpan w:val="22"/>
          </w:tcPr>
          <w:p>
            <w:pPr>
              <w:spacing w:after="0" w:line="155" w:lineRule="exact"/>
              <w:rPr>
                <w:rFonts w:ascii="Arial" w:cs="Arial" w:eastAsia="Arial" w:hAnsi="Arial"/>
                <w:sz w:val="17"/>
                <w:szCs w:val="17"/>
                <w:color w:val="0000EE"/>
              </w:rPr>
            </w:pPr>
            <w:hyperlink r:id="rId138">
              <w:r>
                <w:rPr>
                  <w:rFonts w:ascii="Arial" w:cs="Arial" w:eastAsia="Arial" w:hAnsi="Arial"/>
                  <w:sz w:val="17"/>
                  <w:szCs w:val="17"/>
                  <w:color w:val="0000EE"/>
                </w:rPr>
                <w:t>Certificate of Incorporation of the Registrant, as filed by the Department of State of the State of New</w:t>
              </w:r>
            </w:hyperlink>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tcBorders>
              <w:bottom w:val="single" w:sz="8" w:color="0000EE"/>
            </w:tcBorders>
            <w:gridSpan w:val="23"/>
          </w:tcPr>
          <w:p>
            <w:pPr>
              <w:spacing w:after="0" w:line="169" w:lineRule="exact"/>
              <w:rPr>
                <w:rFonts w:ascii="Arial" w:cs="Arial" w:eastAsia="Arial" w:hAnsi="Arial"/>
                <w:sz w:val="17"/>
                <w:szCs w:val="17"/>
                <w:color w:val="0000EE"/>
              </w:rPr>
            </w:pPr>
            <w:hyperlink r:id="rId138">
              <w:r>
                <w:rPr>
                  <w:rFonts w:ascii="Arial" w:cs="Arial" w:eastAsia="Arial" w:hAnsi="Arial"/>
                  <w:sz w:val="17"/>
                  <w:szCs w:val="17"/>
                  <w:color w:val="0000EE"/>
                </w:rPr>
                <w:t>York on April 7, 1989 (incorporated herein by reference to Exhibit 3(i)(a) to the Quarterly Report on</w:t>
              </w:r>
            </w:hyperlink>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tcBorders>
              <w:bottom w:val="single" w:sz="8" w:color="0000EE"/>
            </w:tcBorders>
            <w:gridSpan w:val="23"/>
          </w:tcPr>
          <w:p>
            <w:pPr>
              <w:spacing w:after="0" w:line="169" w:lineRule="exact"/>
              <w:rPr>
                <w:rFonts w:ascii="Arial" w:cs="Arial" w:eastAsia="Arial" w:hAnsi="Arial"/>
                <w:sz w:val="17"/>
                <w:szCs w:val="17"/>
                <w:color w:val="0000EE"/>
              </w:rPr>
            </w:pPr>
            <w:hyperlink r:id="rId138">
              <w:r>
                <w:rPr>
                  <w:rFonts w:ascii="Arial" w:cs="Arial" w:eastAsia="Arial" w:hAnsi="Arial"/>
                  <w:sz w:val="17"/>
                  <w:szCs w:val="17"/>
                  <w:color w:val="0000EE"/>
                </w:rPr>
                <w:t>Form 10-Q for the quarterly period ended July 26, 1997 filed on September 4, 1997 (the</w:t>
              </w:r>
            </w:hyperlink>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Borders>
              <w:bottom w:val="single" w:sz="8" w:color="0000EE"/>
            </w:tcBorders>
            <w:gridSpan w:val="7"/>
          </w:tcPr>
          <w:p>
            <w:pPr>
              <w:spacing w:after="0" w:line="169" w:lineRule="exact"/>
              <w:rPr>
                <w:rFonts w:ascii="Arial" w:cs="Arial" w:eastAsia="Arial" w:hAnsi="Arial"/>
                <w:sz w:val="17"/>
                <w:szCs w:val="17"/>
                <w:color w:val="0000EE"/>
                <w:w w:val="99"/>
              </w:rPr>
            </w:pPr>
            <w:hyperlink r:id="rId138">
              <w:r>
                <w:rPr>
                  <w:rFonts w:ascii="Arial" w:cs="Arial" w:eastAsia="Arial" w:hAnsi="Arial"/>
                  <w:sz w:val="17"/>
                  <w:szCs w:val="17"/>
                  <w:color w:val="0000EE"/>
                  <w:w w:val="99"/>
                </w:rPr>
                <w:t>“July 26, 1997 Form 10-Q”)).</w:t>
              </w:r>
            </w:hyperlink>
          </w:p>
        </w:tc>
        <w:tc>
          <w:tcPr>
            <w:tcW w:w="5520" w:type="dxa"/>
            <w:vAlign w:val="bottom"/>
            <w:gridSpan w:val="16"/>
          </w:tcPr>
          <w:p>
            <w:pPr>
              <w:spacing w:after="0"/>
              <w:rPr>
                <w:sz w:val="14"/>
                <w:szCs w:val="14"/>
                <w:color w:val="auto"/>
              </w:rPr>
            </w:pPr>
          </w:p>
        </w:tc>
      </w:tr>
      <w:tr>
        <w:trPr>
          <w:trHeight w:val="379"/>
        </w:trPr>
        <w:tc>
          <w:tcPr>
            <w:tcW w:w="940" w:type="dxa"/>
            <w:vAlign w:val="bottom"/>
          </w:tcPr>
          <w:p>
            <w:pPr>
              <w:jc w:val="center"/>
              <w:spacing w:after="0"/>
              <w:rPr>
                <w:sz w:val="20"/>
                <w:szCs w:val="20"/>
                <w:color w:val="auto"/>
              </w:rPr>
            </w:pPr>
            <w:r>
              <w:rPr>
                <w:rFonts w:ascii="Arial" w:cs="Arial" w:eastAsia="Arial" w:hAnsi="Arial"/>
                <w:sz w:val="17"/>
                <w:szCs w:val="17"/>
                <w:color w:val="auto"/>
              </w:rPr>
              <w:t>3.2</w:t>
            </w:r>
          </w:p>
        </w:tc>
        <w:tc>
          <w:tcPr>
            <w:tcW w:w="280" w:type="dxa"/>
            <w:vAlign w:val="bottom"/>
          </w:tcPr>
          <w:p>
            <w:pPr>
              <w:spacing w:after="0"/>
              <w:rPr>
                <w:sz w:val="24"/>
                <w:szCs w:val="24"/>
                <w:color w:val="auto"/>
              </w:rPr>
            </w:pPr>
          </w:p>
        </w:tc>
        <w:tc>
          <w:tcPr>
            <w:tcW w:w="7680" w:type="dxa"/>
            <w:vAlign w:val="bottom"/>
            <w:gridSpan w:val="23"/>
          </w:tcPr>
          <w:p>
            <w:pPr>
              <w:spacing w:after="0"/>
              <w:rPr>
                <w:sz w:val="20"/>
                <w:szCs w:val="20"/>
                <w:color w:val="auto"/>
              </w:rPr>
            </w:pPr>
            <w:r>
              <w:rPr>
                <w:rFonts w:ascii="Arial" w:cs="Arial" w:eastAsia="Arial" w:hAnsi="Arial"/>
                <w:sz w:val="17"/>
                <w:szCs w:val="17"/>
                <w:color w:val="auto"/>
              </w:rPr>
              <w:t>Certificates of Amendment of the Certificate of Incorporation of the Registrant, as filed by the</w:t>
            </w:r>
          </w:p>
        </w:tc>
      </w:tr>
      <w:tr>
        <w:trPr>
          <w:trHeight w:val="189"/>
        </w:trPr>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80" w:type="dxa"/>
            <w:vAlign w:val="bottom"/>
            <w:gridSpan w:val="23"/>
          </w:tcPr>
          <w:p>
            <w:pPr>
              <w:spacing w:after="0" w:line="189" w:lineRule="exact"/>
              <w:rPr>
                <w:sz w:val="20"/>
                <w:szCs w:val="20"/>
                <w:color w:val="auto"/>
              </w:rPr>
            </w:pPr>
            <w:r>
              <w:rPr>
                <w:rFonts w:ascii="Arial" w:cs="Arial" w:eastAsia="Arial" w:hAnsi="Arial"/>
                <w:sz w:val="17"/>
                <w:szCs w:val="17"/>
                <w:color w:val="auto"/>
              </w:rPr>
              <w:t>Department of State of the State of New York on (a) July 20, 1989, (b) July 24, 1990, (c) July 9, 1997</w:t>
            </w:r>
          </w:p>
        </w:tc>
      </w:tr>
      <w:tr>
        <w:trPr>
          <w:trHeight w:val="168"/>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gridSpan w:val="23"/>
          </w:tcPr>
          <w:p>
            <w:pPr>
              <w:spacing w:after="0" w:line="168" w:lineRule="exact"/>
              <w:rPr>
                <w:rFonts w:ascii="Arial" w:cs="Arial" w:eastAsia="Arial" w:hAnsi="Arial"/>
                <w:sz w:val="17"/>
                <w:szCs w:val="17"/>
                <w:color w:val="0000EE"/>
              </w:rPr>
            </w:pPr>
            <w:hyperlink r:id="rId138">
              <w:r>
                <w:rPr>
                  <w:rFonts w:ascii="Arial" w:cs="Arial" w:eastAsia="Arial" w:hAnsi="Arial"/>
                  <w:sz w:val="17"/>
                  <w:szCs w:val="17"/>
                  <w:color w:val="0000EE"/>
                </w:rPr>
                <w:t>(incorporated herein by reference to Exhibit 3(i)(b) to the July 26, 1997 Form 10-Q)</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(d) June 11,</w:t>
            </w:r>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gridSpan w:val="23"/>
          </w:tcPr>
          <w:p>
            <w:pPr>
              <w:spacing w:after="0" w:line="169" w:lineRule="exact"/>
              <w:rPr>
                <w:rFonts w:ascii="Arial" w:cs="Arial" w:eastAsia="Arial" w:hAnsi="Arial"/>
                <w:sz w:val="17"/>
                <w:szCs w:val="17"/>
                <w:color w:val="auto"/>
              </w:rPr>
            </w:pPr>
            <w:hyperlink r:id="rId139">
              <w:r>
                <w:rPr>
                  <w:rFonts w:ascii="Arial" w:cs="Arial" w:eastAsia="Arial" w:hAnsi="Arial"/>
                  <w:sz w:val="17"/>
                  <w:szCs w:val="17"/>
                  <w:color w:val="auto"/>
                </w:rPr>
                <w:t xml:space="preserve">1998 </w:t>
              </w:r>
              <w:r>
                <w:rPr>
                  <w:rFonts w:ascii="Arial" w:cs="Arial" w:eastAsia="Arial" w:hAnsi="Arial"/>
                  <w:sz w:val="17"/>
                  <w:szCs w:val="17"/>
                  <w:color w:val="0000EE"/>
                </w:rPr>
                <w:t>(incorporated herein by reference to Exhibit 4.2(a) to the Registration Statement on Form S-8</w:t>
              </w:r>
            </w:hyperlink>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gridSpan w:val="23"/>
          </w:tcPr>
          <w:p>
            <w:pPr>
              <w:spacing w:after="0" w:line="169" w:lineRule="exact"/>
              <w:rPr>
                <w:rFonts w:ascii="Arial" w:cs="Arial" w:eastAsia="Arial" w:hAnsi="Arial"/>
                <w:sz w:val="17"/>
                <w:szCs w:val="17"/>
                <w:color w:val="0000EE"/>
              </w:rPr>
            </w:pPr>
            <w:hyperlink r:id="rId140">
              <w:r>
                <w:rPr>
                  <w:rFonts w:ascii="Arial" w:cs="Arial" w:eastAsia="Arial" w:hAnsi="Arial"/>
                  <w:sz w:val="17"/>
                  <w:szCs w:val="17"/>
                  <w:color w:val="0000EE"/>
                </w:rPr>
                <w:t>(Registration No. 333-62425) (the “1998 Form S-8”))</w:t>
              </w:r>
              <w:r>
                <w:rPr>
                  <w:rFonts w:ascii="Arial" w:cs="Arial" w:eastAsia="Arial" w:hAnsi="Arial"/>
                  <w:sz w:val="17"/>
                  <w:szCs w:val="17"/>
                  <w:color w:val="000000"/>
                </w:rPr>
                <w:t>, (e) November 1, 2001</w:t>
              </w:r>
              <w:r>
                <w:rPr>
                  <w:rFonts w:ascii="Arial" w:cs="Arial" w:eastAsia="Arial" w:hAnsi="Arial"/>
                  <w:sz w:val="17"/>
                  <w:szCs w:val="17"/>
                  <w:color w:val="0000EE"/>
                </w:rPr>
                <w:t xml:space="preserve"> (incorporated herein by</w:t>
              </w:r>
            </w:hyperlink>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tcBorders>
              <w:bottom w:val="single" w:sz="8" w:color="0000EE"/>
            </w:tcBorders>
            <w:gridSpan w:val="23"/>
          </w:tcPr>
          <w:p>
            <w:pPr>
              <w:spacing w:after="0" w:line="169" w:lineRule="exact"/>
              <w:rPr>
                <w:rFonts w:ascii="Arial" w:cs="Arial" w:eastAsia="Arial" w:hAnsi="Arial"/>
                <w:sz w:val="17"/>
                <w:szCs w:val="17"/>
                <w:color w:val="0000EE"/>
              </w:rPr>
            </w:pPr>
            <w:hyperlink r:id="rId140">
              <w:r>
                <w:rPr>
                  <w:rFonts w:ascii="Arial" w:cs="Arial" w:eastAsia="Arial" w:hAnsi="Arial"/>
                  <w:sz w:val="17"/>
                  <w:szCs w:val="17"/>
                  <w:color w:val="0000EE"/>
                </w:rPr>
                <w:t>reference to Exhibit 4.2 to the Registration Statement on Form S-8 (Registration No. 333-74688) (the</w:t>
              </w:r>
            </w:hyperlink>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gridSpan w:val="23"/>
          </w:tcPr>
          <w:p>
            <w:pPr>
              <w:spacing w:after="0" w:line="169" w:lineRule="exact"/>
              <w:rPr>
                <w:rFonts w:ascii="Arial" w:cs="Arial" w:eastAsia="Arial" w:hAnsi="Arial"/>
                <w:sz w:val="17"/>
                <w:szCs w:val="17"/>
                <w:color w:val="0000EE"/>
              </w:rPr>
            </w:pPr>
            <w:hyperlink r:id="rId141">
              <w:r>
                <w:rPr>
                  <w:rFonts w:ascii="Arial" w:cs="Arial" w:eastAsia="Arial" w:hAnsi="Arial"/>
                  <w:sz w:val="17"/>
                  <w:szCs w:val="17"/>
                  <w:color w:val="0000EE"/>
                </w:rPr>
                <w:t>“2001 Form S-8”))</w:t>
              </w:r>
              <w:r>
                <w:rPr>
                  <w:rFonts w:ascii="Arial" w:cs="Arial" w:eastAsia="Arial" w:hAnsi="Arial"/>
                  <w:sz w:val="17"/>
                  <w:szCs w:val="17"/>
                  <w:color w:val="000000"/>
                </w:rPr>
                <w:t>, and (f) May 28, 2014</w:t>
              </w:r>
              <w:r>
                <w:rPr>
                  <w:rFonts w:ascii="Arial" w:cs="Arial" w:eastAsia="Arial" w:hAnsi="Arial"/>
                  <w:sz w:val="17"/>
                  <w:szCs w:val="17"/>
                  <w:color w:val="0000EE"/>
                </w:rPr>
                <w:t xml:space="preserve"> (incorporated herein by reference to Exhibit 3.1 to the</w:t>
              </w:r>
            </w:hyperlink>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gridSpan w:val="23"/>
          </w:tcPr>
          <w:p>
            <w:pPr>
              <w:spacing w:after="0" w:line="169" w:lineRule="exact"/>
              <w:rPr>
                <w:rFonts w:ascii="Arial" w:cs="Arial" w:eastAsia="Arial" w:hAnsi="Arial"/>
                <w:sz w:val="17"/>
                <w:szCs w:val="17"/>
                <w:color w:val="0000EE"/>
              </w:rPr>
            </w:pPr>
            <w:hyperlink r:id="rId141">
              <w:r>
                <w:rPr>
                  <w:rFonts w:ascii="Arial" w:cs="Arial" w:eastAsia="Arial" w:hAnsi="Arial"/>
                  <w:sz w:val="17"/>
                  <w:szCs w:val="17"/>
                  <w:color w:val="0000EE"/>
                </w:rPr>
                <w:t>Current Report on Form 8-K dated May 21, 2014 filed on May 28, 2014)</w:t>
              </w:r>
              <w:r>
                <w:rPr>
                  <w:rFonts w:ascii="Arial" w:cs="Arial" w:eastAsia="Arial" w:hAnsi="Arial"/>
                  <w:sz w:val="17"/>
                  <w:szCs w:val="17"/>
                  <w:color w:val="000000"/>
                </w:rPr>
                <w:t>.</w:t>
              </w:r>
            </w:hyperlink>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40" w:type="dxa"/>
            <w:vAlign w:val="bottom"/>
          </w:tcPr>
          <w:p>
            <w:pPr>
              <w:jc w:val="center"/>
              <w:spacing w:after="0"/>
              <w:rPr>
                <w:sz w:val="20"/>
                <w:szCs w:val="20"/>
                <w:color w:val="auto"/>
              </w:rPr>
            </w:pPr>
            <w:r>
              <w:rPr>
                <w:rFonts w:ascii="Arial" w:cs="Arial" w:eastAsia="Arial" w:hAnsi="Arial"/>
                <w:sz w:val="17"/>
                <w:szCs w:val="17"/>
                <w:color w:val="auto"/>
              </w:rPr>
              <w:t>3.3</w:t>
            </w:r>
          </w:p>
        </w:tc>
        <w:tc>
          <w:tcPr>
            <w:tcW w:w="280" w:type="dxa"/>
            <w:vAlign w:val="bottom"/>
          </w:tcPr>
          <w:p>
            <w:pPr>
              <w:spacing w:after="0"/>
              <w:rPr>
                <w:sz w:val="24"/>
                <w:szCs w:val="24"/>
                <w:color w:val="auto"/>
              </w:rPr>
            </w:pPr>
          </w:p>
        </w:tc>
        <w:tc>
          <w:tcPr>
            <w:tcW w:w="7680" w:type="dxa"/>
            <w:vAlign w:val="bottom"/>
            <w:tcBorders>
              <w:bottom w:val="single" w:sz="8" w:color="0000EE"/>
            </w:tcBorders>
            <w:gridSpan w:val="23"/>
          </w:tcPr>
          <w:p>
            <w:pPr>
              <w:spacing w:after="0"/>
              <w:rPr>
                <w:rFonts w:ascii="Arial" w:cs="Arial" w:eastAsia="Arial" w:hAnsi="Arial"/>
                <w:sz w:val="17"/>
                <w:szCs w:val="17"/>
                <w:color w:val="0000EE"/>
              </w:rPr>
            </w:pPr>
            <w:hyperlink r:id="rId142">
              <w:r>
                <w:rPr>
                  <w:rFonts w:ascii="Arial" w:cs="Arial" w:eastAsia="Arial" w:hAnsi="Arial"/>
                  <w:sz w:val="17"/>
                  <w:szCs w:val="17"/>
                  <w:color w:val="0000EE"/>
                </w:rPr>
                <w:t>By-Laws of the Registrant, as amended (incorporated herein by reference to Exhibit 3.1 to the</w:t>
              </w:r>
            </w:hyperlink>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gridSpan w:val="23"/>
          </w:tcPr>
          <w:p>
            <w:pPr>
              <w:spacing w:after="0" w:line="169" w:lineRule="exact"/>
              <w:rPr>
                <w:rFonts w:ascii="Arial" w:cs="Arial" w:eastAsia="Arial" w:hAnsi="Arial"/>
                <w:sz w:val="17"/>
                <w:szCs w:val="17"/>
                <w:color w:val="0000EE"/>
              </w:rPr>
            </w:pPr>
            <w:hyperlink r:id="rId142">
              <w:r>
                <w:rPr>
                  <w:rFonts w:ascii="Arial" w:cs="Arial" w:eastAsia="Arial" w:hAnsi="Arial"/>
                  <w:sz w:val="17"/>
                  <w:szCs w:val="17"/>
                  <w:color w:val="0000EE"/>
                </w:rPr>
                <w:t>Current Report on Form 8-K dated February 20, 2018 filed on February 22, 2018).</w:t>
              </w:r>
            </w:hyperlink>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9"/>
        </w:trPr>
        <w:tc>
          <w:tcPr>
            <w:tcW w:w="940" w:type="dxa"/>
            <w:vAlign w:val="bottom"/>
          </w:tcPr>
          <w:p>
            <w:pPr>
              <w:jc w:val="center"/>
              <w:spacing w:after="0"/>
              <w:rPr>
                <w:sz w:val="20"/>
                <w:szCs w:val="20"/>
                <w:color w:val="auto"/>
              </w:rPr>
            </w:pPr>
            <w:r>
              <w:rPr>
                <w:rFonts w:ascii="Arial" w:cs="Arial" w:eastAsia="Arial" w:hAnsi="Arial"/>
                <w:sz w:val="17"/>
                <w:szCs w:val="17"/>
                <w:color w:val="auto"/>
              </w:rPr>
              <w:t>4.1</w:t>
            </w:r>
          </w:p>
        </w:tc>
        <w:tc>
          <w:tcPr>
            <w:tcW w:w="280" w:type="dxa"/>
            <w:vAlign w:val="bottom"/>
          </w:tcPr>
          <w:p>
            <w:pPr>
              <w:spacing w:after="0"/>
              <w:rPr>
                <w:sz w:val="24"/>
                <w:szCs w:val="24"/>
                <w:color w:val="auto"/>
              </w:rPr>
            </w:pPr>
          </w:p>
        </w:tc>
        <w:tc>
          <w:tcPr>
            <w:tcW w:w="7680" w:type="dxa"/>
            <w:vAlign w:val="bottom"/>
            <w:gridSpan w:val="23"/>
          </w:tcPr>
          <w:p>
            <w:pPr>
              <w:spacing w:after="0"/>
              <w:rPr>
                <w:sz w:val="20"/>
                <w:szCs w:val="20"/>
                <w:color w:val="auto"/>
              </w:rPr>
            </w:pPr>
            <w:r>
              <w:rPr>
                <w:rFonts w:ascii="Arial" w:cs="Arial" w:eastAsia="Arial" w:hAnsi="Arial"/>
                <w:sz w:val="17"/>
                <w:szCs w:val="17"/>
                <w:color w:val="auto"/>
              </w:rPr>
              <w:t>The rights of holders of the Registrant’s equity securities are defined in the Registrant’s Certificate of</w:t>
            </w:r>
          </w:p>
        </w:tc>
      </w:tr>
      <w:tr>
        <w:trPr>
          <w:trHeight w:val="168"/>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gridSpan w:val="23"/>
          </w:tcPr>
          <w:p>
            <w:pPr>
              <w:spacing w:after="0" w:line="168" w:lineRule="exact"/>
              <w:rPr>
                <w:rFonts w:ascii="Arial" w:cs="Arial" w:eastAsia="Arial" w:hAnsi="Arial"/>
                <w:sz w:val="17"/>
                <w:szCs w:val="17"/>
                <w:color w:val="auto"/>
              </w:rPr>
            </w:pPr>
            <w:hyperlink r:id="rId138">
              <w:r>
                <w:rPr>
                  <w:rFonts w:ascii="Arial" w:cs="Arial" w:eastAsia="Arial" w:hAnsi="Arial"/>
                  <w:sz w:val="17"/>
                  <w:szCs w:val="17"/>
                  <w:color w:val="auto"/>
                </w:rPr>
                <w:t xml:space="preserve">Incorporation, as amended (incorporated herein by reference to </w:t>
              </w:r>
              <w:r>
                <w:rPr>
                  <w:rFonts w:ascii="Arial" w:cs="Arial" w:eastAsia="Arial" w:hAnsi="Arial"/>
                  <w:sz w:val="17"/>
                  <w:szCs w:val="17"/>
                  <w:color w:val="0000EE"/>
                </w:rPr>
                <w:t>(a) Exhibits 3(i)(a) and 3(i)(b) to the</w:t>
              </w:r>
            </w:hyperlink>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gridSpan w:val="23"/>
          </w:tcPr>
          <w:p>
            <w:pPr>
              <w:spacing w:after="0" w:line="169" w:lineRule="exact"/>
              <w:rPr>
                <w:rFonts w:ascii="Arial" w:cs="Arial" w:eastAsia="Arial" w:hAnsi="Arial"/>
                <w:sz w:val="17"/>
                <w:szCs w:val="17"/>
                <w:color w:val="0000EE"/>
              </w:rPr>
            </w:pPr>
            <w:hyperlink r:id="rId138">
              <w:r>
                <w:rPr>
                  <w:rFonts w:ascii="Arial" w:cs="Arial" w:eastAsia="Arial" w:hAnsi="Arial"/>
                  <w:sz w:val="17"/>
                  <w:szCs w:val="17"/>
                  <w:color w:val="0000EE"/>
                </w:rPr>
                <w:t>July 26, 1997 Form 10-Q</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39">
              <w:r>
                <w:rPr>
                  <w:rFonts w:ascii="Arial" w:cs="Arial" w:eastAsia="Arial" w:hAnsi="Arial"/>
                  <w:sz w:val="17"/>
                  <w:szCs w:val="17"/>
                  <w:color w:val="0000EE"/>
                </w:rPr>
                <w:t>Exhibit 4.2(a) to the 1998 Form S-8</w:t>
              </w:r>
            </w:hyperlink>
            <w:hyperlink r:id="rId138">
              <w:r>
                <w:rPr>
                  <w:rFonts w:ascii="Arial" w:cs="Arial" w:eastAsia="Arial" w:hAnsi="Arial"/>
                  <w:sz w:val="17"/>
                  <w:szCs w:val="17"/>
                  <w:color w:val="000000"/>
                </w:rPr>
                <w:t>, and</w:t>
              </w:r>
              <w:r>
                <w:rPr>
                  <w:rFonts w:ascii="Arial" w:cs="Arial" w:eastAsia="Arial" w:hAnsi="Arial"/>
                  <w:sz w:val="17"/>
                  <w:szCs w:val="17"/>
                  <w:color w:val="0000EE"/>
                </w:rPr>
                <w:t xml:space="preserve"> </w:t>
              </w:r>
            </w:hyperlink>
            <w:hyperlink r:id="rId140">
              <w:r>
                <w:rPr>
                  <w:rFonts w:ascii="Arial" w:cs="Arial" w:eastAsia="Arial" w:hAnsi="Arial"/>
                  <w:sz w:val="17"/>
                  <w:szCs w:val="17"/>
                  <w:color w:val="0000EE"/>
                </w:rPr>
                <w:t>Exhibit 4.2 to the 2001 Form S-8</w:t>
              </w:r>
            </w:hyperlink>
            <w:hyperlink r:id="rId138">
              <w:r>
                <w:rPr>
                  <w:rFonts w:ascii="Arial" w:cs="Arial" w:eastAsia="Arial" w:hAnsi="Arial"/>
                  <w:sz w:val="17"/>
                  <w:szCs w:val="17"/>
                  <w:color w:val="000000"/>
                </w:rPr>
                <w:t>.</w:t>
              </w:r>
            </w:hyperlink>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9"/>
        </w:trPr>
        <w:tc>
          <w:tcPr>
            <w:tcW w:w="940" w:type="dxa"/>
            <w:vAlign w:val="bottom"/>
          </w:tcPr>
          <w:p>
            <w:pPr>
              <w:jc w:val="center"/>
              <w:spacing w:after="0"/>
              <w:rPr>
                <w:sz w:val="20"/>
                <w:szCs w:val="20"/>
                <w:color w:val="auto"/>
              </w:rPr>
            </w:pPr>
            <w:r>
              <w:rPr>
                <w:rFonts w:ascii="Arial" w:cs="Arial" w:eastAsia="Arial" w:hAnsi="Arial"/>
                <w:sz w:val="17"/>
                <w:szCs w:val="17"/>
                <w:color w:val="auto"/>
              </w:rPr>
              <w:t>4.2</w:t>
            </w:r>
          </w:p>
        </w:tc>
        <w:tc>
          <w:tcPr>
            <w:tcW w:w="280" w:type="dxa"/>
            <w:vAlign w:val="bottom"/>
          </w:tcPr>
          <w:p>
            <w:pPr>
              <w:spacing w:after="0"/>
              <w:rPr>
                <w:sz w:val="24"/>
                <w:szCs w:val="24"/>
                <w:color w:val="auto"/>
              </w:rPr>
            </w:pPr>
          </w:p>
        </w:tc>
        <w:tc>
          <w:tcPr>
            <w:tcW w:w="7680" w:type="dxa"/>
            <w:vAlign w:val="bottom"/>
            <w:gridSpan w:val="23"/>
          </w:tcPr>
          <w:p>
            <w:pPr>
              <w:spacing w:after="0"/>
              <w:rPr>
                <w:sz w:val="20"/>
                <w:szCs w:val="20"/>
                <w:color w:val="auto"/>
              </w:rPr>
            </w:pPr>
            <w:r>
              <w:rPr>
                <w:rFonts w:ascii="Arial" w:cs="Arial" w:eastAsia="Arial" w:hAnsi="Arial"/>
                <w:sz w:val="17"/>
                <w:szCs w:val="17"/>
                <w:color w:val="auto"/>
              </w:rPr>
              <w:t>Indenture, dated as of October 10, 1991 (incorporated herein by reference to Exhibit 4.1 to the</w:t>
            </w:r>
          </w:p>
        </w:tc>
      </w:tr>
      <w:tr>
        <w:trPr>
          <w:trHeight w:val="205"/>
        </w:trPr>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80" w:type="dxa"/>
            <w:vAlign w:val="bottom"/>
            <w:gridSpan w:val="23"/>
          </w:tcPr>
          <w:p>
            <w:pPr>
              <w:spacing w:after="0"/>
              <w:rPr>
                <w:sz w:val="20"/>
                <w:szCs w:val="20"/>
                <w:color w:val="auto"/>
              </w:rPr>
            </w:pPr>
            <w:r>
              <w:rPr>
                <w:rFonts w:ascii="Arial" w:cs="Arial" w:eastAsia="Arial" w:hAnsi="Arial"/>
                <w:sz w:val="17"/>
                <w:szCs w:val="17"/>
                <w:color w:val="auto"/>
              </w:rPr>
              <w:t>Registration Statement on Form S-3 (Registration No. 33-43334)).</w:t>
            </w:r>
          </w:p>
        </w:tc>
      </w:tr>
      <w:tr>
        <w:trPr>
          <w:trHeight w:val="362"/>
        </w:trPr>
        <w:tc>
          <w:tcPr>
            <w:tcW w:w="940" w:type="dxa"/>
            <w:vAlign w:val="bottom"/>
          </w:tcPr>
          <w:p>
            <w:pPr>
              <w:jc w:val="center"/>
              <w:spacing w:after="0"/>
              <w:rPr>
                <w:sz w:val="20"/>
                <w:szCs w:val="20"/>
                <w:color w:val="auto"/>
              </w:rPr>
            </w:pPr>
            <w:r>
              <w:rPr>
                <w:rFonts w:ascii="Arial" w:cs="Arial" w:eastAsia="Arial" w:hAnsi="Arial"/>
                <w:sz w:val="17"/>
                <w:szCs w:val="17"/>
                <w:color w:val="auto"/>
              </w:rPr>
              <w:t>4.3</w:t>
            </w:r>
          </w:p>
        </w:tc>
        <w:tc>
          <w:tcPr>
            <w:tcW w:w="280" w:type="dxa"/>
            <w:vAlign w:val="bottom"/>
          </w:tcPr>
          <w:p>
            <w:pPr>
              <w:spacing w:after="0"/>
              <w:rPr>
                <w:sz w:val="24"/>
                <w:szCs w:val="24"/>
                <w:color w:val="auto"/>
              </w:rPr>
            </w:pPr>
          </w:p>
        </w:tc>
        <w:tc>
          <w:tcPr>
            <w:tcW w:w="7680" w:type="dxa"/>
            <w:vAlign w:val="bottom"/>
            <w:gridSpan w:val="23"/>
          </w:tcPr>
          <w:p>
            <w:pPr>
              <w:spacing w:after="0"/>
              <w:rPr>
                <w:sz w:val="20"/>
                <w:szCs w:val="20"/>
                <w:color w:val="auto"/>
              </w:rPr>
            </w:pPr>
            <w:r>
              <w:rPr>
                <w:rFonts w:ascii="Arial" w:cs="Arial" w:eastAsia="Arial" w:hAnsi="Arial"/>
                <w:sz w:val="17"/>
                <w:szCs w:val="17"/>
                <w:color w:val="auto"/>
              </w:rPr>
              <w:t>Form of 8-1/2% Debentures due 2022 (incorporated herein by reference to Exhibit 4 to the Current</w:t>
            </w:r>
          </w:p>
        </w:tc>
      </w:tr>
      <w:tr>
        <w:trPr>
          <w:trHeight w:val="205"/>
        </w:trPr>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80" w:type="dxa"/>
            <w:vAlign w:val="bottom"/>
            <w:gridSpan w:val="23"/>
          </w:tcPr>
          <w:p>
            <w:pPr>
              <w:spacing w:after="0"/>
              <w:rPr>
                <w:sz w:val="20"/>
                <w:szCs w:val="20"/>
                <w:color w:val="auto"/>
              </w:rPr>
            </w:pPr>
            <w:r>
              <w:rPr>
                <w:rFonts w:ascii="Arial" w:cs="Arial" w:eastAsia="Arial" w:hAnsi="Arial"/>
                <w:sz w:val="17"/>
                <w:szCs w:val="17"/>
                <w:color w:val="auto"/>
              </w:rPr>
              <w:t>Report on Form 8-K dated January 16, 1992).</w:t>
            </w:r>
          </w:p>
        </w:tc>
      </w:tr>
      <w:tr>
        <w:trPr>
          <w:trHeight w:val="342"/>
        </w:trPr>
        <w:tc>
          <w:tcPr>
            <w:tcW w:w="940" w:type="dxa"/>
            <w:vAlign w:val="bottom"/>
          </w:tcPr>
          <w:p>
            <w:pPr>
              <w:jc w:val="center"/>
              <w:spacing w:after="0"/>
              <w:rPr>
                <w:sz w:val="20"/>
                <w:szCs w:val="20"/>
                <w:color w:val="auto"/>
              </w:rPr>
            </w:pPr>
            <w:r>
              <w:rPr>
                <w:rFonts w:ascii="Arial" w:cs="Arial" w:eastAsia="Arial" w:hAnsi="Arial"/>
                <w:sz w:val="17"/>
                <w:szCs w:val="17"/>
                <w:color w:val="auto"/>
                <w:w w:val="99"/>
              </w:rPr>
              <w:t>4.4*</w:t>
            </w:r>
          </w:p>
        </w:tc>
        <w:tc>
          <w:tcPr>
            <w:tcW w:w="280" w:type="dxa"/>
            <w:vAlign w:val="bottom"/>
          </w:tcPr>
          <w:p>
            <w:pPr>
              <w:spacing w:after="0"/>
              <w:rPr>
                <w:sz w:val="24"/>
                <w:szCs w:val="24"/>
                <w:color w:val="auto"/>
              </w:rPr>
            </w:pPr>
          </w:p>
        </w:tc>
        <w:tc>
          <w:tcPr>
            <w:tcW w:w="2780" w:type="dxa"/>
            <w:vAlign w:val="bottom"/>
            <w:tcBorders>
              <w:bottom w:val="single" w:sz="8" w:color="0000EE"/>
            </w:tcBorders>
            <w:gridSpan w:val="8"/>
          </w:tcPr>
          <w:p>
            <w:pPr>
              <w:spacing w:after="0"/>
              <w:rPr>
                <w:rFonts w:ascii="Arial" w:cs="Arial" w:eastAsia="Arial" w:hAnsi="Arial"/>
                <w:sz w:val="17"/>
                <w:szCs w:val="17"/>
                <w:color w:val="0000EE"/>
                <w:w w:val="99"/>
              </w:rPr>
            </w:pPr>
            <w:hyperlink w:anchor="page89">
              <w:r>
                <w:rPr>
                  <w:rFonts w:ascii="Arial" w:cs="Arial" w:eastAsia="Arial" w:hAnsi="Arial"/>
                  <w:sz w:val="17"/>
                  <w:szCs w:val="17"/>
                  <w:color w:val="0000EE"/>
                  <w:w w:val="99"/>
                </w:rPr>
                <w:t>Description of Registrant’s Securities</w:t>
              </w:r>
            </w:hyperlink>
          </w:p>
        </w:tc>
        <w:tc>
          <w:tcPr>
            <w:tcW w:w="4900" w:type="dxa"/>
            <w:vAlign w:val="bottom"/>
            <w:gridSpan w:val="15"/>
          </w:tcPr>
          <w:p>
            <w:pPr>
              <w:spacing w:after="0"/>
              <w:rPr>
                <w:sz w:val="24"/>
                <w:szCs w:val="24"/>
                <w:color w:val="auto"/>
              </w:rPr>
            </w:pPr>
          </w:p>
        </w:tc>
      </w:tr>
      <w:tr>
        <w:trPr>
          <w:trHeight w:val="358"/>
        </w:trPr>
        <w:tc>
          <w:tcPr>
            <w:tcW w:w="940" w:type="dxa"/>
            <w:vAlign w:val="bottom"/>
          </w:tcPr>
          <w:p>
            <w:pPr>
              <w:jc w:val="center"/>
              <w:spacing w:after="0"/>
              <w:rPr>
                <w:sz w:val="20"/>
                <w:szCs w:val="20"/>
                <w:color w:val="auto"/>
              </w:rPr>
            </w:pPr>
            <w:r>
              <w:rPr>
                <w:rFonts w:ascii="Arial" w:cs="Arial" w:eastAsia="Arial" w:hAnsi="Arial"/>
                <w:sz w:val="17"/>
                <w:szCs w:val="17"/>
                <w:color w:val="auto"/>
              </w:rPr>
              <w:t>10.1</w:t>
            </w:r>
          </w:p>
        </w:tc>
        <w:tc>
          <w:tcPr>
            <w:tcW w:w="280" w:type="dxa"/>
            <w:vAlign w:val="bottom"/>
          </w:tcPr>
          <w:p>
            <w:pPr>
              <w:spacing w:after="0"/>
              <w:rPr>
                <w:sz w:val="24"/>
                <w:szCs w:val="24"/>
                <w:color w:val="auto"/>
              </w:rPr>
            </w:pPr>
          </w:p>
        </w:tc>
        <w:tc>
          <w:tcPr>
            <w:tcW w:w="7680" w:type="dxa"/>
            <w:vAlign w:val="bottom"/>
            <w:tcBorders>
              <w:bottom w:val="single" w:sz="8" w:color="0000EE"/>
            </w:tcBorders>
            <w:gridSpan w:val="23"/>
          </w:tcPr>
          <w:p>
            <w:pPr>
              <w:spacing w:after="0"/>
              <w:rPr>
                <w:rFonts w:ascii="Arial" w:cs="Arial" w:eastAsia="Arial" w:hAnsi="Arial"/>
                <w:sz w:val="17"/>
                <w:szCs w:val="17"/>
                <w:color w:val="0000EE"/>
              </w:rPr>
            </w:pPr>
            <w:hyperlink r:id="rId143">
              <w:r>
                <w:rPr>
                  <w:rFonts w:ascii="Arial" w:cs="Arial" w:eastAsia="Arial" w:hAnsi="Arial"/>
                  <w:sz w:val="17"/>
                  <w:szCs w:val="17"/>
                  <w:color w:val="0000EE"/>
                </w:rPr>
                <w:t>Credit Agreement, dated as of May 19, 2016, among Foot Locker, Inc., a New York corporation, the</w:t>
              </w:r>
            </w:hyperlink>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tcBorders>
              <w:bottom w:val="single" w:sz="8" w:color="0000EE"/>
            </w:tcBorders>
            <w:gridSpan w:val="23"/>
          </w:tcPr>
          <w:p>
            <w:pPr>
              <w:spacing w:after="0" w:line="169" w:lineRule="exact"/>
              <w:rPr>
                <w:rFonts w:ascii="Arial" w:cs="Arial" w:eastAsia="Arial" w:hAnsi="Arial"/>
                <w:sz w:val="17"/>
                <w:szCs w:val="17"/>
                <w:color w:val="0000EE"/>
              </w:rPr>
            </w:pPr>
            <w:hyperlink r:id="rId143">
              <w:r>
                <w:rPr>
                  <w:rFonts w:ascii="Arial" w:cs="Arial" w:eastAsia="Arial" w:hAnsi="Arial"/>
                  <w:sz w:val="17"/>
                  <w:szCs w:val="17"/>
                  <w:color w:val="0000EE"/>
                </w:rPr>
                <w:t>guarantors party thereto, the lenders party thereto and Wells Fargo, National Association, as agent,</w:t>
              </w:r>
            </w:hyperlink>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tcBorders>
              <w:bottom w:val="single" w:sz="8" w:color="0000EE"/>
            </w:tcBorders>
            <w:gridSpan w:val="23"/>
          </w:tcPr>
          <w:p>
            <w:pPr>
              <w:spacing w:after="0" w:line="169" w:lineRule="exact"/>
              <w:rPr>
                <w:rFonts w:ascii="Arial" w:cs="Arial" w:eastAsia="Arial" w:hAnsi="Arial"/>
                <w:sz w:val="17"/>
                <w:szCs w:val="17"/>
                <w:color w:val="0000EE"/>
              </w:rPr>
            </w:pPr>
            <w:hyperlink r:id="rId143">
              <w:r>
                <w:rPr>
                  <w:rFonts w:ascii="Arial" w:cs="Arial" w:eastAsia="Arial" w:hAnsi="Arial"/>
                  <w:sz w:val="17"/>
                  <w:szCs w:val="17"/>
                  <w:color w:val="0000EE"/>
                </w:rPr>
                <w:t>letter of credit issuer and swing line lender (incorporated herein by reference to Exhibit 10.1 to the</w:t>
              </w:r>
            </w:hyperlink>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gridSpan w:val="23"/>
          </w:tcPr>
          <w:p>
            <w:pPr>
              <w:spacing w:after="0" w:line="169" w:lineRule="exact"/>
              <w:rPr>
                <w:rFonts w:ascii="Arial" w:cs="Arial" w:eastAsia="Arial" w:hAnsi="Arial"/>
                <w:sz w:val="17"/>
                <w:szCs w:val="17"/>
                <w:color w:val="0000EE"/>
              </w:rPr>
            </w:pPr>
            <w:hyperlink r:id="rId143">
              <w:r>
                <w:rPr>
                  <w:rFonts w:ascii="Arial" w:cs="Arial" w:eastAsia="Arial" w:hAnsi="Arial"/>
                  <w:sz w:val="17"/>
                  <w:szCs w:val="17"/>
                  <w:color w:val="0000EE"/>
                </w:rPr>
                <w:t>Current Report on Form 8-K dated May 19, 2016 filed on May 19, 2016).</w:t>
              </w:r>
            </w:hyperlink>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40" w:type="dxa"/>
            <w:vAlign w:val="bottom"/>
          </w:tcPr>
          <w:p>
            <w:pPr>
              <w:jc w:val="center"/>
              <w:spacing w:after="0"/>
              <w:rPr>
                <w:sz w:val="20"/>
                <w:szCs w:val="20"/>
                <w:color w:val="auto"/>
              </w:rPr>
            </w:pPr>
            <w:r>
              <w:rPr>
                <w:rFonts w:ascii="Arial" w:cs="Arial" w:eastAsia="Arial" w:hAnsi="Arial"/>
                <w:sz w:val="17"/>
                <w:szCs w:val="17"/>
                <w:color w:val="auto"/>
                <w:w w:val="98"/>
              </w:rPr>
              <w:t>10.2†</w:t>
            </w:r>
          </w:p>
        </w:tc>
        <w:tc>
          <w:tcPr>
            <w:tcW w:w="280" w:type="dxa"/>
            <w:vAlign w:val="bottom"/>
          </w:tcPr>
          <w:p>
            <w:pPr>
              <w:spacing w:after="0"/>
              <w:rPr>
                <w:sz w:val="24"/>
                <w:szCs w:val="24"/>
                <w:color w:val="auto"/>
              </w:rPr>
            </w:pPr>
          </w:p>
        </w:tc>
        <w:tc>
          <w:tcPr>
            <w:tcW w:w="7680" w:type="dxa"/>
            <w:vAlign w:val="bottom"/>
            <w:tcBorders>
              <w:bottom w:val="single" w:sz="8" w:color="0000EE"/>
            </w:tcBorders>
            <w:gridSpan w:val="23"/>
          </w:tcPr>
          <w:p>
            <w:pPr>
              <w:spacing w:after="0"/>
              <w:rPr>
                <w:rFonts w:ascii="Arial" w:cs="Arial" w:eastAsia="Arial" w:hAnsi="Arial"/>
                <w:sz w:val="17"/>
                <w:szCs w:val="17"/>
                <w:color w:val="0000EE"/>
              </w:rPr>
            </w:pPr>
            <w:hyperlink r:id="rId144">
              <w:r>
                <w:rPr>
                  <w:rFonts w:ascii="Arial" w:cs="Arial" w:eastAsia="Arial" w:hAnsi="Arial"/>
                  <w:sz w:val="17"/>
                  <w:szCs w:val="17"/>
                  <w:color w:val="0000EE"/>
                </w:rPr>
                <w:t>Foot Locker 2007 Stock Incentive Plan, amended and restated as of May 21, 2014 (incorporated</w:t>
              </w:r>
            </w:hyperlink>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tcBorders>
              <w:bottom w:val="single" w:sz="8" w:color="0000EE"/>
            </w:tcBorders>
            <w:gridSpan w:val="23"/>
          </w:tcPr>
          <w:p>
            <w:pPr>
              <w:spacing w:after="0" w:line="169" w:lineRule="exact"/>
              <w:rPr>
                <w:rFonts w:ascii="Arial" w:cs="Arial" w:eastAsia="Arial" w:hAnsi="Arial"/>
                <w:sz w:val="17"/>
                <w:szCs w:val="17"/>
                <w:color w:val="0000EE"/>
              </w:rPr>
            </w:pPr>
            <w:hyperlink r:id="rId144">
              <w:r>
                <w:rPr>
                  <w:rFonts w:ascii="Arial" w:cs="Arial" w:eastAsia="Arial" w:hAnsi="Arial"/>
                  <w:sz w:val="17"/>
                  <w:szCs w:val="17"/>
                  <w:color w:val="0000EE"/>
                </w:rPr>
                <w:t>herein by reference to Exhibit 10.3 to the Current Report on Form 8-K dated December 23, 2014 filed</w:t>
              </w:r>
            </w:hyperlink>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Borders>
              <w:bottom w:val="single" w:sz="8" w:color="0000EE"/>
            </w:tcBorders>
            <w:gridSpan w:val="4"/>
          </w:tcPr>
          <w:p>
            <w:pPr>
              <w:spacing w:after="0" w:line="169" w:lineRule="exact"/>
              <w:rPr>
                <w:rFonts w:ascii="Arial" w:cs="Arial" w:eastAsia="Arial" w:hAnsi="Arial"/>
                <w:sz w:val="17"/>
                <w:szCs w:val="17"/>
                <w:color w:val="0000EE"/>
                <w:w w:val="99"/>
              </w:rPr>
            </w:pPr>
            <w:hyperlink r:id="rId144">
              <w:r>
                <w:rPr>
                  <w:rFonts w:ascii="Arial" w:cs="Arial" w:eastAsia="Arial" w:hAnsi="Arial"/>
                  <w:sz w:val="17"/>
                  <w:szCs w:val="17"/>
                  <w:color w:val="0000EE"/>
                  <w:w w:val="99"/>
                </w:rPr>
                <w:t>on December 31, 2014.</w:t>
              </w:r>
            </w:hyperlink>
          </w:p>
        </w:tc>
        <w:tc>
          <w:tcPr>
            <w:tcW w:w="5900" w:type="dxa"/>
            <w:vAlign w:val="bottom"/>
            <w:gridSpan w:val="19"/>
          </w:tcPr>
          <w:p>
            <w:pPr>
              <w:spacing w:after="0"/>
              <w:rPr>
                <w:sz w:val="14"/>
                <w:szCs w:val="14"/>
                <w:color w:val="auto"/>
              </w:rPr>
            </w:pPr>
          </w:p>
        </w:tc>
      </w:tr>
      <w:tr>
        <w:trPr>
          <w:trHeight w:val="358"/>
        </w:trPr>
        <w:tc>
          <w:tcPr>
            <w:tcW w:w="940" w:type="dxa"/>
            <w:vAlign w:val="bottom"/>
          </w:tcPr>
          <w:p>
            <w:pPr>
              <w:jc w:val="center"/>
              <w:spacing w:after="0"/>
              <w:rPr>
                <w:sz w:val="20"/>
                <w:szCs w:val="20"/>
                <w:color w:val="auto"/>
              </w:rPr>
            </w:pPr>
            <w:r>
              <w:rPr>
                <w:rFonts w:ascii="Arial" w:cs="Arial" w:eastAsia="Arial" w:hAnsi="Arial"/>
                <w:sz w:val="17"/>
                <w:szCs w:val="17"/>
                <w:color w:val="auto"/>
                <w:w w:val="98"/>
              </w:rPr>
              <w:t>10.3†</w:t>
            </w:r>
          </w:p>
        </w:tc>
        <w:tc>
          <w:tcPr>
            <w:tcW w:w="280" w:type="dxa"/>
            <w:vAlign w:val="bottom"/>
          </w:tcPr>
          <w:p>
            <w:pPr>
              <w:spacing w:after="0"/>
              <w:rPr>
                <w:sz w:val="24"/>
                <w:szCs w:val="24"/>
                <w:color w:val="auto"/>
              </w:rPr>
            </w:pPr>
          </w:p>
        </w:tc>
        <w:tc>
          <w:tcPr>
            <w:tcW w:w="7680" w:type="dxa"/>
            <w:vAlign w:val="bottom"/>
            <w:tcBorders>
              <w:bottom w:val="single" w:sz="8" w:color="0000EE"/>
            </w:tcBorders>
            <w:gridSpan w:val="23"/>
          </w:tcPr>
          <w:p>
            <w:pPr>
              <w:spacing w:after="0"/>
              <w:rPr>
                <w:rFonts w:ascii="Arial" w:cs="Arial" w:eastAsia="Arial" w:hAnsi="Arial"/>
                <w:sz w:val="17"/>
                <w:szCs w:val="17"/>
                <w:color w:val="0000EE"/>
              </w:rPr>
            </w:pPr>
            <w:hyperlink r:id="rId145">
              <w:r>
                <w:rPr>
                  <w:rFonts w:ascii="Arial" w:cs="Arial" w:eastAsia="Arial" w:hAnsi="Arial"/>
                  <w:sz w:val="17"/>
                  <w:szCs w:val="17"/>
                  <w:color w:val="0000EE"/>
                </w:rPr>
                <w:t>Amendment Number One to the Foot Locker 2007 Stock Incentive Plan, amended and restated as of</w:t>
              </w:r>
            </w:hyperlink>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tcBorders>
              <w:bottom w:val="single" w:sz="8" w:color="0000EE"/>
            </w:tcBorders>
            <w:gridSpan w:val="23"/>
          </w:tcPr>
          <w:p>
            <w:pPr>
              <w:spacing w:after="0" w:line="169" w:lineRule="exact"/>
              <w:rPr>
                <w:rFonts w:ascii="Arial" w:cs="Arial" w:eastAsia="Arial" w:hAnsi="Arial"/>
                <w:sz w:val="17"/>
                <w:szCs w:val="17"/>
                <w:color w:val="0000EE"/>
              </w:rPr>
            </w:pPr>
            <w:hyperlink r:id="rId145">
              <w:r>
                <w:rPr>
                  <w:rFonts w:ascii="Arial" w:cs="Arial" w:eastAsia="Arial" w:hAnsi="Arial"/>
                  <w:sz w:val="17"/>
                  <w:szCs w:val="17"/>
                  <w:color w:val="0000EE"/>
                </w:rPr>
                <w:t>May 21, 2014 (incorporated herein by reference to Exhibit 10.5 to the Annual Report on Form 10-K</w:t>
              </w:r>
            </w:hyperlink>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120" w:type="dxa"/>
            <w:vAlign w:val="bottom"/>
            <w:tcBorders>
              <w:bottom w:val="single" w:sz="8" w:color="0000EE"/>
            </w:tcBorders>
            <w:gridSpan w:val="14"/>
          </w:tcPr>
          <w:p>
            <w:pPr>
              <w:spacing w:after="0" w:line="169" w:lineRule="exact"/>
              <w:rPr>
                <w:rFonts w:ascii="Arial" w:cs="Arial" w:eastAsia="Arial" w:hAnsi="Arial"/>
                <w:sz w:val="17"/>
                <w:szCs w:val="17"/>
                <w:color w:val="0000EE"/>
                <w:w w:val="99"/>
              </w:rPr>
            </w:pPr>
            <w:hyperlink r:id="rId145">
              <w:r>
                <w:rPr>
                  <w:rFonts w:ascii="Arial" w:cs="Arial" w:eastAsia="Arial" w:hAnsi="Arial"/>
                  <w:sz w:val="17"/>
                  <w:szCs w:val="17"/>
                  <w:color w:val="0000EE"/>
                  <w:w w:val="99"/>
                </w:rPr>
                <w:t>for the fiscal year ended January 28, 2017 filed on March 23, 2017).</w:t>
              </w:r>
            </w:hyperlink>
          </w:p>
        </w:tc>
        <w:tc>
          <w:tcPr>
            <w:tcW w:w="2560" w:type="dxa"/>
            <w:vAlign w:val="bottom"/>
            <w:gridSpan w:val="9"/>
          </w:tcPr>
          <w:p>
            <w:pPr>
              <w:spacing w:after="0"/>
              <w:rPr>
                <w:sz w:val="14"/>
                <w:szCs w:val="14"/>
                <w:color w:val="auto"/>
              </w:rPr>
            </w:pPr>
          </w:p>
        </w:tc>
      </w:tr>
      <w:tr>
        <w:trPr>
          <w:trHeight w:val="358"/>
        </w:trPr>
        <w:tc>
          <w:tcPr>
            <w:tcW w:w="940" w:type="dxa"/>
            <w:vAlign w:val="bottom"/>
          </w:tcPr>
          <w:p>
            <w:pPr>
              <w:jc w:val="center"/>
              <w:spacing w:after="0"/>
              <w:rPr>
                <w:sz w:val="20"/>
                <w:szCs w:val="20"/>
                <w:color w:val="auto"/>
              </w:rPr>
            </w:pPr>
            <w:r>
              <w:rPr>
                <w:rFonts w:ascii="Arial" w:cs="Arial" w:eastAsia="Arial" w:hAnsi="Arial"/>
                <w:sz w:val="17"/>
                <w:szCs w:val="17"/>
                <w:color w:val="auto"/>
                <w:w w:val="98"/>
              </w:rPr>
              <w:t>10.4†</w:t>
            </w:r>
          </w:p>
        </w:tc>
        <w:tc>
          <w:tcPr>
            <w:tcW w:w="280" w:type="dxa"/>
            <w:vAlign w:val="bottom"/>
          </w:tcPr>
          <w:p>
            <w:pPr>
              <w:spacing w:after="0"/>
              <w:rPr>
                <w:sz w:val="24"/>
                <w:szCs w:val="24"/>
                <w:color w:val="auto"/>
              </w:rPr>
            </w:pPr>
          </w:p>
        </w:tc>
        <w:tc>
          <w:tcPr>
            <w:tcW w:w="7680" w:type="dxa"/>
            <w:vAlign w:val="bottom"/>
            <w:tcBorders>
              <w:bottom w:val="single" w:sz="8" w:color="0000EE"/>
            </w:tcBorders>
            <w:gridSpan w:val="23"/>
          </w:tcPr>
          <w:p>
            <w:pPr>
              <w:spacing w:after="0"/>
              <w:rPr>
                <w:rFonts w:ascii="Arial" w:cs="Arial" w:eastAsia="Arial" w:hAnsi="Arial"/>
                <w:sz w:val="17"/>
                <w:szCs w:val="17"/>
                <w:color w:val="0000EE"/>
              </w:rPr>
            </w:pPr>
            <w:hyperlink r:id="rId146">
              <w:r>
                <w:rPr>
                  <w:rFonts w:ascii="Arial" w:cs="Arial" w:eastAsia="Arial" w:hAnsi="Arial"/>
                  <w:sz w:val="17"/>
                  <w:szCs w:val="17"/>
                  <w:color w:val="0000EE"/>
                </w:rPr>
                <w:t>Foot Locker Long-Term Incentive Compensation Plan, as amended and restated (incorporated herein</w:t>
              </w:r>
            </w:hyperlink>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tcBorders>
              <w:bottom w:val="single" w:sz="8" w:color="0000EE"/>
            </w:tcBorders>
            <w:gridSpan w:val="23"/>
          </w:tcPr>
          <w:p>
            <w:pPr>
              <w:spacing w:after="0" w:line="169" w:lineRule="exact"/>
              <w:rPr>
                <w:rFonts w:ascii="Arial" w:cs="Arial" w:eastAsia="Arial" w:hAnsi="Arial"/>
                <w:sz w:val="17"/>
                <w:szCs w:val="17"/>
                <w:color w:val="0000EE"/>
              </w:rPr>
            </w:pPr>
            <w:hyperlink r:id="rId146">
              <w:r>
                <w:rPr>
                  <w:rFonts w:ascii="Arial" w:cs="Arial" w:eastAsia="Arial" w:hAnsi="Arial"/>
                  <w:sz w:val="17"/>
                  <w:szCs w:val="17"/>
                  <w:color w:val="0000EE"/>
                </w:rPr>
                <w:t>by reference to Exhibit 10.3 to the Current Report on Form 8-K dated March 23, 2016 filed on</w:t>
              </w:r>
            </w:hyperlink>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gridSpan w:val="23"/>
          </w:tcPr>
          <w:p>
            <w:pPr>
              <w:spacing w:after="0" w:line="169" w:lineRule="exact"/>
              <w:rPr>
                <w:rFonts w:ascii="Arial" w:cs="Arial" w:eastAsia="Arial" w:hAnsi="Arial"/>
                <w:sz w:val="17"/>
                <w:szCs w:val="17"/>
                <w:color w:val="0000EE"/>
              </w:rPr>
            </w:pPr>
            <w:hyperlink r:id="rId146">
              <w:r>
                <w:rPr>
                  <w:rFonts w:ascii="Arial" w:cs="Arial" w:eastAsia="Arial" w:hAnsi="Arial"/>
                  <w:sz w:val="17"/>
                  <w:szCs w:val="17"/>
                  <w:color w:val="0000EE"/>
                </w:rPr>
                <w:t>March 29, 2016) (the “March 23, 2016 Form 8-K”).</w:t>
              </w:r>
            </w:hyperlink>
          </w:p>
        </w:tc>
      </w:tr>
      <w:tr>
        <w:trPr>
          <w:trHeight w:val="20"/>
        </w:trPr>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10"/>
            <w:shd w:val="clear" w:color="auto" w:fill="0000EE"/>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40" w:type="dxa"/>
            <w:vAlign w:val="bottom"/>
          </w:tcPr>
          <w:p>
            <w:pPr>
              <w:jc w:val="center"/>
              <w:spacing w:after="0"/>
              <w:rPr>
                <w:sz w:val="20"/>
                <w:szCs w:val="20"/>
                <w:color w:val="auto"/>
              </w:rPr>
            </w:pPr>
            <w:r>
              <w:rPr>
                <w:rFonts w:ascii="Arial" w:cs="Arial" w:eastAsia="Arial" w:hAnsi="Arial"/>
                <w:sz w:val="17"/>
                <w:szCs w:val="17"/>
                <w:color w:val="auto"/>
                <w:w w:val="98"/>
              </w:rPr>
              <w:t>10.5†</w:t>
            </w:r>
          </w:p>
        </w:tc>
        <w:tc>
          <w:tcPr>
            <w:tcW w:w="280" w:type="dxa"/>
            <w:vAlign w:val="bottom"/>
          </w:tcPr>
          <w:p>
            <w:pPr>
              <w:spacing w:after="0"/>
              <w:rPr>
                <w:sz w:val="24"/>
                <w:szCs w:val="24"/>
                <w:color w:val="auto"/>
              </w:rPr>
            </w:pPr>
          </w:p>
        </w:tc>
        <w:tc>
          <w:tcPr>
            <w:tcW w:w="7680" w:type="dxa"/>
            <w:vAlign w:val="bottom"/>
            <w:gridSpan w:val="23"/>
          </w:tcPr>
          <w:p>
            <w:pPr>
              <w:spacing w:after="0"/>
              <w:rPr>
                <w:rFonts w:ascii="Arial" w:cs="Arial" w:eastAsia="Arial" w:hAnsi="Arial"/>
                <w:sz w:val="17"/>
                <w:szCs w:val="17"/>
                <w:color w:val="0000EE"/>
              </w:rPr>
            </w:pPr>
            <w:hyperlink r:id="rId147">
              <w:r>
                <w:rPr>
                  <w:rFonts w:ascii="Arial" w:cs="Arial" w:eastAsia="Arial" w:hAnsi="Arial"/>
                  <w:sz w:val="17"/>
                  <w:szCs w:val="17"/>
                  <w:color w:val="0000EE"/>
                </w:rPr>
                <w:t>Foot Locker Executive Incentive Cash Compensation Plan (incorporated by reference to Exhibit 10.1</w:t>
              </w:r>
            </w:hyperlink>
          </w:p>
        </w:tc>
      </w:tr>
      <w:tr>
        <w:trPr>
          <w:trHeight w:val="169"/>
        </w:trPr>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20" w:type="dxa"/>
            <w:vAlign w:val="bottom"/>
            <w:tcBorders>
              <w:top w:val="single" w:sz="8" w:color="0000EE"/>
              <w:bottom w:val="single" w:sz="8" w:color="0000EE"/>
            </w:tcBorders>
            <w:gridSpan w:val="18"/>
          </w:tcPr>
          <w:p>
            <w:pPr>
              <w:spacing w:after="0" w:line="169" w:lineRule="exact"/>
              <w:rPr>
                <w:rFonts w:ascii="Arial" w:cs="Arial" w:eastAsia="Arial" w:hAnsi="Arial"/>
                <w:sz w:val="17"/>
                <w:szCs w:val="17"/>
                <w:color w:val="0000EE"/>
              </w:rPr>
            </w:pPr>
            <w:hyperlink r:id="rId147">
              <w:r>
                <w:rPr>
                  <w:rFonts w:ascii="Arial" w:cs="Arial" w:eastAsia="Arial" w:hAnsi="Arial"/>
                  <w:sz w:val="17"/>
                  <w:szCs w:val="17"/>
                  <w:color w:val="0000EE"/>
                </w:rPr>
                <w:t>to the Current Report on Form 8-K dated March 28, 2018 filed on April 3, 2018).</w:t>
              </w:r>
            </w:hyperlink>
          </w:p>
        </w:tc>
        <w:tc>
          <w:tcPr>
            <w:tcW w:w="1640" w:type="dxa"/>
            <w:vAlign w:val="bottom"/>
            <w:tcBorders>
              <w:top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r>
      <w:tr>
        <w:trPr>
          <w:trHeight w:val="379"/>
        </w:trPr>
        <w:tc>
          <w:tcPr>
            <w:tcW w:w="940" w:type="dxa"/>
            <w:vAlign w:val="bottom"/>
          </w:tcPr>
          <w:p>
            <w:pPr>
              <w:jc w:val="center"/>
              <w:spacing w:after="0"/>
              <w:rPr>
                <w:sz w:val="20"/>
                <w:szCs w:val="20"/>
                <w:color w:val="auto"/>
              </w:rPr>
            </w:pPr>
            <w:r>
              <w:rPr>
                <w:rFonts w:ascii="Arial" w:cs="Arial" w:eastAsia="Arial" w:hAnsi="Arial"/>
                <w:sz w:val="17"/>
                <w:szCs w:val="17"/>
                <w:color w:val="auto"/>
                <w:w w:val="98"/>
              </w:rPr>
              <w:t>10.6†</w:t>
            </w:r>
          </w:p>
        </w:tc>
        <w:tc>
          <w:tcPr>
            <w:tcW w:w="280" w:type="dxa"/>
            <w:vAlign w:val="bottom"/>
          </w:tcPr>
          <w:p>
            <w:pPr>
              <w:spacing w:after="0"/>
              <w:rPr>
                <w:sz w:val="24"/>
                <w:szCs w:val="24"/>
                <w:color w:val="auto"/>
              </w:rPr>
            </w:pPr>
          </w:p>
        </w:tc>
        <w:tc>
          <w:tcPr>
            <w:tcW w:w="7680" w:type="dxa"/>
            <w:vAlign w:val="bottom"/>
            <w:gridSpan w:val="23"/>
          </w:tcPr>
          <w:p>
            <w:pPr>
              <w:spacing w:after="0"/>
              <w:rPr>
                <w:sz w:val="20"/>
                <w:szCs w:val="20"/>
                <w:color w:val="auto"/>
              </w:rPr>
            </w:pPr>
            <w:r>
              <w:rPr>
                <w:rFonts w:ascii="Arial" w:cs="Arial" w:eastAsia="Arial" w:hAnsi="Arial"/>
                <w:sz w:val="17"/>
                <w:szCs w:val="17"/>
                <w:color w:val="auto"/>
              </w:rPr>
              <w:t>Executive Supplemental Retirement Plan (incorporated herein by reference to Exhibit 10(d) to the</w:t>
            </w:r>
          </w:p>
        </w:tc>
      </w:tr>
      <w:tr>
        <w:trPr>
          <w:trHeight w:val="189"/>
        </w:trPr>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80" w:type="dxa"/>
            <w:vAlign w:val="bottom"/>
            <w:gridSpan w:val="23"/>
          </w:tcPr>
          <w:p>
            <w:pPr>
              <w:spacing w:after="0" w:line="189" w:lineRule="exact"/>
              <w:rPr>
                <w:sz w:val="20"/>
                <w:szCs w:val="20"/>
                <w:color w:val="auto"/>
              </w:rPr>
            </w:pPr>
            <w:r>
              <w:rPr>
                <w:rFonts w:ascii="Arial" w:cs="Arial" w:eastAsia="Arial" w:hAnsi="Arial"/>
                <w:sz w:val="17"/>
                <w:szCs w:val="17"/>
                <w:color w:val="auto"/>
              </w:rPr>
              <w:t>Registration Statement on Form 8-B filed on August 7, 1989 (Registration No. 1-10299) (the “8-B</w:t>
            </w:r>
          </w:p>
        </w:tc>
      </w:tr>
      <w:tr>
        <w:trPr>
          <w:trHeight w:val="205"/>
        </w:trPr>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80" w:type="dxa"/>
            <w:vAlign w:val="bottom"/>
            <w:gridSpan w:val="23"/>
          </w:tcPr>
          <w:p>
            <w:pPr>
              <w:spacing w:after="0"/>
              <w:rPr>
                <w:sz w:val="20"/>
                <w:szCs w:val="20"/>
                <w:color w:val="auto"/>
              </w:rPr>
            </w:pPr>
            <w:r>
              <w:rPr>
                <w:rFonts w:ascii="Arial" w:cs="Arial" w:eastAsia="Arial" w:hAnsi="Arial"/>
                <w:sz w:val="17"/>
                <w:szCs w:val="17"/>
                <w:color w:val="auto"/>
              </w:rPr>
              <w:t>Registration Statement”)).</w:t>
            </w:r>
          </w:p>
        </w:tc>
      </w:tr>
    </w:tbl>
    <w:p>
      <w:pPr>
        <w:spacing w:after="0" w:line="173"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2019 Form 10-K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83" w:name="page84"/>
    <w:bookmarkEnd w:id="83"/>
    <w:tbl>
      <w:tblPr>
        <w:tblLayout w:type="fixed"/>
        <w:tblInd w:w="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Exhibit No.</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7"/>
          </w:tcPr>
          <w:p>
            <w:pPr>
              <w:jc w:val="right"/>
              <w:ind w:right="3380"/>
              <w:spacing w:after="0"/>
              <w:rPr>
                <w:sz w:val="20"/>
                <w:szCs w:val="20"/>
                <w:color w:val="auto"/>
              </w:rPr>
            </w:pPr>
            <w:r>
              <w:rPr>
                <w:rFonts w:ascii="Arial" w:cs="Arial" w:eastAsia="Arial" w:hAnsi="Arial"/>
                <w:sz w:val="17"/>
                <w:szCs w:val="17"/>
                <w:b w:val="1"/>
                <w:bCs w:val="1"/>
                <w:color w:val="auto"/>
              </w:rPr>
              <w:t>Description</w:t>
            </w:r>
          </w:p>
        </w:tc>
      </w:tr>
      <w:tr>
        <w:trPr>
          <w:trHeight w:val="176"/>
        </w:trPr>
        <w:tc>
          <w:tcPr>
            <w:tcW w:w="2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7"/>
                <w:szCs w:val="17"/>
                <w:color w:val="auto"/>
                <w:w w:val="98"/>
              </w:rPr>
              <w:t>10.7†</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60" w:type="dxa"/>
            <w:vAlign w:val="bottom"/>
            <w:gridSpan w:val="13"/>
          </w:tcPr>
          <w:p>
            <w:pPr>
              <w:spacing w:after="0" w:line="176" w:lineRule="exact"/>
              <w:rPr>
                <w:sz w:val="20"/>
                <w:szCs w:val="20"/>
                <w:color w:val="auto"/>
              </w:rPr>
            </w:pPr>
            <w:r>
              <w:rPr>
                <w:rFonts w:ascii="Arial" w:cs="Arial" w:eastAsia="Arial" w:hAnsi="Arial"/>
                <w:sz w:val="17"/>
                <w:szCs w:val="17"/>
                <w:color w:val="auto"/>
              </w:rPr>
              <w:t>Amendment to the Executive Supplemental Retirement Plan (incorporated herein by reference to</w:t>
            </w:r>
          </w:p>
        </w:tc>
      </w:tr>
      <w:tr>
        <w:trPr>
          <w:trHeight w:val="189"/>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80" w:type="dxa"/>
            <w:vAlign w:val="bottom"/>
            <w:gridSpan w:val="14"/>
          </w:tcPr>
          <w:p>
            <w:pPr>
              <w:spacing w:after="0" w:line="189" w:lineRule="exact"/>
              <w:rPr>
                <w:sz w:val="20"/>
                <w:szCs w:val="20"/>
                <w:color w:val="auto"/>
              </w:rPr>
            </w:pPr>
            <w:r>
              <w:rPr>
                <w:rFonts w:ascii="Arial" w:cs="Arial" w:eastAsia="Arial" w:hAnsi="Arial"/>
                <w:sz w:val="17"/>
                <w:szCs w:val="17"/>
                <w:color w:val="auto"/>
              </w:rPr>
              <w:t>Exhibit 10(c)(i) to the Annual Report on Form 10-K for the fiscal year ended January 28, 1995 filed on</w:t>
            </w:r>
          </w:p>
        </w:tc>
      </w:tr>
      <w:tr>
        <w:trPr>
          <w:trHeight w:val="205"/>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0" w:type="dxa"/>
            <w:vAlign w:val="bottom"/>
            <w:gridSpan w:val="5"/>
          </w:tcPr>
          <w:p>
            <w:pPr>
              <w:spacing w:after="0"/>
              <w:rPr>
                <w:sz w:val="20"/>
                <w:szCs w:val="20"/>
                <w:color w:val="auto"/>
              </w:rPr>
            </w:pPr>
            <w:r>
              <w:rPr>
                <w:rFonts w:ascii="Arial" w:cs="Arial" w:eastAsia="Arial" w:hAnsi="Arial"/>
                <w:sz w:val="17"/>
                <w:szCs w:val="17"/>
                <w:color w:val="auto"/>
              </w:rPr>
              <w:t>April 24, 1995).</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62"/>
        </w:trPr>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8"/>
              </w:rPr>
              <w:t>10.8†</w:t>
            </w:r>
          </w:p>
        </w:tc>
        <w:tc>
          <w:tcPr>
            <w:tcW w:w="280" w:type="dxa"/>
            <w:vAlign w:val="bottom"/>
          </w:tcPr>
          <w:p>
            <w:pPr>
              <w:spacing w:after="0"/>
              <w:rPr>
                <w:sz w:val="24"/>
                <w:szCs w:val="24"/>
                <w:color w:val="auto"/>
              </w:rPr>
            </w:pPr>
          </w:p>
        </w:tc>
        <w:tc>
          <w:tcPr>
            <w:tcW w:w="7680" w:type="dxa"/>
            <w:vAlign w:val="bottom"/>
            <w:gridSpan w:val="14"/>
          </w:tcPr>
          <w:p>
            <w:pPr>
              <w:spacing w:after="0"/>
              <w:rPr>
                <w:sz w:val="20"/>
                <w:szCs w:val="20"/>
                <w:color w:val="auto"/>
              </w:rPr>
            </w:pPr>
            <w:r>
              <w:rPr>
                <w:rFonts w:ascii="Arial" w:cs="Arial" w:eastAsia="Arial" w:hAnsi="Arial"/>
                <w:sz w:val="17"/>
                <w:szCs w:val="17"/>
                <w:color w:val="auto"/>
              </w:rPr>
              <w:t>Amendment to the Executive Supplemental Retirement Plan (incorporated herein by reference to</w:t>
            </w:r>
          </w:p>
        </w:tc>
      </w:tr>
      <w:tr>
        <w:trPr>
          <w:trHeight w:val="189"/>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80" w:type="dxa"/>
            <w:vAlign w:val="bottom"/>
            <w:gridSpan w:val="14"/>
          </w:tcPr>
          <w:p>
            <w:pPr>
              <w:spacing w:after="0" w:line="189" w:lineRule="exact"/>
              <w:rPr>
                <w:sz w:val="20"/>
                <w:szCs w:val="20"/>
                <w:color w:val="auto"/>
              </w:rPr>
            </w:pPr>
            <w:r>
              <w:rPr>
                <w:rFonts w:ascii="Arial" w:cs="Arial" w:eastAsia="Arial" w:hAnsi="Arial"/>
                <w:sz w:val="17"/>
                <w:szCs w:val="17"/>
                <w:color w:val="auto"/>
              </w:rPr>
              <w:t>Exhibit 10(d)(ii) to the Annual Report on Form 10-K for the fiscal year ended January 27, 1996 filed</w:t>
            </w:r>
          </w:p>
        </w:tc>
      </w:tr>
      <w:tr>
        <w:trPr>
          <w:trHeight w:val="205"/>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0" w:type="dxa"/>
            <w:vAlign w:val="bottom"/>
            <w:gridSpan w:val="5"/>
          </w:tcPr>
          <w:p>
            <w:pPr>
              <w:spacing w:after="0"/>
              <w:rPr>
                <w:sz w:val="20"/>
                <w:szCs w:val="20"/>
                <w:color w:val="auto"/>
              </w:rPr>
            </w:pPr>
            <w:r>
              <w:rPr>
                <w:rFonts w:ascii="Arial" w:cs="Arial" w:eastAsia="Arial" w:hAnsi="Arial"/>
                <w:sz w:val="17"/>
                <w:szCs w:val="17"/>
                <w:color w:val="auto"/>
              </w:rPr>
              <w:t>on April 26, 1996).</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2"/>
        </w:trPr>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8"/>
              </w:rPr>
              <w:t>10.9†</w:t>
            </w:r>
          </w:p>
        </w:tc>
        <w:tc>
          <w:tcPr>
            <w:tcW w:w="280" w:type="dxa"/>
            <w:vAlign w:val="bottom"/>
          </w:tcPr>
          <w:p>
            <w:pPr>
              <w:spacing w:after="0"/>
              <w:rPr>
                <w:sz w:val="24"/>
                <w:szCs w:val="24"/>
                <w:color w:val="auto"/>
              </w:rPr>
            </w:pPr>
          </w:p>
        </w:tc>
        <w:tc>
          <w:tcPr>
            <w:tcW w:w="7680" w:type="dxa"/>
            <w:vAlign w:val="bottom"/>
            <w:gridSpan w:val="14"/>
          </w:tcPr>
          <w:p>
            <w:pPr>
              <w:spacing w:after="0"/>
              <w:rPr>
                <w:rFonts w:ascii="Arial" w:cs="Arial" w:eastAsia="Arial" w:hAnsi="Arial"/>
                <w:sz w:val="17"/>
                <w:szCs w:val="17"/>
                <w:color w:val="0000EE"/>
              </w:rPr>
            </w:pPr>
            <w:hyperlink r:id="rId149">
              <w:r>
                <w:rPr>
                  <w:rFonts w:ascii="Arial" w:cs="Arial" w:eastAsia="Arial" w:hAnsi="Arial"/>
                  <w:sz w:val="17"/>
                  <w:szCs w:val="17"/>
                  <w:color w:val="0000EE"/>
                </w:rPr>
                <w:t>Supplemental  Executive  Retirement  Plan,  as  amended  and  restated  (incorporated  herein  by</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tcBorders>
              <w:bottom w:val="single" w:sz="8" w:color="0000EE"/>
            </w:tcBorders>
            <w:gridSpan w:val="14"/>
          </w:tcPr>
          <w:p>
            <w:pPr>
              <w:spacing w:after="0" w:line="169" w:lineRule="exact"/>
              <w:rPr>
                <w:rFonts w:ascii="Arial" w:cs="Arial" w:eastAsia="Arial" w:hAnsi="Arial"/>
                <w:sz w:val="17"/>
                <w:szCs w:val="17"/>
                <w:color w:val="0000EE"/>
              </w:rPr>
            </w:pPr>
            <w:hyperlink r:id="rId149">
              <w:r>
                <w:rPr>
                  <w:rFonts w:ascii="Arial" w:cs="Arial" w:eastAsia="Arial" w:hAnsi="Arial"/>
                  <w:sz w:val="17"/>
                  <w:szCs w:val="17"/>
                  <w:color w:val="0000EE"/>
                </w:rPr>
                <w:t>reference to Exhibit 10.1 to the Current Report on Form 8-K dated August 13, 2007 filed on</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Borders>
              <w:bottom w:val="single" w:sz="8" w:color="0000EE"/>
            </w:tcBorders>
            <w:gridSpan w:val="3"/>
          </w:tcPr>
          <w:p>
            <w:pPr>
              <w:spacing w:after="0" w:line="169" w:lineRule="exact"/>
              <w:rPr>
                <w:rFonts w:ascii="Arial" w:cs="Arial" w:eastAsia="Arial" w:hAnsi="Arial"/>
                <w:sz w:val="17"/>
                <w:szCs w:val="17"/>
                <w:color w:val="0000EE"/>
                <w:w w:val="98"/>
              </w:rPr>
            </w:pPr>
            <w:hyperlink r:id="rId149">
              <w:r>
                <w:rPr>
                  <w:rFonts w:ascii="Arial" w:cs="Arial" w:eastAsia="Arial" w:hAnsi="Arial"/>
                  <w:sz w:val="17"/>
                  <w:szCs w:val="17"/>
                  <w:color w:val="0000EE"/>
                  <w:w w:val="98"/>
                </w:rPr>
                <w:t>August 17, 2007).</w:t>
              </w:r>
            </w:hyperlink>
          </w:p>
        </w:tc>
        <w:tc>
          <w:tcPr>
            <w:tcW w:w="14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9"/>
              </w:rPr>
              <w:t>10.10†</w:t>
            </w:r>
          </w:p>
        </w:tc>
        <w:tc>
          <w:tcPr>
            <w:tcW w:w="280" w:type="dxa"/>
            <w:vAlign w:val="bottom"/>
          </w:tcPr>
          <w:p>
            <w:pPr>
              <w:spacing w:after="0"/>
              <w:rPr>
                <w:sz w:val="24"/>
                <w:szCs w:val="24"/>
                <w:color w:val="auto"/>
              </w:rPr>
            </w:pPr>
          </w:p>
        </w:tc>
        <w:tc>
          <w:tcPr>
            <w:tcW w:w="7680" w:type="dxa"/>
            <w:vAlign w:val="bottom"/>
            <w:tcBorders>
              <w:bottom w:val="single" w:sz="8" w:color="0000EE"/>
            </w:tcBorders>
            <w:gridSpan w:val="14"/>
          </w:tcPr>
          <w:p>
            <w:pPr>
              <w:spacing w:after="0"/>
              <w:rPr>
                <w:rFonts w:ascii="Arial" w:cs="Arial" w:eastAsia="Arial" w:hAnsi="Arial"/>
                <w:sz w:val="17"/>
                <w:szCs w:val="17"/>
                <w:color w:val="0000EE"/>
              </w:rPr>
            </w:pPr>
            <w:hyperlink r:id="rId150">
              <w:r>
                <w:rPr>
                  <w:rFonts w:ascii="Arial" w:cs="Arial" w:eastAsia="Arial" w:hAnsi="Arial"/>
                  <w:sz w:val="17"/>
                  <w:szCs w:val="17"/>
                  <w:color w:val="0000EE"/>
                </w:rPr>
                <w:t>Amendment to the Foot Locker Supplemental Executive Retirement Plan (incorporated herein by</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gridSpan w:val="14"/>
          </w:tcPr>
          <w:p>
            <w:pPr>
              <w:spacing w:after="0" w:line="169" w:lineRule="exact"/>
              <w:rPr>
                <w:rFonts w:ascii="Arial" w:cs="Arial" w:eastAsia="Arial" w:hAnsi="Arial"/>
                <w:sz w:val="17"/>
                <w:szCs w:val="17"/>
                <w:color w:val="0000EE"/>
              </w:rPr>
            </w:pPr>
            <w:hyperlink r:id="rId150">
              <w:r>
                <w:rPr>
                  <w:rFonts w:ascii="Arial" w:cs="Arial" w:eastAsia="Arial" w:hAnsi="Arial"/>
                  <w:sz w:val="17"/>
                  <w:szCs w:val="17"/>
                  <w:color w:val="0000EE"/>
                </w:rPr>
                <w:t>reference to Exhibit 10.1 to the Current Report on Form 8-K dated May 25, 2011 filed on</w:t>
              </w:r>
            </w:hyperlink>
          </w:p>
        </w:tc>
      </w:tr>
      <w:tr>
        <w:trPr>
          <w:trHeight w:val="183"/>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top w:val="single" w:sz="8" w:color="0000EE"/>
              <w:bottom w:val="single" w:sz="8" w:color="0000EE"/>
            </w:tcBorders>
            <w:gridSpan w:val="2"/>
          </w:tcPr>
          <w:p>
            <w:pPr>
              <w:spacing w:after="0" w:line="183" w:lineRule="exact"/>
              <w:rPr>
                <w:rFonts w:ascii="Arial" w:cs="Arial" w:eastAsia="Arial" w:hAnsi="Arial"/>
                <w:sz w:val="17"/>
                <w:szCs w:val="17"/>
                <w:color w:val="0000EE"/>
                <w:w w:val="98"/>
              </w:rPr>
            </w:pPr>
            <w:hyperlink r:id="rId150">
              <w:r>
                <w:rPr>
                  <w:rFonts w:ascii="Arial" w:cs="Arial" w:eastAsia="Arial" w:hAnsi="Arial"/>
                  <w:sz w:val="17"/>
                  <w:szCs w:val="17"/>
                  <w:color w:val="0000EE"/>
                  <w:w w:val="98"/>
                </w:rPr>
                <w:t>May 27, 2011).</w:t>
              </w:r>
            </w:hyperlink>
          </w:p>
        </w:tc>
        <w:tc>
          <w:tcPr>
            <w:tcW w:w="1660" w:type="dxa"/>
            <w:vAlign w:val="bottom"/>
            <w:tcBorders>
              <w:top w:val="single" w:sz="8" w:color="0000EE"/>
            </w:tcBorders>
            <w:gridSpan w:val="3"/>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25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9"/>
              </w:rPr>
              <w:t>10.11†</w:t>
            </w:r>
          </w:p>
        </w:tc>
        <w:tc>
          <w:tcPr>
            <w:tcW w:w="280" w:type="dxa"/>
            <w:vAlign w:val="bottom"/>
          </w:tcPr>
          <w:p>
            <w:pPr>
              <w:spacing w:after="0"/>
              <w:rPr>
                <w:sz w:val="24"/>
                <w:szCs w:val="24"/>
                <w:color w:val="auto"/>
              </w:rPr>
            </w:pPr>
          </w:p>
        </w:tc>
        <w:tc>
          <w:tcPr>
            <w:tcW w:w="7680" w:type="dxa"/>
            <w:vAlign w:val="bottom"/>
            <w:tcBorders>
              <w:bottom w:val="single" w:sz="8" w:color="0000EE"/>
            </w:tcBorders>
            <w:gridSpan w:val="14"/>
          </w:tcPr>
          <w:p>
            <w:pPr>
              <w:spacing w:after="0"/>
              <w:rPr>
                <w:rFonts w:ascii="Arial" w:cs="Arial" w:eastAsia="Arial" w:hAnsi="Arial"/>
                <w:sz w:val="17"/>
                <w:szCs w:val="17"/>
                <w:color w:val="0000EE"/>
              </w:rPr>
            </w:pPr>
            <w:hyperlink r:id="rId151">
              <w:r>
                <w:rPr>
                  <w:rFonts w:ascii="Arial" w:cs="Arial" w:eastAsia="Arial" w:hAnsi="Arial"/>
                  <w:sz w:val="17"/>
                  <w:szCs w:val="17"/>
                  <w:color w:val="0000EE"/>
                </w:rPr>
                <w:t>Amendment Number Two to the Foot Locker Supplemental Executive Retirement Plan (incorporated</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tcBorders>
              <w:bottom w:val="single" w:sz="8" w:color="0000EE"/>
            </w:tcBorders>
            <w:gridSpan w:val="14"/>
          </w:tcPr>
          <w:p>
            <w:pPr>
              <w:spacing w:after="0" w:line="169" w:lineRule="exact"/>
              <w:rPr>
                <w:rFonts w:ascii="Arial" w:cs="Arial" w:eastAsia="Arial" w:hAnsi="Arial"/>
                <w:sz w:val="17"/>
                <w:szCs w:val="17"/>
                <w:color w:val="0000EE"/>
              </w:rPr>
            </w:pPr>
            <w:hyperlink r:id="rId151">
              <w:r>
                <w:rPr>
                  <w:rFonts w:ascii="Arial" w:cs="Arial" w:eastAsia="Arial" w:hAnsi="Arial"/>
                  <w:sz w:val="17"/>
                  <w:szCs w:val="17"/>
                  <w:color w:val="0000EE"/>
                </w:rPr>
                <w:t>herein by reference to Exhibit 10.3 to the Current Report on Form 8-K dated March 26, 2014 filed on</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gridSpan w:val="14"/>
          </w:tcPr>
          <w:p>
            <w:pPr>
              <w:spacing w:after="0" w:line="169" w:lineRule="exact"/>
              <w:rPr>
                <w:rFonts w:ascii="Arial" w:cs="Arial" w:eastAsia="Arial" w:hAnsi="Arial"/>
                <w:sz w:val="17"/>
                <w:szCs w:val="17"/>
                <w:color w:val="0000EE"/>
              </w:rPr>
            </w:pPr>
            <w:hyperlink r:id="rId151">
              <w:r>
                <w:rPr>
                  <w:rFonts w:ascii="Arial" w:cs="Arial" w:eastAsia="Arial" w:hAnsi="Arial"/>
                  <w:sz w:val="17"/>
                  <w:szCs w:val="17"/>
                  <w:color w:val="0000EE"/>
                </w:rPr>
                <w:t>April 1, 2014 (the “March 26, 2014 Form 8-K”)).</w:t>
              </w:r>
            </w:hyperlink>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9"/>
              </w:rPr>
              <w:t>10.12†</w:t>
            </w:r>
          </w:p>
        </w:tc>
        <w:tc>
          <w:tcPr>
            <w:tcW w:w="280" w:type="dxa"/>
            <w:vAlign w:val="bottom"/>
          </w:tcPr>
          <w:p>
            <w:pPr>
              <w:spacing w:after="0"/>
              <w:rPr>
                <w:sz w:val="24"/>
                <w:szCs w:val="24"/>
                <w:color w:val="auto"/>
              </w:rPr>
            </w:pPr>
          </w:p>
        </w:tc>
        <w:tc>
          <w:tcPr>
            <w:tcW w:w="7680" w:type="dxa"/>
            <w:vAlign w:val="bottom"/>
            <w:tcBorders>
              <w:bottom w:val="single" w:sz="8" w:color="0000EE"/>
            </w:tcBorders>
            <w:gridSpan w:val="14"/>
          </w:tcPr>
          <w:p>
            <w:pPr>
              <w:spacing w:after="0"/>
              <w:rPr>
                <w:rFonts w:ascii="Arial" w:cs="Arial" w:eastAsia="Arial" w:hAnsi="Arial"/>
                <w:sz w:val="17"/>
                <w:szCs w:val="17"/>
                <w:color w:val="0000EE"/>
              </w:rPr>
            </w:pPr>
            <w:hyperlink r:id="rId152">
              <w:r>
                <w:rPr>
                  <w:rFonts w:ascii="Arial" w:cs="Arial" w:eastAsia="Arial" w:hAnsi="Arial"/>
                  <w:sz w:val="17"/>
                  <w:szCs w:val="17"/>
                  <w:color w:val="0000EE"/>
                </w:rPr>
                <w:t>Amendment  Number  Three  to  the  Foot  Locker  Supplemental  Executive  Retirement  Plan</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5"/>
          </w:tcPr>
          <w:p>
            <w:pPr>
              <w:spacing w:after="0" w:line="169" w:lineRule="exact"/>
              <w:rPr>
                <w:rFonts w:ascii="Arial" w:cs="Arial" w:eastAsia="Arial" w:hAnsi="Arial"/>
                <w:sz w:val="17"/>
                <w:szCs w:val="17"/>
                <w:color w:val="0000EE"/>
              </w:rPr>
            </w:pPr>
            <w:hyperlink r:id="rId152">
              <w:r>
                <w:rPr>
                  <w:rFonts w:ascii="Arial" w:cs="Arial" w:eastAsia="Arial" w:hAnsi="Arial"/>
                  <w:sz w:val="17"/>
                  <w:szCs w:val="17"/>
                  <w:color w:val="0000EE"/>
                </w:rPr>
                <w:t>(incorporated herein by reference</w:t>
              </w:r>
            </w:hyperlink>
          </w:p>
        </w:tc>
        <w:tc>
          <w:tcPr>
            <w:tcW w:w="4880" w:type="dxa"/>
            <w:vAlign w:val="bottom"/>
            <w:gridSpan w:val="9"/>
          </w:tcPr>
          <w:p>
            <w:pPr>
              <w:jc w:val="right"/>
              <w:ind w:right="20"/>
              <w:spacing w:after="0" w:line="169" w:lineRule="exact"/>
              <w:rPr>
                <w:rFonts w:ascii="Arial" w:cs="Arial" w:eastAsia="Arial" w:hAnsi="Arial"/>
                <w:sz w:val="17"/>
                <w:szCs w:val="17"/>
                <w:color w:val="0000EE"/>
              </w:rPr>
            </w:pPr>
            <w:hyperlink r:id="rId152">
              <w:r>
                <w:rPr>
                  <w:rFonts w:ascii="Arial" w:cs="Arial" w:eastAsia="Arial" w:hAnsi="Arial"/>
                  <w:sz w:val="17"/>
                  <w:szCs w:val="17"/>
                  <w:color w:val="0000EE"/>
                </w:rPr>
                <w:t>to Exhibit 10.1 to the Current Report on Form 8-K dated</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60" w:type="dxa"/>
            <w:vAlign w:val="bottom"/>
            <w:tcBorders>
              <w:top w:val="single" w:sz="8" w:color="0000EE"/>
            </w:tcBorders>
            <w:gridSpan w:val="13"/>
          </w:tcPr>
          <w:p>
            <w:pPr>
              <w:spacing w:after="0" w:line="169" w:lineRule="exact"/>
              <w:rPr>
                <w:rFonts w:ascii="Arial" w:cs="Arial" w:eastAsia="Arial" w:hAnsi="Arial"/>
                <w:sz w:val="17"/>
                <w:szCs w:val="17"/>
                <w:color w:val="0000EE"/>
              </w:rPr>
            </w:pPr>
            <w:hyperlink r:id="rId152">
              <w:r>
                <w:rPr>
                  <w:rFonts w:ascii="Arial" w:cs="Arial" w:eastAsia="Arial" w:hAnsi="Arial"/>
                  <w:sz w:val="17"/>
                  <w:szCs w:val="17"/>
                  <w:color w:val="0000EE"/>
                </w:rPr>
                <w:t>May 22, 2019 filed on May 28, 2019 (the “May 22, 2019 Form 8-K”)).</w:t>
              </w:r>
            </w:hyperlink>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9"/>
              </w:rPr>
              <w:t>10.13†</w:t>
            </w:r>
          </w:p>
        </w:tc>
        <w:tc>
          <w:tcPr>
            <w:tcW w:w="280" w:type="dxa"/>
            <w:vAlign w:val="bottom"/>
          </w:tcPr>
          <w:p>
            <w:pPr>
              <w:spacing w:after="0"/>
              <w:rPr>
                <w:sz w:val="24"/>
                <w:szCs w:val="24"/>
                <w:color w:val="auto"/>
              </w:rPr>
            </w:pPr>
          </w:p>
        </w:tc>
        <w:tc>
          <w:tcPr>
            <w:tcW w:w="7680" w:type="dxa"/>
            <w:vAlign w:val="bottom"/>
            <w:tcBorders>
              <w:bottom w:val="single" w:sz="8" w:color="0000EE"/>
            </w:tcBorders>
            <w:gridSpan w:val="14"/>
          </w:tcPr>
          <w:p>
            <w:pPr>
              <w:spacing w:after="0"/>
              <w:rPr>
                <w:rFonts w:ascii="Arial" w:cs="Arial" w:eastAsia="Arial" w:hAnsi="Arial"/>
                <w:sz w:val="17"/>
                <w:szCs w:val="17"/>
                <w:color w:val="0000EE"/>
              </w:rPr>
            </w:pPr>
            <w:hyperlink r:id="rId153">
              <w:r>
                <w:rPr>
                  <w:rFonts w:ascii="Arial" w:cs="Arial" w:eastAsia="Arial" w:hAnsi="Arial"/>
                  <w:sz w:val="17"/>
                  <w:szCs w:val="17"/>
                  <w:color w:val="0000EE"/>
                </w:rPr>
                <w:t>Amendment Number Four to the Foot Locker Supplemental Executive Retirement Plan (incorporated</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gridSpan w:val="14"/>
          </w:tcPr>
          <w:p>
            <w:pPr>
              <w:spacing w:after="0" w:line="169" w:lineRule="exact"/>
              <w:rPr>
                <w:rFonts w:ascii="Arial" w:cs="Arial" w:eastAsia="Arial" w:hAnsi="Arial"/>
                <w:sz w:val="17"/>
                <w:szCs w:val="17"/>
                <w:color w:val="0000EE"/>
              </w:rPr>
            </w:pPr>
            <w:hyperlink r:id="rId153">
              <w:r>
                <w:rPr>
                  <w:rFonts w:ascii="Arial" w:cs="Arial" w:eastAsia="Arial" w:hAnsi="Arial"/>
                  <w:sz w:val="17"/>
                  <w:szCs w:val="17"/>
                  <w:color w:val="0000EE"/>
                </w:rPr>
                <w:t>herein by reference to Exhibit 10.1 to the Quarterly Report on Form 10-Q for the quarterly period</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60" w:type="dxa"/>
            <w:vAlign w:val="bottom"/>
            <w:tcBorders>
              <w:top w:val="single" w:sz="8" w:color="0000EE"/>
            </w:tcBorders>
            <w:gridSpan w:val="13"/>
          </w:tcPr>
          <w:p>
            <w:pPr>
              <w:spacing w:after="0" w:line="169" w:lineRule="exact"/>
              <w:rPr>
                <w:rFonts w:ascii="Arial" w:cs="Arial" w:eastAsia="Arial" w:hAnsi="Arial"/>
                <w:sz w:val="17"/>
                <w:szCs w:val="17"/>
                <w:color w:val="0000EE"/>
              </w:rPr>
            </w:pPr>
            <w:hyperlink r:id="rId153">
              <w:r>
                <w:rPr>
                  <w:rFonts w:ascii="Arial" w:cs="Arial" w:eastAsia="Arial" w:hAnsi="Arial"/>
                  <w:sz w:val="17"/>
                  <w:szCs w:val="17"/>
                  <w:color w:val="0000EE"/>
                </w:rPr>
                <w:t>ended August 3, 2019 filed on September 11, 2019).</w:t>
              </w:r>
            </w:hyperlink>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9"/>
              </w:rPr>
              <w:t>10.14†</w:t>
            </w:r>
          </w:p>
        </w:tc>
        <w:tc>
          <w:tcPr>
            <w:tcW w:w="280" w:type="dxa"/>
            <w:vAlign w:val="bottom"/>
          </w:tcPr>
          <w:p>
            <w:pPr>
              <w:spacing w:after="0"/>
              <w:rPr>
                <w:sz w:val="24"/>
                <w:szCs w:val="24"/>
                <w:color w:val="auto"/>
              </w:rPr>
            </w:pPr>
          </w:p>
        </w:tc>
        <w:tc>
          <w:tcPr>
            <w:tcW w:w="2800" w:type="dxa"/>
            <w:vAlign w:val="bottom"/>
            <w:gridSpan w:val="5"/>
          </w:tcPr>
          <w:p>
            <w:pPr>
              <w:spacing w:after="0"/>
              <w:rPr>
                <w:sz w:val="20"/>
                <w:szCs w:val="20"/>
                <w:color w:val="auto"/>
              </w:rPr>
            </w:pPr>
            <w:r>
              <w:rPr>
                <w:rFonts w:ascii="Arial" w:cs="Arial" w:eastAsia="Arial" w:hAnsi="Arial"/>
                <w:sz w:val="17"/>
                <w:szCs w:val="17"/>
                <w:color w:val="auto"/>
              </w:rPr>
              <w:t>Foot  Locker  Directors’  Retirement</w:t>
            </w:r>
          </w:p>
        </w:tc>
        <w:tc>
          <w:tcPr>
            <w:tcW w:w="40" w:type="dxa"/>
            <w:vAlign w:val="bottom"/>
          </w:tcPr>
          <w:p>
            <w:pPr>
              <w:spacing w:after="0"/>
              <w:rPr>
                <w:sz w:val="24"/>
                <w:szCs w:val="24"/>
                <w:color w:val="auto"/>
              </w:rPr>
            </w:pPr>
          </w:p>
        </w:tc>
        <w:tc>
          <w:tcPr>
            <w:tcW w:w="4840" w:type="dxa"/>
            <w:vAlign w:val="bottom"/>
            <w:gridSpan w:val="8"/>
          </w:tcPr>
          <w:p>
            <w:pPr>
              <w:jc w:val="right"/>
              <w:ind w:right="20"/>
              <w:spacing w:after="0"/>
              <w:rPr>
                <w:sz w:val="20"/>
                <w:szCs w:val="20"/>
                <w:color w:val="auto"/>
              </w:rPr>
            </w:pPr>
            <w:r>
              <w:rPr>
                <w:rFonts w:ascii="Arial" w:cs="Arial" w:eastAsia="Arial" w:hAnsi="Arial"/>
                <w:sz w:val="17"/>
                <w:szCs w:val="17"/>
                <w:color w:val="auto"/>
              </w:rPr>
              <w:t>Plan,  as  amended  (incorporated  herein  by  reference  to</w:t>
            </w:r>
          </w:p>
        </w:tc>
      </w:tr>
      <w:tr>
        <w:trPr>
          <w:trHeight w:val="205"/>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80" w:type="dxa"/>
            <w:vAlign w:val="bottom"/>
            <w:gridSpan w:val="14"/>
          </w:tcPr>
          <w:p>
            <w:pPr>
              <w:spacing w:after="0"/>
              <w:rPr>
                <w:sz w:val="20"/>
                <w:szCs w:val="20"/>
                <w:color w:val="auto"/>
              </w:rPr>
            </w:pPr>
            <w:r>
              <w:rPr>
                <w:rFonts w:ascii="Arial" w:cs="Arial" w:eastAsia="Arial" w:hAnsi="Arial"/>
                <w:sz w:val="17"/>
                <w:szCs w:val="17"/>
                <w:color w:val="auto"/>
              </w:rPr>
              <w:t>Exhibit 10(k) to the 8-B Registration Statement).</w:t>
            </w:r>
          </w:p>
        </w:tc>
      </w:tr>
      <w:tr>
        <w:trPr>
          <w:trHeight w:val="362"/>
        </w:trPr>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9"/>
              </w:rPr>
              <w:t>10.15†</w:t>
            </w:r>
          </w:p>
        </w:tc>
        <w:tc>
          <w:tcPr>
            <w:tcW w:w="280" w:type="dxa"/>
            <w:vAlign w:val="bottom"/>
          </w:tcPr>
          <w:p>
            <w:pPr>
              <w:spacing w:after="0"/>
              <w:rPr>
                <w:sz w:val="24"/>
                <w:szCs w:val="24"/>
                <w:color w:val="auto"/>
              </w:rPr>
            </w:pPr>
          </w:p>
        </w:tc>
        <w:tc>
          <w:tcPr>
            <w:tcW w:w="7680" w:type="dxa"/>
            <w:vAlign w:val="bottom"/>
            <w:gridSpan w:val="14"/>
          </w:tcPr>
          <w:p>
            <w:pPr>
              <w:spacing w:after="0"/>
              <w:rPr>
                <w:sz w:val="20"/>
                <w:szCs w:val="20"/>
                <w:color w:val="auto"/>
              </w:rPr>
            </w:pPr>
            <w:r>
              <w:rPr>
                <w:rFonts w:ascii="Arial" w:cs="Arial" w:eastAsia="Arial" w:hAnsi="Arial"/>
                <w:sz w:val="17"/>
                <w:szCs w:val="17"/>
                <w:color w:val="auto"/>
              </w:rPr>
              <w:t>Amendments to the Foot Locker Directors’ Retirement Plan (incorporated herein by reference to</w:t>
            </w:r>
          </w:p>
        </w:tc>
      </w:tr>
      <w:tr>
        <w:trPr>
          <w:trHeight w:val="189"/>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80" w:type="dxa"/>
            <w:vAlign w:val="bottom"/>
            <w:gridSpan w:val="14"/>
          </w:tcPr>
          <w:p>
            <w:pPr>
              <w:spacing w:after="0" w:line="189" w:lineRule="exact"/>
              <w:rPr>
                <w:sz w:val="20"/>
                <w:szCs w:val="20"/>
                <w:color w:val="auto"/>
              </w:rPr>
            </w:pPr>
            <w:r>
              <w:rPr>
                <w:rFonts w:ascii="Arial" w:cs="Arial" w:eastAsia="Arial" w:hAnsi="Arial"/>
                <w:sz w:val="17"/>
                <w:szCs w:val="17"/>
                <w:color w:val="auto"/>
              </w:rPr>
              <w:t>Exhibit 10(c) to the Quarterly Report on Form 10-Q for the quarterly period ended October 28, 1995</w:t>
            </w:r>
          </w:p>
        </w:tc>
      </w:tr>
      <w:tr>
        <w:trPr>
          <w:trHeight w:val="205"/>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0" w:type="dxa"/>
            <w:vAlign w:val="bottom"/>
            <w:gridSpan w:val="5"/>
          </w:tcPr>
          <w:p>
            <w:pPr>
              <w:spacing w:after="0"/>
              <w:rPr>
                <w:sz w:val="20"/>
                <w:szCs w:val="20"/>
                <w:color w:val="auto"/>
              </w:rPr>
            </w:pPr>
            <w:r>
              <w:rPr>
                <w:rFonts w:ascii="Arial" w:cs="Arial" w:eastAsia="Arial" w:hAnsi="Arial"/>
                <w:sz w:val="17"/>
                <w:szCs w:val="17"/>
                <w:color w:val="auto"/>
              </w:rPr>
              <w:t>filed on December 11, 1995).</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2"/>
        </w:trPr>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9"/>
              </w:rPr>
              <w:t>10.16†</w:t>
            </w:r>
          </w:p>
        </w:tc>
        <w:tc>
          <w:tcPr>
            <w:tcW w:w="280" w:type="dxa"/>
            <w:vAlign w:val="bottom"/>
          </w:tcPr>
          <w:p>
            <w:pPr>
              <w:spacing w:after="0"/>
              <w:rPr>
                <w:sz w:val="24"/>
                <w:szCs w:val="24"/>
                <w:color w:val="auto"/>
              </w:rPr>
            </w:pPr>
          </w:p>
        </w:tc>
        <w:tc>
          <w:tcPr>
            <w:tcW w:w="7680" w:type="dxa"/>
            <w:vAlign w:val="bottom"/>
            <w:tcBorders>
              <w:bottom w:val="single" w:sz="8" w:color="0000EE"/>
            </w:tcBorders>
            <w:gridSpan w:val="14"/>
          </w:tcPr>
          <w:p>
            <w:pPr>
              <w:spacing w:after="0"/>
              <w:rPr>
                <w:rFonts w:ascii="Arial" w:cs="Arial" w:eastAsia="Arial" w:hAnsi="Arial"/>
                <w:sz w:val="17"/>
                <w:szCs w:val="17"/>
                <w:color w:val="0000EE"/>
              </w:rPr>
            </w:pPr>
            <w:hyperlink r:id="rId154">
              <w:r>
                <w:rPr>
                  <w:rFonts w:ascii="Arial" w:cs="Arial" w:eastAsia="Arial" w:hAnsi="Arial"/>
                  <w:sz w:val="17"/>
                  <w:szCs w:val="17"/>
                  <w:color w:val="0000EE"/>
                </w:rPr>
                <w:t>Foot Locker, Inc. Excess Cash Balance Plan (incorporated herein by reference to Exhibit 10.22 to the</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tcBorders>
              <w:bottom w:val="single" w:sz="8" w:color="0000EE"/>
            </w:tcBorders>
            <w:gridSpan w:val="14"/>
          </w:tcPr>
          <w:p>
            <w:pPr>
              <w:spacing w:after="0" w:line="169" w:lineRule="exact"/>
              <w:rPr>
                <w:rFonts w:ascii="Arial" w:cs="Arial" w:eastAsia="Arial" w:hAnsi="Arial"/>
                <w:sz w:val="17"/>
                <w:szCs w:val="17"/>
                <w:color w:val="0000EE"/>
              </w:rPr>
            </w:pPr>
            <w:hyperlink r:id="rId154">
              <w:r>
                <w:rPr>
                  <w:rFonts w:ascii="Arial" w:cs="Arial" w:eastAsia="Arial" w:hAnsi="Arial"/>
                  <w:sz w:val="17"/>
                  <w:szCs w:val="17"/>
                  <w:color w:val="0000EE"/>
                </w:rPr>
                <w:t>Annual Report on Form 10-K for the fiscal year ended January 31, 2009 filed on March 30, 2009 (the</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5"/>
          </w:tcPr>
          <w:p>
            <w:pPr>
              <w:spacing w:after="0" w:line="169" w:lineRule="exact"/>
              <w:rPr>
                <w:rFonts w:ascii="Arial" w:cs="Arial" w:eastAsia="Arial" w:hAnsi="Arial"/>
                <w:sz w:val="17"/>
                <w:szCs w:val="17"/>
                <w:color w:val="0000EE"/>
              </w:rPr>
            </w:pPr>
            <w:hyperlink r:id="rId154">
              <w:r>
                <w:rPr>
                  <w:rFonts w:ascii="Arial" w:cs="Arial" w:eastAsia="Arial" w:hAnsi="Arial"/>
                  <w:sz w:val="17"/>
                  <w:szCs w:val="17"/>
                  <w:color w:val="0000EE"/>
                </w:rPr>
                <w:t>“2008 Form 10-K”)).</w:t>
              </w:r>
            </w:hyperlink>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9"/>
              </w:rPr>
              <w:t>10.17†</w:t>
            </w:r>
          </w:p>
        </w:tc>
        <w:tc>
          <w:tcPr>
            <w:tcW w:w="280" w:type="dxa"/>
            <w:vAlign w:val="bottom"/>
          </w:tcPr>
          <w:p>
            <w:pPr>
              <w:spacing w:after="0"/>
              <w:rPr>
                <w:sz w:val="24"/>
                <w:szCs w:val="24"/>
                <w:color w:val="auto"/>
              </w:rPr>
            </w:pPr>
          </w:p>
        </w:tc>
        <w:tc>
          <w:tcPr>
            <w:tcW w:w="7680" w:type="dxa"/>
            <w:vAlign w:val="bottom"/>
            <w:tcBorders>
              <w:bottom w:val="single" w:sz="8" w:color="0000EE"/>
            </w:tcBorders>
            <w:gridSpan w:val="14"/>
          </w:tcPr>
          <w:p>
            <w:pPr>
              <w:spacing w:after="0"/>
              <w:rPr>
                <w:rFonts w:ascii="Arial" w:cs="Arial" w:eastAsia="Arial" w:hAnsi="Arial"/>
                <w:sz w:val="17"/>
                <w:szCs w:val="17"/>
                <w:color w:val="0000EE"/>
              </w:rPr>
            </w:pPr>
            <w:hyperlink r:id="rId155">
              <w:r>
                <w:rPr>
                  <w:rFonts w:ascii="Arial" w:cs="Arial" w:eastAsia="Arial" w:hAnsi="Arial"/>
                  <w:sz w:val="17"/>
                  <w:szCs w:val="17"/>
                  <w:color w:val="0000EE"/>
                </w:rPr>
                <w:t>Automobile  Expense  Reimbursement  Program  for  Senior  Executives  (incorporated  herein  by</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0" w:type="dxa"/>
            <w:vAlign w:val="bottom"/>
            <w:tcBorders>
              <w:bottom w:val="single" w:sz="8" w:color="0000EE"/>
            </w:tcBorders>
            <w:gridSpan w:val="9"/>
          </w:tcPr>
          <w:p>
            <w:pPr>
              <w:spacing w:after="0" w:line="169" w:lineRule="exact"/>
              <w:rPr>
                <w:rFonts w:ascii="Arial" w:cs="Arial" w:eastAsia="Arial" w:hAnsi="Arial"/>
                <w:sz w:val="17"/>
                <w:szCs w:val="17"/>
                <w:color w:val="0000EE"/>
                <w:w w:val="99"/>
              </w:rPr>
            </w:pPr>
            <w:hyperlink r:id="rId155">
              <w:r>
                <w:rPr>
                  <w:rFonts w:ascii="Arial" w:cs="Arial" w:eastAsia="Arial" w:hAnsi="Arial"/>
                  <w:sz w:val="17"/>
                  <w:szCs w:val="17"/>
                  <w:color w:val="0000EE"/>
                  <w:w w:val="99"/>
                </w:rPr>
                <w:t>reference to Exhibit 10.26 to the 2008 Form 10-K).</w:t>
              </w:r>
            </w:hyperlink>
          </w:p>
        </w:tc>
        <w:tc>
          <w:tcPr>
            <w:tcW w:w="3880" w:type="dxa"/>
            <w:vAlign w:val="bottom"/>
            <w:gridSpan w:val="5"/>
          </w:tcPr>
          <w:p>
            <w:pPr>
              <w:spacing w:after="0"/>
              <w:rPr>
                <w:sz w:val="14"/>
                <w:szCs w:val="14"/>
                <w:color w:val="auto"/>
              </w:rPr>
            </w:pPr>
          </w:p>
        </w:tc>
      </w:tr>
      <w:tr>
        <w:trPr>
          <w:trHeight w:val="358"/>
        </w:trPr>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9"/>
              </w:rPr>
              <w:t>10.18†</w:t>
            </w:r>
          </w:p>
        </w:tc>
        <w:tc>
          <w:tcPr>
            <w:tcW w:w="280" w:type="dxa"/>
            <w:vAlign w:val="bottom"/>
          </w:tcPr>
          <w:p>
            <w:pPr>
              <w:spacing w:after="0"/>
              <w:rPr>
                <w:sz w:val="24"/>
                <w:szCs w:val="24"/>
                <w:color w:val="auto"/>
              </w:rPr>
            </w:pPr>
          </w:p>
        </w:tc>
        <w:tc>
          <w:tcPr>
            <w:tcW w:w="7680" w:type="dxa"/>
            <w:vAlign w:val="bottom"/>
            <w:tcBorders>
              <w:bottom w:val="single" w:sz="8" w:color="0000EE"/>
            </w:tcBorders>
            <w:gridSpan w:val="14"/>
          </w:tcPr>
          <w:p>
            <w:pPr>
              <w:spacing w:after="0"/>
              <w:rPr>
                <w:rFonts w:ascii="Arial" w:cs="Arial" w:eastAsia="Arial" w:hAnsi="Arial"/>
                <w:sz w:val="17"/>
                <w:szCs w:val="17"/>
                <w:color w:val="0000EE"/>
              </w:rPr>
            </w:pPr>
            <w:hyperlink r:id="rId156">
              <w:r>
                <w:rPr>
                  <w:rFonts w:ascii="Arial" w:cs="Arial" w:eastAsia="Arial" w:hAnsi="Arial"/>
                  <w:sz w:val="17"/>
                  <w:szCs w:val="17"/>
                  <w:color w:val="0000EE"/>
                </w:rPr>
                <w:t>Executive Medical Expense Allowance Program for Senior Executives (incorporated herein by</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0" w:type="dxa"/>
            <w:vAlign w:val="bottom"/>
            <w:tcBorders>
              <w:bottom w:val="single" w:sz="8" w:color="0000EE"/>
            </w:tcBorders>
            <w:gridSpan w:val="9"/>
          </w:tcPr>
          <w:p>
            <w:pPr>
              <w:spacing w:after="0" w:line="169" w:lineRule="exact"/>
              <w:rPr>
                <w:rFonts w:ascii="Arial" w:cs="Arial" w:eastAsia="Arial" w:hAnsi="Arial"/>
                <w:sz w:val="17"/>
                <w:szCs w:val="17"/>
                <w:color w:val="0000EE"/>
                <w:w w:val="99"/>
              </w:rPr>
            </w:pPr>
            <w:hyperlink r:id="rId156">
              <w:r>
                <w:rPr>
                  <w:rFonts w:ascii="Arial" w:cs="Arial" w:eastAsia="Arial" w:hAnsi="Arial"/>
                  <w:sz w:val="17"/>
                  <w:szCs w:val="17"/>
                  <w:color w:val="0000EE"/>
                  <w:w w:val="99"/>
                </w:rPr>
                <w:t>reference to Exhibit 10.27 to the 2008 Form 10-K).</w:t>
              </w:r>
            </w:hyperlink>
          </w:p>
        </w:tc>
        <w:tc>
          <w:tcPr>
            <w:tcW w:w="3880" w:type="dxa"/>
            <w:vAlign w:val="bottom"/>
            <w:gridSpan w:val="5"/>
          </w:tcPr>
          <w:p>
            <w:pPr>
              <w:spacing w:after="0"/>
              <w:rPr>
                <w:sz w:val="14"/>
                <w:szCs w:val="14"/>
                <w:color w:val="auto"/>
              </w:rPr>
            </w:pPr>
          </w:p>
        </w:tc>
      </w:tr>
      <w:tr>
        <w:trPr>
          <w:trHeight w:val="358"/>
        </w:trPr>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9"/>
              </w:rPr>
              <w:t>10.19†</w:t>
            </w:r>
          </w:p>
        </w:tc>
        <w:tc>
          <w:tcPr>
            <w:tcW w:w="280" w:type="dxa"/>
            <w:vAlign w:val="bottom"/>
          </w:tcPr>
          <w:p>
            <w:pPr>
              <w:spacing w:after="0"/>
              <w:rPr>
                <w:sz w:val="24"/>
                <w:szCs w:val="24"/>
                <w:color w:val="auto"/>
              </w:rPr>
            </w:pPr>
          </w:p>
        </w:tc>
        <w:tc>
          <w:tcPr>
            <w:tcW w:w="7680" w:type="dxa"/>
            <w:vAlign w:val="bottom"/>
            <w:tcBorders>
              <w:bottom w:val="single" w:sz="8" w:color="0000EE"/>
            </w:tcBorders>
            <w:gridSpan w:val="14"/>
          </w:tcPr>
          <w:p>
            <w:pPr>
              <w:spacing w:after="0"/>
              <w:rPr>
                <w:rFonts w:ascii="Arial" w:cs="Arial" w:eastAsia="Arial" w:hAnsi="Arial"/>
                <w:sz w:val="17"/>
                <w:szCs w:val="17"/>
                <w:color w:val="0000EE"/>
              </w:rPr>
            </w:pPr>
            <w:hyperlink r:id="rId157">
              <w:r>
                <w:rPr>
                  <w:rFonts w:ascii="Arial" w:cs="Arial" w:eastAsia="Arial" w:hAnsi="Arial"/>
                  <w:sz w:val="17"/>
                  <w:szCs w:val="17"/>
                  <w:color w:val="0000EE"/>
                </w:rPr>
                <w:t>Financial Planning Allowance Program for Senior Executives (incorporated herein by reference to</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gridSpan w:val="14"/>
          </w:tcPr>
          <w:p>
            <w:pPr>
              <w:spacing w:after="0" w:line="169" w:lineRule="exact"/>
              <w:rPr>
                <w:rFonts w:ascii="Arial" w:cs="Arial" w:eastAsia="Arial" w:hAnsi="Arial"/>
                <w:sz w:val="17"/>
                <w:szCs w:val="17"/>
                <w:color w:val="0000EE"/>
              </w:rPr>
            </w:pPr>
            <w:hyperlink r:id="rId157">
              <w:r>
                <w:rPr>
                  <w:rFonts w:ascii="Arial" w:cs="Arial" w:eastAsia="Arial" w:hAnsi="Arial"/>
                  <w:sz w:val="17"/>
                  <w:szCs w:val="17"/>
                  <w:color w:val="0000EE"/>
                </w:rPr>
                <w:t>Exhibit 10.28 to the 2008 Form 10-K).</w:t>
              </w:r>
            </w:hyperlink>
          </w:p>
        </w:tc>
      </w:tr>
      <w:tr>
        <w:trPr>
          <w:trHeight w:val="358"/>
        </w:trPr>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9"/>
              </w:rPr>
              <w:t>10.20†</w:t>
            </w:r>
          </w:p>
        </w:tc>
        <w:tc>
          <w:tcPr>
            <w:tcW w:w="28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5"/>
          </w:tcPr>
          <w:p>
            <w:pPr>
              <w:spacing w:after="0"/>
              <w:rPr>
                <w:rFonts w:ascii="Arial" w:cs="Arial" w:eastAsia="Arial" w:hAnsi="Arial"/>
                <w:sz w:val="17"/>
                <w:szCs w:val="17"/>
                <w:color w:val="0000EE"/>
              </w:rPr>
            </w:pPr>
            <w:hyperlink r:id="rId158">
              <w:r>
                <w:rPr>
                  <w:rFonts w:ascii="Arial" w:cs="Arial" w:eastAsia="Arial" w:hAnsi="Arial"/>
                  <w:sz w:val="17"/>
                  <w:szCs w:val="17"/>
                  <w:color w:val="0000EE"/>
                </w:rPr>
                <w:t>Long-Term  Disability  Program  for</w:t>
              </w:r>
            </w:hyperlink>
          </w:p>
        </w:tc>
        <w:tc>
          <w:tcPr>
            <w:tcW w:w="40" w:type="dxa"/>
            <w:vAlign w:val="bottom"/>
            <w:tcBorders>
              <w:top w:val="single" w:sz="8" w:color="0000EE"/>
              <w:bottom w:val="single" w:sz="8" w:color="0000EE"/>
            </w:tcBorders>
          </w:tcPr>
          <w:p>
            <w:pPr>
              <w:spacing w:after="0"/>
              <w:rPr>
                <w:sz w:val="24"/>
                <w:szCs w:val="24"/>
                <w:color w:val="auto"/>
              </w:rPr>
            </w:pPr>
          </w:p>
        </w:tc>
        <w:tc>
          <w:tcPr>
            <w:tcW w:w="4840" w:type="dxa"/>
            <w:vAlign w:val="bottom"/>
            <w:tcBorders>
              <w:bottom w:val="single" w:sz="8" w:color="0000EE"/>
            </w:tcBorders>
            <w:gridSpan w:val="8"/>
          </w:tcPr>
          <w:p>
            <w:pPr>
              <w:jc w:val="right"/>
              <w:ind w:right="20"/>
              <w:spacing w:after="0"/>
              <w:rPr>
                <w:rFonts w:ascii="Arial" w:cs="Arial" w:eastAsia="Arial" w:hAnsi="Arial"/>
                <w:sz w:val="17"/>
                <w:szCs w:val="17"/>
                <w:color w:val="0000EE"/>
              </w:rPr>
            </w:pPr>
            <w:hyperlink r:id="rId158">
              <w:r>
                <w:rPr>
                  <w:rFonts w:ascii="Arial" w:cs="Arial" w:eastAsia="Arial" w:hAnsi="Arial"/>
                  <w:sz w:val="17"/>
                  <w:szCs w:val="17"/>
                  <w:color w:val="0000EE"/>
                </w:rPr>
                <w:t>Senior  Executives  (incorporated  herein  by  reference  to</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tcBorders>
              <w:bottom w:val="single" w:sz="8" w:color="0000EE"/>
            </w:tcBorders>
            <w:gridSpan w:val="6"/>
          </w:tcPr>
          <w:p>
            <w:pPr>
              <w:spacing w:after="0" w:line="169" w:lineRule="exact"/>
              <w:rPr>
                <w:rFonts w:ascii="Arial" w:cs="Arial" w:eastAsia="Arial" w:hAnsi="Arial"/>
                <w:sz w:val="17"/>
                <w:szCs w:val="17"/>
                <w:color w:val="0000EE"/>
                <w:w w:val="99"/>
              </w:rPr>
            </w:pPr>
            <w:hyperlink r:id="rId158">
              <w:r>
                <w:rPr>
                  <w:rFonts w:ascii="Arial" w:cs="Arial" w:eastAsia="Arial" w:hAnsi="Arial"/>
                  <w:sz w:val="17"/>
                  <w:szCs w:val="17"/>
                  <w:color w:val="0000EE"/>
                  <w:w w:val="99"/>
                </w:rPr>
                <w:t>Exhibit 10.32 to the 2008 Form 10-K).</w:t>
              </w:r>
            </w:hyperlink>
          </w:p>
        </w:tc>
        <w:tc>
          <w:tcPr>
            <w:tcW w:w="4840" w:type="dxa"/>
            <w:vAlign w:val="bottom"/>
            <w:gridSpan w:val="8"/>
          </w:tcPr>
          <w:p>
            <w:pPr>
              <w:spacing w:after="0"/>
              <w:rPr>
                <w:sz w:val="14"/>
                <w:szCs w:val="14"/>
                <w:color w:val="auto"/>
              </w:rPr>
            </w:pPr>
          </w:p>
        </w:tc>
      </w:tr>
      <w:tr>
        <w:trPr>
          <w:trHeight w:val="358"/>
        </w:trPr>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9"/>
              </w:rPr>
              <w:t>10.21†</w:t>
            </w:r>
          </w:p>
        </w:tc>
        <w:tc>
          <w:tcPr>
            <w:tcW w:w="280" w:type="dxa"/>
            <w:vAlign w:val="bottom"/>
          </w:tcPr>
          <w:p>
            <w:pPr>
              <w:spacing w:after="0"/>
              <w:rPr>
                <w:sz w:val="24"/>
                <w:szCs w:val="24"/>
                <w:color w:val="auto"/>
              </w:rPr>
            </w:pPr>
          </w:p>
        </w:tc>
        <w:tc>
          <w:tcPr>
            <w:tcW w:w="7680" w:type="dxa"/>
            <w:vAlign w:val="bottom"/>
            <w:tcBorders>
              <w:bottom w:val="single" w:sz="8" w:color="0000EE"/>
            </w:tcBorders>
            <w:gridSpan w:val="14"/>
          </w:tcPr>
          <w:p>
            <w:pPr>
              <w:spacing w:after="0"/>
              <w:rPr>
                <w:rFonts w:ascii="Arial" w:cs="Arial" w:eastAsia="Arial" w:hAnsi="Arial"/>
                <w:sz w:val="17"/>
                <w:szCs w:val="17"/>
                <w:color w:val="0000EE"/>
              </w:rPr>
            </w:pPr>
            <w:hyperlink r:id="rId159">
              <w:r>
                <w:rPr>
                  <w:rFonts w:ascii="Arial" w:cs="Arial" w:eastAsia="Arial" w:hAnsi="Arial"/>
                  <w:sz w:val="17"/>
                  <w:szCs w:val="17"/>
                  <w:color w:val="0000EE"/>
                </w:rPr>
                <w:t>Form of Nonstatutory Stock Option Award Agreement for Executive Officers (incorporated herein by</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5"/>
          </w:tcPr>
          <w:p>
            <w:pPr>
              <w:spacing w:after="0" w:line="169" w:lineRule="exact"/>
              <w:rPr>
                <w:rFonts w:ascii="Arial" w:cs="Arial" w:eastAsia="Arial" w:hAnsi="Arial"/>
                <w:sz w:val="17"/>
                <w:szCs w:val="17"/>
                <w:color w:val="0000EE"/>
              </w:rPr>
            </w:pPr>
            <w:hyperlink r:id="rId159">
              <w:r>
                <w:rPr>
                  <w:rFonts w:ascii="Arial" w:cs="Arial" w:eastAsia="Arial" w:hAnsi="Arial"/>
                  <w:sz w:val="17"/>
                  <w:szCs w:val="17"/>
                  <w:color w:val="0000EE"/>
                </w:rPr>
                <w:t>reference  to  Exhibit  10.40  to  the</w:t>
              </w:r>
            </w:hyperlink>
          </w:p>
        </w:tc>
        <w:tc>
          <w:tcPr>
            <w:tcW w:w="40" w:type="dxa"/>
            <w:vAlign w:val="bottom"/>
          </w:tcPr>
          <w:p>
            <w:pPr>
              <w:spacing w:after="0"/>
              <w:rPr>
                <w:sz w:val="14"/>
                <w:szCs w:val="14"/>
                <w:color w:val="auto"/>
              </w:rPr>
            </w:pPr>
          </w:p>
        </w:tc>
        <w:tc>
          <w:tcPr>
            <w:tcW w:w="4840" w:type="dxa"/>
            <w:vAlign w:val="bottom"/>
            <w:gridSpan w:val="8"/>
          </w:tcPr>
          <w:p>
            <w:pPr>
              <w:jc w:val="right"/>
              <w:ind w:right="20"/>
              <w:spacing w:after="0" w:line="169" w:lineRule="exact"/>
              <w:rPr>
                <w:rFonts w:ascii="Arial" w:cs="Arial" w:eastAsia="Arial" w:hAnsi="Arial"/>
                <w:sz w:val="17"/>
                <w:szCs w:val="17"/>
                <w:color w:val="0000EE"/>
              </w:rPr>
            </w:pPr>
            <w:hyperlink r:id="rId159">
              <w:r>
                <w:rPr>
                  <w:rFonts w:ascii="Arial" w:cs="Arial" w:eastAsia="Arial" w:hAnsi="Arial"/>
                  <w:sz w:val="17"/>
                  <w:szCs w:val="17"/>
                  <w:color w:val="0000EE"/>
                </w:rPr>
                <w:t>Annual  Report  on  Form  10-K  for  the  fiscal  year  ended</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60" w:type="dxa"/>
            <w:vAlign w:val="bottom"/>
            <w:tcBorders>
              <w:top w:val="single" w:sz="8" w:color="0000EE"/>
            </w:tcBorders>
            <w:gridSpan w:val="13"/>
          </w:tcPr>
          <w:p>
            <w:pPr>
              <w:spacing w:after="0" w:line="169" w:lineRule="exact"/>
              <w:rPr>
                <w:rFonts w:ascii="Arial" w:cs="Arial" w:eastAsia="Arial" w:hAnsi="Arial"/>
                <w:sz w:val="17"/>
                <w:szCs w:val="17"/>
                <w:color w:val="0000EE"/>
              </w:rPr>
            </w:pPr>
            <w:hyperlink r:id="rId159">
              <w:r>
                <w:rPr>
                  <w:rFonts w:ascii="Arial" w:cs="Arial" w:eastAsia="Arial" w:hAnsi="Arial"/>
                  <w:sz w:val="17"/>
                  <w:szCs w:val="17"/>
                  <w:color w:val="0000EE"/>
                </w:rPr>
                <w:t>January 28, 2006 filed on March 27, 2006).</w:t>
              </w:r>
            </w:hyperlink>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9"/>
              </w:rPr>
              <w:t>10.22†</w:t>
            </w:r>
          </w:p>
        </w:tc>
        <w:tc>
          <w:tcPr>
            <w:tcW w:w="280" w:type="dxa"/>
            <w:vAlign w:val="bottom"/>
          </w:tcPr>
          <w:p>
            <w:pPr>
              <w:spacing w:after="0"/>
              <w:rPr>
                <w:sz w:val="24"/>
                <w:szCs w:val="24"/>
                <w:color w:val="auto"/>
              </w:rPr>
            </w:pPr>
          </w:p>
        </w:tc>
        <w:tc>
          <w:tcPr>
            <w:tcW w:w="7680" w:type="dxa"/>
            <w:vAlign w:val="bottom"/>
            <w:tcBorders>
              <w:bottom w:val="single" w:sz="8" w:color="0000EE"/>
            </w:tcBorders>
            <w:gridSpan w:val="14"/>
          </w:tcPr>
          <w:p>
            <w:pPr>
              <w:spacing w:after="0"/>
              <w:rPr>
                <w:rFonts w:ascii="Arial" w:cs="Arial" w:eastAsia="Arial" w:hAnsi="Arial"/>
                <w:sz w:val="17"/>
                <w:szCs w:val="17"/>
                <w:color w:val="0000EE"/>
              </w:rPr>
            </w:pPr>
            <w:hyperlink r:id="rId160">
              <w:r>
                <w:rPr>
                  <w:rFonts w:ascii="Arial" w:cs="Arial" w:eastAsia="Arial" w:hAnsi="Arial"/>
                  <w:sz w:val="17"/>
                  <w:szCs w:val="17"/>
                  <w:color w:val="0000EE"/>
                </w:rPr>
                <w:t>Form of Nonstatutory Stock Option Award Agreement for Executive Officers (incorporated herein by</w:t>
              </w:r>
            </w:hyperlink>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80" w:type="dxa"/>
            <w:vAlign w:val="bottom"/>
            <w:gridSpan w:val="14"/>
          </w:tcPr>
          <w:p>
            <w:pPr>
              <w:spacing w:after="0" w:line="169" w:lineRule="exact"/>
              <w:rPr>
                <w:rFonts w:ascii="Arial" w:cs="Arial" w:eastAsia="Arial" w:hAnsi="Arial"/>
                <w:sz w:val="17"/>
                <w:szCs w:val="17"/>
                <w:color w:val="0000EE"/>
              </w:rPr>
            </w:pPr>
            <w:hyperlink r:id="rId160">
              <w:r>
                <w:rPr>
                  <w:rFonts w:ascii="Arial" w:cs="Arial" w:eastAsia="Arial" w:hAnsi="Arial"/>
                  <w:sz w:val="17"/>
                  <w:szCs w:val="17"/>
                  <w:color w:val="0000EE"/>
                </w:rPr>
                <w:t>reference to Exhibit 10.1 to the March 26, 2014 Form 8-K).</w:t>
              </w:r>
            </w:hyperlink>
          </w:p>
        </w:tc>
      </w:tr>
      <w:tr>
        <w:trPr>
          <w:trHeight w:val="205"/>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520" w:type="dxa"/>
            <w:vAlign w:val="bottom"/>
            <w:gridSpan w:val="2"/>
          </w:tcPr>
          <w:p>
            <w:pPr>
              <w:jc w:val="right"/>
              <w:spacing w:after="0"/>
              <w:rPr>
                <w:sz w:val="20"/>
                <w:szCs w:val="20"/>
                <w:color w:val="auto"/>
              </w:rPr>
            </w:pPr>
            <w:r>
              <w:rPr>
                <w:rFonts w:ascii="Arial" w:cs="Arial" w:eastAsia="Arial" w:hAnsi="Arial"/>
                <w:sz w:val="17"/>
                <w:szCs w:val="17"/>
                <w:color w:val="auto"/>
              </w:rPr>
              <w:t>2019 Form 10-K Page 81</w:t>
            </w:r>
          </w:p>
        </w:tc>
      </w:tr>
      <w:tr>
        <w:trPr>
          <w:trHeight w:val="740"/>
        </w:trPr>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707" w:right="1440" w:bottom="1440" w:gutter="0" w:footer="0" w:header="0"/>
        </w:sectPr>
      </w:pPr>
    </w:p>
    <w:bookmarkStart w:id="84" w:name="page85"/>
    <w:bookmarkEnd w:id="84"/>
    <w:p>
      <w:pPr>
        <w:ind w:left="80"/>
        <w:spacing w:after="0"/>
        <w:tabs>
          <w:tab w:leader="none" w:pos="4620" w:val="left"/>
        </w:tabs>
        <w:rPr>
          <w:sz w:val="20"/>
          <w:szCs w:val="20"/>
          <w:color w:val="auto"/>
        </w:rPr>
      </w:pPr>
      <w:r>
        <w:rPr>
          <w:rFonts w:ascii="Arial" w:cs="Arial" w:eastAsia="Arial" w:hAnsi="Arial"/>
          <w:sz w:val="17"/>
          <w:szCs w:val="17"/>
          <w:b w:val="1"/>
          <w:bCs w:val="1"/>
          <w:u w:val="single" w:color="auto"/>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12700</wp:posOffset>
            </wp:positionV>
            <wp:extent cx="4877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240" w:type="dxa"/>
            <w:vAlign w:val="bottom"/>
          </w:tcPr>
          <w:p>
            <w:pPr>
              <w:jc w:val="center"/>
              <w:ind w:right="195"/>
              <w:spacing w:after="0"/>
              <w:rPr>
                <w:sz w:val="20"/>
                <w:szCs w:val="20"/>
                <w:color w:val="auto"/>
              </w:rPr>
            </w:pPr>
            <w:r>
              <w:rPr>
                <w:rFonts w:ascii="Arial" w:cs="Arial" w:eastAsia="Arial" w:hAnsi="Arial"/>
                <w:sz w:val="17"/>
                <w:szCs w:val="17"/>
                <w:color w:val="auto"/>
                <w:w w:val="99"/>
              </w:rPr>
              <w:t>10.23†</w:t>
            </w:r>
          </w:p>
        </w:tc>
        <w:tc>
          <w:tcPr>
            <w:tcW w:w="7680" w:type="dxa"/>
            <w:vAlign w:val="bottom"/>
            <w:gridSpan w:val="17"/>
          </w:tcPr>
          <w:p>
            <w:pPr>
              <w:spacing w:after="0"/>
              <w:rPr>
                <w:rFonts w:ascii="Arial" w:cs="Arial" w:eastAsia="Arial" w:hAnsi="Arial"/>
                <w:sz w:val="17"/>
                <w:szCs w:val="17"/>
                <w:color w:val="0000EE"/>
              </w:rPr>
            </w:pPr>
            <w:hyperlink r:id="rId162">
              <w:r>
                <w:rPr>
                  <w:rFonts w:ascii="Arial" w:cs="Arial" w:eastAsia="Arial" w:hAnsi="Arial"/>
                  <w:sz w:val="17"/>
                  <w:szCs w:val="17"/>
                  <w:color w:val="0000EE"/>
                </w:rPr>
                <w:t>Form of Restricted Stock Agreement (incorporated herein by reference to Exhibit 10.2 to the</w:t>
              </w:r>
            </w:hyperlink>
          </w:p>
        </w:tc>
      </w:tr>
      <w:tr>
        <w:trPr>
          <w:trHeight w:val="169"/>
        </w:trPr>
        <w:tc>
          <w:tcPr>
            <w:tcW w:w="1240" w:type="dxa"/>
            <w:vAlign w:val="bottom"/>
          </w:tcPr>
          <w:p>
            <w:pPr>
              <w:spacing w:after="0"/>
              <w:rPr>
                <w:sz w:val="14"/>
                <w:szCs w:val="14"/>
                <w:color w:val="auto"/>
              </w:rPr>
            </w:pPr>
          </w:p>
        </w:tc>
        <w:tc>
          <w:tcPr>
            <w:tcW w:w="7660" w:type="dxa"/>
            <w:vAlign w:val="bottom"/>
            <w:tcBorders>
              <w:top w:val="single" w:sz="8" w:color="0000EE"/>
            </w:tcBorders>
            <w:gridSpan w:val="16"/>
          </w:tcPr>
          <w:p>
            <w:pPr>
              <w:spacing w:after="0" w:line="169" w:lineRule="exact"/>
              <w:rPr>
                <w:rFonts w:ascii="Arial" w:cs="Arial" w:eastAsia="Arial" w:hAnsi="Arial"/>
                <w:sz w:val="17"/>
                <w:szCs w:val="17"/>
                <w:color w:val="0000EE"/>
              </w:rPr>
            </w:pPr>
            <w:hyperlink r:id="rId162">
              <w:r>
                <w:rPr>
                  <w:rFonts w:ascii="Arial" w:cs="Arial" w:eastAsia="Arial" w:hAnsi="Arial"/>
                  <w:sz w:val="17"/>
                  <w:szCs w:val="17"/>
                  <w:color w:val="0000EE"/>
                </w:rPr>
                <w:t>March 26, 2014 Form 8-K).</w:t>
              </w:r>
            </w:hyperlink>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jc w:val="center"/>
              <w:ind w:right="195"/>
              <w:spacing w:after="0"/>
              <w:rPr>
                <w:sz w:val="20"/>
                <w:szCs w:val="20"/>
                <w:color w:val="auto"/>
              </w:rPr>
            </w:pPr>
            <w:r>
              <w:rPr>
                <w:rFonts w:ascii="Arial" w:cs="Arial" w:eastAsia="Arial" w:hAnsi="Arial"/>
                <w:sz w:val="17"/>
                <w:szCs w:val="17"/>
                <w:color w:val="auto"/>
                <w:w w:val="99"/>
              </w:rPr>
              <w:t>10.24†</w:t>
            </w:r>
          </w:p>
        </w:tc>
        <w:tc>
          <w:tcPr>
            <w:tcW w:w="7680" w:type="dxa"/>
            <w:vAlign w:val="bottom"/>
            <w:gridSpan w:val="17"/>
          </w:tcPr>
          <w:p>
            <w:pPr>
              <w:spacing w:after="0"/>
              <w:rPr>
                <w:rFonts w:ascii="Arial" w:cs="Arial" w:eastAsia="Arial" w:hAnsi="Arial"/>
                <w:sz w:val="17"/>
                <w:szCs w:val="17"/>
                <w:color w:val="0000EE"/>
              </w:rPr>
            </w:pPr>
            <w:hyperlink r:id="rId163">
              <w:r>
                <w:rPr>
                  <w:rFonts w:ascii="Arial" w:cs="Arial" w:eastAsia="Arial" w:hAnsi="Arial"/>
                  <w:sz w:val="17"/>
                  <w:szCs w:val="17"/>
                  <w:color w:val="0000EE"/>
                </w:rPr>
                <w:t>Form of Restricted Stock Unit Award Agreement (incorporated herein by reference to Exhibit 10.3 to</w:t>
              </w:r>
            </w:hyperlink>
          </w:p>
        </w:tc>
      </w:tr>
      <w:tr>
        <w:trPr>
          <w:trHeight w:val="169"/>
        </w:trPr>
        <w:tc>
          <w:tcPr>
            <w:tcW w:w="1240" w:type="dxa"/>
            <w:vAlign w:val="bottom"/>
          </w:tcPr>
          <w:p>
            <w:pPr>
              <w:spacing w:after="0"/>
              <w:rPr>
                <w:sz w:val="14"/>
                <w:szCs w:val="14"/>
                <w:color w:val="auto"/>
              </w:rPr>
            </w:pPr>
          </w:p>
        </w:tc>
        <w:tc>
          <w:tcPr>
            <w:tcW w:w="7660" w:type="dxa"/>
            <w:vAlign w:val="bottom"/>
            <w:tcBorders>
              <w:top w:val="single" w:sz="8" w:color="0000EE"/>
            </w:tcBorders>
            <w:gridSpan w:val="16"/>
          </w:tcPr>
          <w:p>
            <w:pPr>
              <w:spacing w:after="0" w:line="169" w:lineRule="exact"/>
              <w:rPr>
                <w:rFonts w:ascii="Arial" w:cs="Arial" w:eastAsia="Arial" w:hAnsi="Arial"/>
                <w:sz w:val="17"/>
                <w:szCs w:val="17"/>
                <w:color w:val="0000EE"/>
              </w:rPr>
            </w:pPr>
            <w:hyperlink r:id="rId163">
              <w:r>
                <w:rPr>
                  <w:rFonts w:ascii="Arial" w:cs="Arial" w:eastAsia="Arial" w:hAnsi="Arial"/>
                  <w:sz w:val="17"/>
                  <w:szCs w:val="17"/>
                  <w:color w:val="0000EE"/>
                </w:rPr>
                <w:t>the March 28, 2013 Form 8-K).</w:t>
              </w:r>
            </w:hyperlink>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jc w:val="center"/>
              <w:ind w:right="195"/>
              <w:spacing w:after="0"/>
              <w:rPr>
                <w:sz w:val="20"/>
                <w:szCs w:val="20"/>
                <w:color w:val="auto"/>
              </w:rPr>
            </w:pPr>
            <w:r>
              <w:rPr>
                <w:rFonts w:ascii="Arial" w:cs="Arial" w:eastAsia="Arial" w:hAnsi="Arial"/>
                <w:sz w:val="17"/>
                <w:szCs w:val="17"/>
                <w:color w:val="auto"/>
                <w:w w:val="99"/>
              </w:rPr>
              <w:t>10.25†</w:t>
            </w:r>
          </w:p>
        </w:tc>
        <w:tc>
          <w:tcPr>
            <w:tcW w:w="7680" w:type="dxa"/>
            <w:vAlign w:val="bottom"/>
            <w:gridSpan w:val="17"/>
          </w:tcPr>
          <w:p>
            <w:pPr>
              <w:spacing w:after="0"/>
              <w:rPr>
                <w:rFonts w:ascii="Arial" w:cs="Arial" w:eastAsia="Arial" w:hAnsi="Arial"/>
                <w:sz w:val="17"/>
                <w:szCs w:val="17"/>
                <w:color w:val="0000EE"/>
              </w:rPr>
            </w:pPr>
            <w:hyperlink r:id="rId164">
              <w:r>
                <w:rPr>
                  <w:rFonts w:ascii="Arial" w:cs="Arial" w:eastAsia="Arial" w:hAnsi="Arial"/>
                  <w:sz w:val="17"/>
                  <w:szCs w:val="17"/>
                  <w:color w:val="0000EE"/>
                </w:rPr>
                <w:t>Form of Restricted Stock Unit Award Agreement for RSU portion of long-term incentive compensation</w:t>
              </w:r>
            </w:hyperlink>
          </w:p>
        </w:tc>
      </w:tr>
      <w:tr>
        <w:trPr>
          <w:trHeight w:val="169"/>
        </w:trPr>
        <w:tc>
          <w:tcPr>
            <w:tcW w:w="1240" w:type="dxa"/>
            <w:vAlign w:val="bottom"/>
          </w:tcPr>
          <w:p>
            <w:pPr>
              <w:spacing w:after="0"/>
              <w:rPr>
                <w:sz w:val="14"/>
                <w:szCs w:val="14"/>
                <w:color w:val="auto"/>
              </w:rPr>
            </w:pPr>
          </w:p>
        </w:tc>
        <w:tc>
          <w:tcPr>
            <w:tcW w:w="6820" w:type="dxa"/>
            <w:vAlign w:val="bottom"/>
            <w:tcBorders>
              <w:top w:val="single" w:sz="8" w:color="0000EE"/>
              <w:bottom w:val="single" w:sz="8" w:color="0000EE"/>
            </w:tcBorders>
            <w:gridSpan w:val="12"/>
          </w:tcPr>
          <w:p>
            <w:pPr>
              <w:spacing w:after="0" w:line="169" w:lineRule="exact"/>
              <w:rPr>
                <w:rFonts w:ascii="Arial" w:cs="Arial" w:eastAsia="Arial" w:hAnsi="Arial"/>
                <w:sz w:val="17"/>
                <w:szCs w:val="17"/>
                <w:color w:val="0000EE"/>
              </w:rPr>
            </w:pPr>
            <w:hyperlink r:id="rId164">
              <w:r>
                <w:rPr>
                  <w:rFonts w:ascii="Arial" w:cs="Arial" w:eastAsia="Arial" w:hAnsi="Arial"/>
                  <w:sz w:val="17"/>
                  <w:szCs w:val="17"/>
                  <w:color w:val="0000EE"/>
                </w:rPr>
                <w:t>awards (incorporated herein by reference to Exhibit 10.1 to the March 23, 2016 Form 8-K).</w:t>
              </w:r>
            </w:hyperlink>
          </w:p>
        </w:tc>
        <w:tc>
          <w:tcPr>
            <w:tcW w:w="840" w:type="dxa"/>
            <w:vAlign w:val="bottom"/>
            <w:tcBorders>
              <w:top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240" w:type="dxa"/>
            <w:vAlign w:val="bottom"/>
          </w:tcPr>
          <w:p>
            <w:pPr>
              <w:jc w:val="center"/>
              <w:ind w:right="195"/>
              <w:spacing w:after="0"/>
              <w:rPr>
                <w:sz w:val="20"/>
                <w:szCs w:val="20"/>
                <w:color w:val="auto"/>
              </w:rPr>
            </w:pPr>
            <w:r>
              <w:rPr>
                <w:rFonts w:ascii="Arial" w:cs="Arial" w:eastAsia="Arial" w:hAnsi="Arial"/>
                <w:sz w:val="17"/>
                <w:szCs w:val="17"/>
                <w:color w:val="auto"/>
                <w:w w:val="99"/>
              </w:rPr>
              <w:t>10.26†</w:t>
            </w:r>
          </w:p>
        </w:tc>
        <w:tc>
          <w:tcPr>
            <w:tcW w:w="7680" w:type="dxa"/>
            <w:vAlign w:val="bottom"/>
            <w:gridSpan w:val="17"/>
          </w:tcPr>
          <w:p>
            <w:pPr>
              <w:spacing w:after="0"/>
              <w:rPr>
                <w:rFonts w:ascii="Arial" w:cs="Arial" w:eastAsia="Arial" w:hAnsi="Arial"/>
                <w:sz w:val="17"/>
                <w:szCs w:val="17"/>
                <w:color w:val="0000EE"/>
              </w:rPr>
            </w:pPr>
            <w:hyperlink r:id="rId165">
              <w:r>
                <w:rPr>
                  <w:rFonts w:ascii="Arial" w:cs="Arial" w:eastAsia="Arial" w:hAnsi="Arial"/>
                  <w:sz w:val="17"/>
                  <w:szCs w:val="17"/>
                  <w:color w:val="0000EE"/>
                </w:rPr>
                <w:t>Form of Restricted Stock Unit Award Agreement for long-term incentive RSU awards (incorporated</w:t>
              </w:r>
            </w:hyperlink>
          </w:p>
        </w:tc>
      </w:tr>
      <w:tr>
        <w:trPr>
          <w:trHeight w:val="169"/>
        </w:trPr>
        <w:tc>
          <w:tcPr>
            <w:tcW w:w="1240" w:type="dxa"/>
            <w:vAlign w:val="bottom"/>
          </w:tcPr>
          <w:p>
            <w:pPr>
              <w:spacing w:after="0"/>
              <w:rPr>
                <w:sz w:val="14"/>
                <w:szCs w:val="14"/>
                <w:color w:val="auto"/>
              </w:rPr>
            </w:pPr>
          </w:p>
        </w:tc>
        <w:tc>
          <w:tcPr>
            <w:tcW w:w="7660" w:type="dxa"/>
            <w:vAlign w:val="bottom"/>
            <w:tcBorders>
              <w:top w:val="single" w:sz="8" w:color="0000EE"/>
            </w:tcBorders>
            <w:gridSpan w:val="16"/>
          </w:tcPr>
          <w:p>
            <w:pPr>
              <w:spacing w:after="0" w:line="169" w:lineRule="exact"/>
              <w:rPr>
                <w:rFonts w:ascii="Arial" w:cs="Arial" w:eastAsia="Arial" w:hAnsi="Arial"/>
                <w:sz w:val="17"/>
                <w:szCs w:val="17"/>
                <w:color w:val="0000EE"/>
              </w:rPr>
            </w:pPr>
            <w:hyperlink r:id="rId165">
              <w:r>
                <w:rPr>
                  <w:rFonts w:ascii="Arial" w:cs="Arial" w:eastAsia="Arial" w:hAnsi="Arial"/>
                  <w:sz w:val="17"/>
                  <w:szCs w:val="17"/>
                  <w:color w:val="0000EE"/>
                </w:rPr>
                <w:t>herein by reference to Exhibit 10.2 to March 23, 2016 Form 8-K).</w:t>
              </w:r>
            </w:hyperlink>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jc w:val="center"/>
              <w:ind w:right="195"/>
              <w:spacing w:after="0"/>
              <w:rPr>
                <w:sz w:val="20"/>
                <w:szCs w:val="20"/>
                <w:color w:val="auto"/>
              </w:rPr>
            </w:pPr>
            <w:r>
              <w:rPr>
                <w:rFonts w:ascii="Arial" w:cs="Arial" w:eastAsia="Arial" w:hAnsi="Arial"/>
                <w:sz w:val="17"/>
                <w:szCs w:val="17"/>
                <w:color w:val="auto"/>
                <w:w w:val="99"/>
              </w:rPr>
              <w:t>10.27†</w:t>
            </w:r>
          </w:p>
        </w:tc>
        <w:tc>
          <w:tcPr>
            <w:tcW w:w="7680" w:type="dxa"/>
            <w:vAlign w:val="bottom"/>
            <w:gridSpan w:val="17"/>
          </w:tcPr>
          <w:p>
            <w:pPr>
              <w:spacing w:after="0"/>
              <w:rPr>
                <w:rFonts w:ascii="Arial" w:cs="Arial" w:eastAsia="Arial" w:hAnsi="Arial"/>
                <w:sz w:val="17"/>
                <w:szCs w:val="17"/>
                <w:color w:val="0000EE"/>
              </w:rPr>
            </w:pPr>
            <w:hyperlink r:id="rId166">
              <w:r>
                <w:rPr>
                  <w:rFonts w:ascii="Arial" w:cs="Arial" w:eastAsia="Arial" w:hAnsi="Arial"/>
                  <w:sz w:val="17"/>
                  <w:szCs w:val="17"/>
                  <w:color w:val="0000EE"/>
                </w:rPr>
                <w:t>Form of Restricted Stock Unit Award Agreement (New Hire) (incorporated herein by reference to</w:t>
              </w:r>
            </w:hyperlink>
          </w:p>
        </w:tc>
      </w:tr>
      <w:tr>
        <w:trPr>
          <w:trHeight w:val="20"/>
        </w:trPr>
        <w:tc>
          <w:tcPr>
            <w:tcW w:w="12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40" w:type="dxa"/>
            <w:vAlign w:val="bottom"/>
          </w:tcPr>
          <w:p>
            <w:pPr>
              <w:spacing w:after="0"/>
              <w:rPr>
                <w:sz w:val="14"/>
                <w:szCs w:val="14"/>
                <w:color w:val="auto"/>
              </w:rPr>
            </w:pPr>
          </w:p>
        </w:tc>
        <w:tc>
          <w:tcPr>
            <w:tcW w:w="7680" w:type="dxa"/>
            <w:vAlign w:val="bottom"/>
            <w:tcBorders>
              <w:bottom w:val="single" w:sz="8" w:color="0000EE"/>
            </w:tcBorders>
            <w:gridSpan w:val="17"/>
          </w:tcPr>
          <w:p>
            <w:pPr>
              <w:spacing w:after="0" w:line="169" w:lineRule="exact"/>
              <w:rPr>
                <w:rFonts w:ascii="Arial" w:cs="Arial" w:eastAsia="Arial" w:hAnsi="Arial"/>
                <w:sz w:val="17"/>
                <w:szCs w:val="17"/>
                <w:color w:val="0000EE"/>
              </w:rPr>
            </w:pPr>
            <w:hyperlink r:id="rId166">
              <w:r>
                <w:rPr>
                  <w:rFonts w:ascii="Arial" w:cs="Arial" w:eastAsia="Arial" w:hAnsi="Arial"/>
                  <w:sz w:val="17"/>
                  <w:szCs w:val="17"/>
                  <w:color w:val="0000EE"/>
                </w:rPr>
                <w:t>Exhibit 10.1 to the Quarterly Report on Form 10-Q for the quarterly period ended July 30, 2016 filed</w:t>
              </w:r>
            </w:hyperlink>
          </w:p>
        </w:tc>
      </w:tr>
      <w:tr>
        <w:trPr>
          <w:trHeight w:val="169"/>
        </w:trPr>
        <w:tc>
          <w:tcPr>
            <w:tcW w:w="1240" w:type="dxa"/>
            <w:vAlign w:val="bottom"/>
          </w:tcPr>
          <w:p>
            <w:pPr>
              <w:spacing w:after="0"/>
              <w:rPr>
                <w:sz w:val="14"/>
                <w:szCs w:val="14"/>
                <w:color w:val="auto"/>
              </w:rPr>
            </w:pPr>
          </w:p>
        </w:tc>
        <w:tc>
          <w:tcPr>
            <w:tcW w:w="7680" w:type="dxa"/>
            <w:vAlign w:val="bottom"/>
            <w:gridSpan w:val="17"/>
          </w:tcPr>
          <w:p>
            <w:pPr>
              <w:spacing w:after="0" w:line="169" w:lineRule="exact"/>
              <w:rPr>
                <w:rFonts w:ascii="Arial" w:cs="Arial" w:eastAsia="Arial" w:hAnsi="Arial"/>
                <w:sz w:val="17"/>
                <w:szCs w:val="17"/>
                <w:color w:val="0000EE"/>
              </w:rPr>
            </w:pPr>
            <w:hyperlink r:id="rId166">
              <w:r>
                <w:rPr>
                  <w:rFonts w:ascii="Arial" w:cs="Arial" w:eastAsia="Arial" w:hAnsi="Arial"/>
                  <w:sz w:val="17"/>
                  <w:szCs w:val="17"/>
                  <w:color w:val="0000EE"/>
                </w:rPr>
                <w:t>on September 7, 2016).</w:t>
              </w:r>
            </w:hyperlink>
          </w:p>
        </w:tc>
      </w:tr>
      <w:tr>
        <w:trPr>
          <w:trHeight w:val="20"/>
        </w:trPr>
        <w:tc>
          <w:tcPr>
            <w:tcW w:w="12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jc w:val="center"/>
              <w:ind w:right="195"/>
              <w:spacing w:after="0"/>
              <w:rPr>
                <w:sz w:val="20"/>
                <w:szCs w:val="20"/>
                <w:color w:val="auto"/>
              </w:rPr>
            </w:pPr>
            <w:r>
              <w:rPr>
                <w:rFonts w:ascii="Arial" w:cs="Arial" w:eastAsia="Arial" w:hAnsi="Arial"/>
                <w:sz w:val="17"/>
                <w:szCs w:val="17"/>
                <w:color w:val="auto"/>
                <w:w w:val="99"/>
              </w:rPr>
              <w:t>10.28†</w:t>
            </w:r>
          </w:p>
        </w:tc>
        <w:tc>
          <w:tcPr>
            <w:tcW w:w="7680" w:type="dxa"/>
            <w:vAlign w:val="bottom"/>
            <w:gridSpan w:val="17"/>
          </w:tcPr>
          <w:p>
            <w:pPr>
              <w:spacing w:after="0"/>
              <w:rPr>
                <w:rFonts w:ascii="Arial" w:cs="Arial" w:eastAsia="Arial" w:hAnsi="Arial"/>
                <w:sz w:val="17"/>
                <w:szCs w:val="17"/>
                <w:color w:val="0000EE"/>
              </w:rPr>
            </w:pPr>
            <w:hyperlink r:id="rId167">
              <w:r>
                <w:rPr>
                  <w:rFonts w:ascii="Arial" w:cs="Arial" w:eastAsia="Arial" w:hAnsi="Arial"/>
                  <w:sz w:val="17"/>
                  <w:szCs w:val="17"/>
                  <w:color w:val="0000EE"/>
                </w:rPr>
                <w:t>Form of Accelerate Future Growth Award Agreement (incorporated herein by reference to Exhibit</w:t>
              </w:r>
            </w:hyperlink>
          </w:p>
        </w:tc>
      </w:tr>
      <w:tr>
        <w:trPr>
          <w:trHeight w:val="169"/>
        </w:trPr>
        <w:tc>
          <w:tcPr>
            <w:tcW w:w="1240" w:type="dxa"/>
            <w:vAlign w:val="bottom"/>
          </w:tcPr>
          <w:p>
            <w:pPr>
              <w:spacing w:after="0"/>
              <w:rPr>
                <w:sz w:val="14"/>
                <w:szCs w:val="14"/>
                <w:color w:val="auto"/>
              </w:rPr>
            </w:pPr>
          </w:p>
        </w:tc>
        <w:tc>
          <w:tcPr>
            <w:tcW w:w="7660" w:type="dxa"/>
            <w:vAlign w:val="bottom"/>
            <w:tcBorders>
              <w:top w:val="single" w:sz="8" w:color="0000EE"/>
            </w:tcBorders>
            <w:gridSpan w:val="16"/>
          </w:tcPr>
          <w:p>
            <w:pPr>
              <w:spacing w:after="0" w:line="169" w:lineRule="exact"/>
              <w:rPr>
                <w:rFonts w:ascii="Arial" w:cs="Arial" w:eastAsia="Arial" w:hAnsi="Arial"/>
                <w:sz w:val="17"/>
                <w:szCs w:val="17"/>
                <w:color w:val="0000EE"/>
              </w:rPr>
            </w:pPr>
            <w:hyperlink r:id="rId167">
              <w:r>
                <w:rPr>
                  <w:rFonts w:ascii="Arial" w:cs="Arial" w:eastAsia="Arial" w:hAnsi="Arial"/>
                  <w:sz w:val="17"/>
                  <w:szCs w:val="17"/>
                  <w:color w:val="0000EE"/>
                </w:rPr>
                <w:t>10.</w:t>
              </w:r>
              <w:r>
                <w:rPr>
                  <w:rFonts w:ascii="Arial" w:cs="Arial" w:eastAsia="Arial" w:hAnsi="Arial"/>
                  <w:sz w:val="17"/>
                  <w:szCs w:val="17"/>
                  <w:u w:val="single" w:color="auto"/>
                  <w:color w:val="0000EE"/>
                </w:rPr>
                <w:t>1</w:t>
              </w:r>
              <w:r>
                <w:rPr>
                  <w:rFonts w:ascii="Arial" w:cs="Arial" w:eastAsia="Arial" w:hAnsi="Arial"/>
                  <w:sz w:val="17"/>
                  <w:szCs w:val="17"/>
                  <w:color w:val="0000EE"/>
                </w:rPr>
                <w:t xml:space="preserve"> to the Current Report on Form 8-K, dated April 12, 2018 filed on April 18, 2018.)</w:t>
              </w:r>
            </w:hyperlink>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3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9"/>
        </w:trPr>
        <w:tc>
          <w:tcPr>
            <w:tcW w:w="1240" w:type="dxa"/>
            <w:vAlign w:val="bottom"/>
          </w:tcPr>
          <w:p>
            <w:pPr>
              <w:jc w:val="center"/>
              <w:ind w:right="175"/>
              <w:spacing w:after="0"/>
              <w:rPr>
                <w:sz w:val="20"/>
                <w:szCs w:val="20"/>
                <w:color w:val="auto"/>
              </w:rPr>
            </w:pPr>
            <w:r>
              <w:rPr>
                <w:rFonts w:ascii="Arial" w:cs="Arial" w:eastAsia="Arial" w:hAnsi="Arial"/>
                <w:sz w:val="17"/>
                <w:szCs w:val="17"/>
                <w:color w:val="auto"/>
                <w:w w:val="98"/>
              </w:rPr>
              <w:t>10.29</w:t>
            </w:r>
          </w:p>
        </w:tc>
        <w:tc>
          <w:tcPr>
            <w:tcW w:w="7680" w:type="dxa"/>
            <w:vAlign w:val="bottom"/>
            <w:gridSpan w:val="17"/>
          </w:tcPr>
          <w:p>
            <w:pPr>
              <w:spacing w:after="0"/>
              <w:rPr>
                <w:sz w:val="20"/>
                <w:szCs w:val="20"/>
                <w:color w:val="auto"/>
              </w:rPr>
            </w:pPr>
            <w:r>
              <w:rPr>
                <w:rFonts w:ascii="Arial" w:cs="Arial" w:eastAsia="Arial" w:hAnsi="Arial"/>
                <w:sz w:val="17"/>
                <w:szCs w:val="17"/>
                <w:color w:val="auto"/>
              </w:rPr>
              <w:t>Form of indemnification agreement, as amended (incorporated herein by reference to Exhibit 10(g) to</w:t>
            </w:r>
          </w:p>
        </w:tc>
      </w:tr>
      <w:tr>
        <w:trPr>
          <w:trHeight w:val="205"/>
        </w:trPr>
        <w:tc>
          <w:tcPr>
            <w:tcW w:w="1240" w:type="dxa"/>
            <w:vAlign w:val="bottom"/>
          </w:tcPr>
          <w:p>
            <w:pPr>
              <w:spacing w:after="0"/>
              <w:rPr>
                <w:sz w:val="17"/>
                <w:szCs w:val="17"/>
                <w:color w:val="auto"/>
              </w:rPr>
            </w:pPr>
          </w:p>
        </w:tc>
        <w:tc>
          <w:tcPr>
            <w:tcW w:w="7680" w:type="dxa"/>
            <w:vAlign w:val="bottom"/>
            <w:gridSpan w:val="17"/>
          </w:tcPr>
          <w:p>
            <w:pPr>
              <w:spacing w:after="0"/>
              <w:rPr>
                <w:sz w:val="20"/>
                <w:szCs w:val="20"/>
                <w:color w:val="auto"/>
              </w:rPr>
            </w:pPr>
            <w:r>
              <w:rPr>
                <w:rFonts w:ascii="Arial" w:cs="Arial" w:eastAsia="Arial" w:hAnsi="Arial"/>
                <w:sz w:val="17"/>
                <w:szCs w:val="17"/>
                <w:color w:val="auto"/>
              </w:rPr>
              <w:t>the 8-B Registration Statement).</w:t>
            </w:r>
          </w:p>
        </w:tc>
      </w:tr>
      <w:tr>
        <w:trPr>
          <w:trHeight w:val="342"/>
        </w:trPr>
        <w:tc>
          <w:tcPr>
            <w:tcW w:w="1240" w:type="dxa"/>
            <w:vAlign w:val="bottom"/>
          </w:tcPr>
          <w:p>
            <w:pPr>
              <w:jc w:val="center"/>
              <w:ind w:right="175"/>
              <w:spacing w:after="0"/>
              <w:rPr>
                <w:sz w:val="20"/>
                <w:szCs w:val="20"/>
                <w:color w:val="auto"/>
              </w:rPr>
            </w:pPr>
            <w:r>
              <w:rPr>
                <w:rFonts w:ascii="Arial" w:cs="Arial" w:eastAsia="Arial" w:hAnsi="Arial"/>
                <w:sz w:val="17"/>
                <w:szCs w:val="17"/>
                <w:color w:val="auto"/>
                <w:w w:val="98"/>
              </w:rPr>
              <w:t>10.30</w:t>
            </w:r>
          </w:p>
        </w:tc>
        <w:tc>
          <w:tcPr>
            <w:tcW w:w="7680" w:type="dxa"/>
            <w:vAlign w:val="bottom"/>
            <w:gridSpan w:val="17"/>
          </w:tcPr>
          <w:p>
            <w:pPr>
              <w:spacing w:after="0"/>
              <w:rPr>
                <w:rFonts w:ascii="Arial" w:cs="Arial" w:eastAsia="Arial" w:hAnsi="Arial"/>
                <w:sz w:val="17"/>
                <w:szCs w:val="17"/>
                <w:color w:val="0000EE"/>
              </w:rPr>
            </w:pPr>
            <w:hyperlink r:id="rId168">
              <w:r>
                <w:rPr>
                  <w:rFonts w:ascii="Arial" w:cs="Arial" w:eastAsia="Arial" w:hAnsi="Arial"/>
                  <w:sz w:val="17"/>
                  <w:szCs w:val="17"/>
                  <w:color w:val="0000EE"/>
                </w:rPr>
                <w:t>Amendment to form of indemnification agreement (incorporated herein by reference to Exhibit 10.5 to</w:t>
              </w:r>
            </w:hyperlink>
          </w:p>
        </w:tc>
      </w:tr>
      <w:tr>
        <w:trPr>
          <w:trHeight w:val="20"/>
        </w:trPr>
        <w:tc>
          <w:tcPr>
            <w:tcW w:w="1240" w:type="dxa"/>
            <w:vAlign w:val="bottom"/>
          </w:tcPr>
          <w:p>
            <w:pPr>
              <w:spacing w:after="0" w:line="20" w:lineRule="exact"/>
              <w:rPr>
                <w:sz w:val="1"/>
                <w:szCs w:val="1"/>
                <w:color w:val="auto"/>
              </w:rPr>
            </w:pPr>
          </w:p>
        </w:tc>
        <w:tc>
          <w:tcPr>
            <w:tcW w:w="23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40" w:type="dxa"/>
            <w:vAlign w:val="bottom"/>
          </w:tcPr>
          <w:p>
            <w:pPr>
              <w:spacing w:after="0"/>
              <w:rPr>
                <w:sz w:val="14"/>
                <w:szCs w:val="14"/>
                <w:color w:val="auto"/>
              </w:rPr>
            </w:pPr>
          </w:p>
        </w:tc>
        <w:tc>
          <w:tcPr>
            <w:tcW w:w="7680" w:type="dxa"/>
            <w:vAlign w:val="bottom"/>
            <w:tcBorders>
              <w:bottom w:val="single" w:sz="8" w:color="0000EE"/>
            </w:tcBorders>
            <w:gridSpan w:val="17"/>
          </w:tcPr>
          <w:p>
            <w:pPr>
              <w:spacing w:after="0" w:line="169" w:lineRule="exact"/>
              <w:rPr>
                <w:rFonts w:ascii="Arial" w:cs="Arial" w:eastAsia="Arial" w:hAnsi="Arial"/>
                <w:sz w:val="17"/>
                <w:szCs w:val="17"/>
                <w:color w:val="0000EE"/>
              </w:rPr>
            </w:pPr>
            <w:hyperlink r:id="rId168">
              <w:r>
                <w:rPr>
                  <w:rFonts w:ascii="Arial" w:cs="Arial" w:eastAsia="Arial" w:hAnsi="Arial"/>
                  <w:sz w:val="17"/>
                  <w:szCs w:val="17"/>
                  <w:color w:val="0000EE"/>
                </w:rPr>
                <w:t>the Quarterly Report on Form 10-Q for the quarterly period ended May 5, 2001 filed on June 13, 2001</w:t>
              </w:r>
            </w:hyperlink>
          </w:p>
        </w:tc>
      </w:tr>
      <w:tr>
        <w:trPr>
          <w:trHeight w:val="169"/>
        </w:trPr>
        <w:tc>
          <w:tcPr>
            <w:tcW w:w="1240" w:type="dxa"/>
            <w:vAlign w:val="bottom"/>
          </w:tcPr>
          <w:p>
            <w:pPr>
              <w:spacing w:after="0"/>
              <w:rPr>
                <w:sz w:val="14"/>
                <w:szCs w:val="14"/>
                <w:color w:val="auto"/>
              </w:rPr>
            </w:pPr>
          </w:p>
        </w:tc>
        <w:tc>
          <w:tcPr>
            <w:tcW w:w="7680" w:type="dxa"/>
            <w:vAlign w:val="bottom"/>
            <w:gridSpan w:val="17"/>
          </w:tcPr>
          <w:p>
            <w:pPr>
              <w:spacing w:after="0" w:line="169" w:lineRule="exact"/>
              <w:rPr>
                <w:rFonts w:ascii="Arial" w:cs="Arial" w:eastAsia="Arial" w:hAnsi="Arial"/>
                <w:sz w:val="17"/>
                <w:szCs w:val="17"/>
                <w:color w:val="0000EE"/>
              </w:rPr>
            </w:pPr>
            <w:hyperlink r:id="rId168">
              <w:r>
                <w:rPr>
                  <w:rFonts w:ascii="Arial" w:cs="Arial" w:eastAsia="Arial" w:hAnsi="Arial"/>
                  <w:sz w:val="17"/>
                  <w:szCs w:val="17"/>
                  <w:color w:val="0000EE"/>
                </w:rPr>
                <w:t>(the “May 5, 2001 Form 10-Q”)).</w:t>
              </w:r>
            </w:hyperlink>
          </w:p>
        </w:tc>
      </w:tr>
      <w:tr>
        <w:trPr>
          <w:trHeight w:val="20"/>
        </w:trPr>
        <w:tc>
          <w:tcPr>
            <w:tcW w:w="1240" w:type="dxa"/>
            <w:vAlign w:val="bottom"/>
          </w:tcPr>
          <w:p>
            <w:pPr>
              <w:spacing w:after="0" w:line="20" w:lineRule="exact"/>
              <w:rPr>
                <w:sz w:val="1"/>
                <w:szCs w:val="1"/>
                <w:color w:val="auto"/>
              </w:rPr>
            </w:pPr>
          </w:p>
        </w:tc>
        <w:tc>
          <w:tcPr>
            <w:tcW w:w="23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9"/>
        </w:trPr>
        <w:tc>
          <w:tcPr>
            <w:tcW w:w="1240" w:type="dxa"/>
            <w:vAlign w:val="bottom"/>
          </w:tcPr>
          <w:p>
            <w:pPr>
              <w:jc w:val="center"/>
              <w:ind w:right="175"/>
              <w:spacing w:after="0"/>
              <w:rPr>
                <w:sz w:val="20"/>
                <w:szCs w:val="20"/>
                <w:color w:val="auto"/>
              </w:rPr>
            </w:pPr>
            <w:r>
              <w:rPr>
                <w:rFonts w:ascii="Arial" w:cs="Arial" w:eastAsia="Arial" w:hAnsi="Arial"/>
                <w:sz w:val="17"/>
                <w:szCs w:val="17"/>
                <w:color w:val="auto"/>
                <w:w w:val="98"/>
              </w:rPr>
              <w:t>10.31</w:t>
            </w:r>
          </w:p>
        </w:tc>
        <w:tc>
          <w:tcPr>
            <w:tcW w:w="7680" w:type="dxa"/>
            <w:vAlign w:val="bottom"/>
            <w:gridSpan w:val="17"/>
          </w:tcPr>
          <w:p>
            <w:pPr>
              <w:spacing w:after="0"/>
              <w:rPr>
                <w:sz w:val="20"/>
                <w:szCs w:val="20"/>
                <w:color w:val="auto"/>
              </w:rPr>
            </w:pPr>
            <w:r>
              <w:rPr>
                <w:rFonts w:ascii="Arial" w:cs="Arial" w:eastAsia="Arial" w:hAnsi="Arial"/>
                <w:sz w:val="17"/>
                <w:szCs w:val="17"/>
                <w:color w:val="auto"/>
              </w:rPr>
              <w:t>Trust Agreement dated as of November 12, 1987 (“Trust Agreement”), between F.W. Woolworth Co.</w:t>
            </w:r>
          </w:p>
        </w:tc>
      </w:tr>
      <w:tr>
        <w:trPr>
          <w:trHeight w:val="189"/>
        </w:trPr>
        <w:tc>
          <w:tcPr>
            <w:tcW w:w="1240" w:type="dxa"/>
            <w:vAlign w:val="bottom"/>
          </w:tcPr>
          <w:p>
            <w:pPr>
              <w:spacing w:after="0"/>
              <w:rPr>
                <w:sz w:val="16"/>
                <w:szCs w:val="16"/>
                <w:color w:val="auto"/>
              </w:rPr>
            </w:pPr>
          </w:p>
        </w:tc>
        <w:tc>
          <w:tcPr>
            <w:tcW w:w="7680" w:type="dxa"/>
            <w:vAlign w:val="bottom"/>
            <w:gridSpan w:val="17"/>
          </w:tcPr>
          <w:p>
            <w:pPr>
              <w:spacing w:after="0" w:line="189" w:lineRule="exact"/>
              <w:rPr>
                <w:sz w:val="20"/>
                <w:szCs w:val="20"/>
                <w:color w:val="auto"/>
              </w:rPr>
            </w:pPr>
            <w:r>
              <w:rPr>
                <w:rFonts w:ascii="Arial" w:cs="Arial" w:eastAsia="Arial" w:hAnsi="Arial"/>
                <w:sz w:val="17"/>
                <w:szCs w:val="17"/>
                <w:color w:val="auto"/>
              </w:rPr>
              <w:t>and The Bank of New York, as amended and assumed by the Registrant (incorporated herein by</w:t>
            </w:r>
          </w:p>
        </w:tc>
      </w:tr>
      <w:tr>
        <w:trPr>
          <w:trHeight w:val="205"/>
        </w:trPr>
        <w:tc>
          <w:tcPr>
            <w:tcW w:w="1240" w:type="dxa"/>
            <w:vAlign w:val="bottom"/>
          </w:tcPr>
          <w:p>
            <w:pPr>
              <w:spacing w:after="0"/>
              <w:rPr>
                <w:sz w:val="17"/>
                <w:szCs w:val="17"/>
                <w:color w:val="auto"/>
              </w:rPr>
            </w:pPr>
          </w:p>
        </w:tc>
        <w:tc>
          <w:tcPr>
            <w:tcW w:w="7680" w:type="dxa"/>
            <w:vAlign w:val="bottom"/>
            <w:gridSpan w:val="17"/>
          </w:tcPr>
          <w:p>
            <w:pPr>
              <w:spacing w:after="0"/>
              <w:rPr>
                <w:sz w:val="20"/>
                <w:szCs w:val="20"/>
                <w:color w:val="auto"/>
              </w:rPr>
            </w:pPr>
            <w:r>
              <w:rPr>
                <w:rFonts w:ascii="Arial" w:cs="Arial" w:eastAsia="Arial" w:hAnsi="Arial"/>
                <w:sz w:val="17"/>
                <w:szCs w:val="17"/>
                <w:color w:val="auto"/>
              </w:rPr>
              <w:t>reference to Exhibit 10(j) to the 8-B Registration Statement).</w:t>
            </w:r>
          </w:p>
        </w:tc>
      </w:tr>
      <w:tr>
        <w:trPr>
          <w:trHeight w:val="342"/>
        </w:trPr>
        <w:tc>
          <w:tcPr>
            <w:tcW w:w="1240" w:type="dxa"/>
            <w:vAlign w:val="bottom"/>
          </w:tcPr>
          <w:p>
            <w:pPr>
              <w:jc w:val="center"/>
              <w:ind w:right="175"/>
              <w:spacing w:after="0"/>
              <w:rPr>
                <w:sz w:val="20"/>
                <w:szCs w:val="20"/>
                <w:color w:val="auto"/>
              </w:rPr>
            </w:pPr>
            <w:r>
              <w:rPr>
                <w:rFonts w:ascii="Arial" w:cs="Arial" w:eastAsia="Arial" w:hAnsi="Arial"/>
                <w:sz w:val="17"/>
                <w:szCs w:val="17"/>
                <w:color w:val="auto"/>
                <w:w w:val="98"/>
              </w:rPr>
              <w:t>10.32</w:t>
            </w:r>
          </w:p>
        </w:tc>
        <w:tc>
          <w:tcPr>
            <w:tcW w:w="7660" w:type="dxa"/>
            <w:vAlign w:val="bottom"/>
            <w:tcBorders>
              <w:bottom w:val="single" w:sz="8" w:color="0000EE"/>
            </w:tcBorders>
            <w:gridSpan w:val="16"/>
          </w:tcPr>
          <w:p>
            <w:pPr>
              <w:spacing w:after="0"/>
              <w:rPr>
                <w:rFonts w:ascii="Arial" w:cs="Arial" w:eastAsia="Arial" w:hAnsi="Arial"/>
                <w:sz w:val="17"/>
                <w:szCs w:val="17"/>
                <w:color w:val="0000EE"/>
              </w:rPr>
            </w:pPr>
            <w:hyperlink r:id="rId169">
              <w:r>
                <w:rPr>
                  <w:rFonts w:ascii="Arial" w:cs="Arial" w:eastAsia="Arial" w:hAnsi="Arial"/>
                  <w:sz w:val="17"/>
                  <w:szCs w:val="17"/>
                  <w:color w:val="0000EE"/>
                </w:rPr>
                <w:t>Amendment to Trust Agreement made as of April 11, 2001 (incorporated herein by reference to</w:t>
              </w:r>
            </w:hyperlink>
          </w:p>
        </w:tc>
        <w:tc>
          <w:tcPr>
            <w:tcW w:w="20" w:type="dxa"/>
            <w:vAlign w:val="bottom"/>
          </w:tcPr>
          <w:p>
            <w:pPr>
              <w:spacing w:after="0"/>
              <w:rPr>
                <w:sz w:val="24"/>
                <w:szCs w:val="24"/>
                <w:color w:val="auto"/>
              </w:rPr>
            </w:pPr>
          </w:p>
        </w:tc>
      </w:tr>
      <w:tr>
        <w:trPr>
          <w:trHeight w:val="169"/>
        </w:trPr>
        <w:tc>
          <w:tcPr>
            <w:tcW w:w="1240" w:type="dxa"/>
            <w:vAlign w:val="bottom"/>
          </w:tcPr>
          <w:p>
            <w:pPr>
              <w:spacing w:after="0"/>
              <w:rPr>
                <w:sz w:val="14"/>
                <w:szCs w:val="14"/>
                <w:color w:val="auto"/>
              </w:rPr>
            </w:pPr>
          </w:p>
        </w:tc>
        <w:tc>
          <w:tcPr>
            <w:tcW w:w="7680" w:type="dxa"/>
            <w:vAlign w:val="bottom"/>
            <w:gridSpan w:val="17"/>
          </w:tcPr>
          <w:p>
            <w:pPr>
              <w:spacing w:after="0" w:line="169" w:lineRule="exact"/>
              <w:rPr>
                <w:rFonts w:ascii="Arial" w:cs="Arial" w:eastAsia="Arial" w:hAnsi="Arial"/>
                <w:sz w:val="17"/>
                <w:szCs w:val="17"/>
                <w:color w:val="0000EE"/>
              </w:rPr>
            </w:pPr>
            <w:hyperlink r:id="rId169">
              <w:r>
                <w:rPr>
                  <w:rFonts w:ascii="Arial" w:cs="Arial" w:eastAsia="Arial" w:hAnsi="Arial"/>
                  <w:sz w:val="17"/>
                  <w:szCs w:val="17"/>
                  <w:color w:val="0000EE"/>
                </w:rPr>
                <w:t>Exhibit 10.4 to the May 5, 2001 Form 10-Q).</w:t>
              </w:r>
            </w:hyperlink>
          </w:p>
        </w:tc>
      </w:tr>
      <w:tr>
        <w:trPr>
          <w:trHeight w:val="20"/>
        </w:trPr>
        <w:tc>
          <w:tcPr>
            <w:tcW w:w="1240" w:type="dxa"/>
            <w:vAlign w:val="bottom"/>
          </w:tcPr>
          <w:p>
            <w:pPr>
              <w:spacing w:after="0" w:line="20" w:lineRule="exact"/>
              <w:rPr>
                <w:sz w:val="1"/>
                <w:szCs w:val="1"/>
                <w:color w:val="auto"/>
              </w:rPr>
            </w:pPr>
          </w:p>
        </w:tc>
        <w:tc>
          <w:tcPr>
            <w:tcW w:w="2320" w:type="dxa"/>
            <w:vAlign w:val="bottom"/>
            <w:tcBorders>
              <w:right w:val="single" w:sz="8" w:color="0000EE"/>
            </w:tcBorders>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jc w:val="center"/>
              <w:ind w:right="195"/>
              <w:spacing w:after="0"/>
              <w:rPr>
                <w:sz w:val="20"/>
                <w:szCs w:val="20"/>
                <w:color w:val="auto"/>
              </w:rPr>
            </w:pPr>
            <w:r>
              <w:rPr>
                <w:rFonts w:ascii="Arial" w:cs="Arial" w:eastAsia="Arial" w:hAnsi="Arial"/>
                <w:sz w:val="17"/>
                <w:szCs w:val="17"/>
                <w:color w:val="auto"/>
                <w:w w:val="99"/>
              </w:rPr>
              <w:t>10.33†</w:t>
            </w:r>
          </w:p>
        </w:tc>
        <w:tc>
          <w:tcPr>
            <w:tcW w:w="7680" w:type="dxa"/>
            <w:vAlign w:val="bottom"/>
            <w:gridSpan w:val="17"/>
          </w:tcPr>
          <w:p>
            <w:pPr>
              <w:spacing w:after="0"/>
              <w:rPr>
                <w:rFonts w:ascii="Arial" w:cs="Arial" w:eastAsia="Arial" w:hAnsi="Arial"/>
                <w:sz w:val="17"/>
                <w:szCs w:val="17"/>
                <w:color w:val="0000EE"/>
              </w:rPr>
            </w:pPr>
            <w:hyperlink r:id="rId170">
              <w:r>
                <w:rPr>
                  <w:rFonts w:ascii="Arial" w:cs="Arial" w:eastAsia="Arial" w:hAnsi="Arial"/>
                  <w:sz w:val="17"/>
                  <w:szCs w:val="17"/>
                  <w:color w:val="0000EE"/>
                </w:rPr>
                <w:t>Employment Agreement, dated November 6, 2014, by and between Richard A. Johnson and the</w:t>
              </w:r>
            </w:hyperlink>
          </w:p>
        </w:tc>
      </w:tr>
      <w:tr>
        <w:trPr>
          <w:trHeight w:val="20"/>
        </w:trPr>
        <w:tc>
          <w:tcPr>
            <w:tcW w:w="1240" w:type="dxa"/>
            <w:vAlign w:val="bottom"/>
          </w:tcPr>
          <w:p>
            <w:pPr>
              <w:spacing w:after="0" w:line="20" w:lineRule="exact"/>
              <w:rPr>
                <w:sz w:val="1"/>
                <w:szCs w:val="1"/>
                <w:color w:val="auto"/>
              </w:rPr>
            </w:pPr>
          </w:p>
        </w:tc>
        <w:tc>
          <w:tcPr>
            <w:tcW w:w="2320" w:type="dxa"/>
            <w:vAlign w:val="bottom"/>
            <w:tcBorders>
              <w:right w:val="single" w:sz="8" w:color="0000EE"/>
            </w:tcBorders>
            <w:gridSpan w:val="3"/>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40" w:type="dxa"/>
            <w:vAlign w:val="bottom"/>
          </w:tcPr>
          <w:p>
            <w:pPr>
              <w:spacing w:after="0"/>
              <w:rPr>
                <w:sz w:val="14"/>
                <w:szCs w:val="14"/>
                <w:color w:val="auto"/>
              </w:rPr>
            </w:pPr>
          </w:p>
        </w:tc>
        <w:tc>
          <w:tcPr>
            <w:tcW w:w="7680" w:type="dxa"/>
            <w:vAlign w:val="bottom"/>
            <w:tcBorders>
              <w:bottom w:val="single" w:sz="8" w:color="0000EE"/>
            </w:tcBorders>
            <w:gridSpan w:val="17"/>
          </w:tcPr>
          <w:p>
            <w:pPr>
              <w:spacing w:after="0" w:line="169" w:lineRule="exact"/>
              <w:rPr>
                <w:rFonts w:ascii="Arial" w:cs="Arial" w:eastAsia="Arial" w:hAnsi="Arial"/>
                <w:sz w:val="17"/>
                <w:szCs w:val="17"/>
                <w:color w:val="0000EE"/>
              </w:rPr>
            </w:pPr>
            <w:hyperlink r:id="rId170">
              <w:r>
                <w:rPr>
                  <w:rFonts w:ascii="Arial" w:cs="Arial" w:eastAsia="Arial" w:hAnsi="Arial"/>
                  <w:sz w:val="17"/>
                  <w:szCs w:val="17"/>
                  <w:color w:val="0000EE"/>
                </w:rPr>
                <w:t>Company (incorporated herein by reference to Exhibit 10.2 to the Current Report on Form 8-K dated</w:t>
              </w:r>
            </w:hyperlink>
          </w:p>
        </w:tc>
      </w:tr>
      <w:tr>
        <w:trPr>
          <w:trHeight w:val="169"/>
        </w:trPr>
        <w:tc>
          <w:tcPr>
            <w:tcW w:w="1240" w:type="dxa"/>
            <w:vAlign w:val="bottom"/>
          </w:tcPr>
          <w:p>
            <w:pPr>
              <w:spacing w:after="0"/>
              <w:rPr>
                <w:sz w:val="14"/>
                <w:szCs w:val="14"/>
                <w:color w:val="auto"/>
              </w:rPr>
            </w:pPr>
          </w:p>
        </w:tc>
        <w:tc>
          <w:tcPr>
            <w:tcW w:w="3560" w:type="dxa"/>
            <w:vAlign w:val="bottom"/>
            <w:tcBorders>
              <w:bottom w:val="single" w:sz="8" w:color="0000EE"/>
            </w:tcBorders>
            <w:gridSpan w:val="6"/>
          </w:tcPr>
          <w:p>
            <w:pPr>
              <w:spacing w:after="0" w:line="169" w:lineRule="exact"/>
              <w:rPr>
                <w:rFonts w:ascii="Arial" w:cs="Arial" w:eastAsia="Arial" w:hAnsi="Arial"/>
                <w:sz w:val="17"/>
                <w:szCs w:val="17"/>
                <w:color w:val="0000EE"/>
                <w:w w:val="99"/>
              </w:rPr>
            </w:pPr>
            <w:hyperlink r:id="rId170">
              <w:r>
                <w:rPr>
                  <w:rFonts w:ascii="Arial" w:cs="Arial" w:eastAsia="Arial" w:hAnsi="Arial"/>
                  <w:sz w:val="17"/>
                  <w:szCs w:val="17"/>
                  <w:color w:val="0000EE"/>
                  <w:w w:val="99"/>
                </w:rPr>
                <w:t>November 3, 2014 filed on November 7, 2014).</w:t>
              </w:r>
            </w:hyperlink>
          </w:p>
        </w:tc>
        <w:tc>
          <w:tcPr>
            <w:tcW w:w="4120" w:type="dxa"/>
            <w:vAlign w:val="bottom"/>
            <w:gridSpan w:val="11"/>
          </w:tcPr>
          <w:p>
            <w:pPr>
              <w:spacing w:after="0"/>
              <w:rPr>
                <w:sz w:val="14"/>
                <w:szCs w:val="14"/>
                <w:color w:val="auto"/>
              </w:rPr>
            </w:pPr>
          </w:p>
        </w:tc>
      </w:tr>
      <w:tr>
        <w:trPr>
          <w:trHeight w:val="358"/>
        </w:trPr>
        <w:tc>
          <w:tcPr>
            <w:tcW w:w="1240" w:type="dxa"/>
            <w:vAlign w:val="bottom"/>
          </w:tcPr>
          <w:p>
            <w:pPr>
              <w:jc w:val="center"/>
              <w:ind w:right="195"/>
              <w:spacing w:after="0"/>
              <w:rPr>
                <w:sz w:val="20"/>
                <w:szCs w:val="20"/>
                <w:color w:val="auto"/>
              </w:rPr>
            </w:pPr>
            <w:r>
              <w:rPr>
                <w:rFonts w:ascii="Arial" w:cs="Arial" w:eastAsia="Arial" w:hAnsi="Arial"/>
                <w:sz w:val="17"/>
                <w:szCs w:val="17"/>
                <w:color w:val="auto"/>
                <w:w w:val="99"/>
              </w:rPr>
              <w:t>10.34†</w:t>
            </w:r>
          </w:p>
        </w:tc>
        <w:tc>
          <w:tcPr>
            <w:tcW w:w="7680" w:type="dxa"/>
            <w:vAlign w:val="bottom"/>
            <w:gridSpan w:val="17"/>
          </w:tcPr>
          <w:p>
            <w:pPr>
              <w:spacing w:after="0"/>
              <w:rPr>
                <w:rFonts w:ascii="Arial" w:cs="Arial" w:eastAsia="Arial" w:hAnsi="Arial"/>
                <w:sz w:val="17"/>
                <w:szCs w:val="17"/>
                <w:color w:val="0000EE"/>
              </w:rPr>
            </w:pPr>
            <w:hyperlink r:id="rId171">
              <w:r>
                <w:rPr>
                  <w:rFonts w:ascii="Arial" w:cs="Arial" w:eastAsia="Arial" w:hAnsi="Arial"/>
                  <w:sz w:val="17"/>
                  <w:szCs w:val="17"/>
                  <w:color w:val="0000EE"/>
                </w:rPr>
                <w:t>Form of Senior Executive Employment Agreement (incorporated herein by reference to Exhibit 10.1</w:t>
              </w:r>
            </w:hyperlink>
          </w:p>
        </w:tc>
      </w:tr>
      <w:tr>
        <w:trPr>
          <w:trHeight w:val="169"/>
        </w:trPr>
        <w:tc>
          <w:tcPr>
            <w:tcW w:w="1240" w:type="dxa"/>
            <w:vAlign w:val="bottom"/>
          </w:tcPr>
          <w:p>
            <w:pPr>
              <w:spacing w:after="0"/>
              <w:rPr>
                <w:sz w:val="14"/>
                <w:szCs w:val="14"/>
                <w:color w:val="auto"/>
              </w:rPr>
            </w:pPr>
          </w:p>
        </w:tc>
        <w:tc>
          <w:tcPr>
            <w:tcW w:w="5980" w:type="dxa"/>
            <w:vAlign w:val="bottom"/>
            <w:tcBorders>
              <w:top w:val="single" w:sz="8" w:color="0000EE"/>
              <w:bottom w:val="single" w:sz="8" w:color="0000EE"/>
            </w:tcBorders>
            <w:gridSpan w:val="9"/>
          </w:tcPr>
          <w:p>
            <w:pPr>
              <w:spacing w:after="0" w:line="169" w:lineRule="exact"/>
              <w:rPr>
                <w:rFonts w:ascii="Arial" w:cs="Arial" w:eastAsia="Arial" w:hAnsi="Arial"/>
                <w:sz w:val="17"/>
                <w:szCs w:val="17"/>
                <w:color w:val="0000EE"/>
              </w:rPr>
            </w:pPr>
            <w:hyperlink r:id="rId171">
              <w:r>
                <w:rPr>
                  <w:rFonts w:ascii="Arial" w:cs="Arial" w:eastAsia="Arial" w:hAnsi="Arial"/>
                  <w:sz w:val="17"/>
                  <w:szCs w:val="17"/>
                  <w:color w:val="0000EE"/>
                </w:rPr>
                <w:t>to the Current Report on Form 8-K dated April 20, 2015 filed on April 20, 2015).</w:t>
              </w:r>
            </w:hyperlink>
          </w:p>
        </w:tc>
        <w:tc>
          <w:tcPr>
            <w:tcW w:w="1680" w:type="dxa"/>
            <w:vAlign w:val="bottom"/>
            <w:tcBorders>
              <w:top w:val="single" w:sz="8" w:color="0000EE"/>
            </w:tcBorders>
            <w:gridSpan w:val="7"/>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240" w:type="dxa"/>
            <w:vAlign w:val="bottom"/>
          </w:tcPr>
          <w:p>
            <w:pPr>
              <w:jc w:val="center"/>
              <w:ind w:right="195"/>
              <w:spacing w:after="0"/>
              <w:rPr>
                <w:sz w:val="20"/>
                <w:szCs w:val="20"/>
                <w:color w:val="auto"/>
              </w:rPr>
            </w:pPr>
            <w:r>
              <w:rPr>
                <w:rFonts w:ascii="Arial" w:cs="Arial" w:eastAsia="Arial" w:hAnsi="Arial"/>
                <w:sz w:val="17"/>
                <w:szCs w:val="17"/>
                <w:color w:val="auto"/>
                <w:w w:val="99"/>
              </w:rPr>
              <w:t>10.35†</w:t>
            </w:r>
          </w:p>
        </w:tc>
        <w:tc>
          <w:tcPr>
            <w:tcW w:w="7680" w:type="dxa"/>
            <w:vAlign w:val="bottom"/>
            <w:tcBorders>
              <w:bottom w:val="single" w:sz="8" w:color="0000EE"/>
            </w:tcBorders>
            <w:gridSpan w:val="17"/>
          </w:tcPr>
          <w:p>
            <w:pPr>
              <w:spacing w:after="0"/>
              <w:rPr>
                <w:rFonts w:ascii="Arial" w:cs="Arial" w:eastAsia="Arial" w:hAnsi="Arial"/>
                <w:sz w:val="17"/>
                <w:szCs w:val="17"/>
                <w:color w:val="0000EE"/>
              </w:rPr>
            </w:pPr>
            <w:hyperlink r:id="rId172">
              <w:r>
                <w:rPr>
                  <w:rFonts w:ascii="Arial" w:cs="Arial" w:eastAsia="Arial" w:hAnsi="Arial"/>
                  <w:sz w:val="17"/>
                  <w:szCs w:val="17"/>
                  <w:color w:val="0000EE"/>
                </w:rPr>
                <w:t>Form of Executive Employment Agreement (incorporated herein by reference to Exhibit 10.19 to the</w:t>
              </w:r>
            </w:hyperlink>
          </w:p>
        </w:tc>
      </w:tr>
      <w:tr>
        <w:trPr>
          <w:trHeight w:val="169"/>
        </w:trPr>
        <w:tc>
          <w:tcPr>
            <w:tcW w:w="1240" w:type="dxa"/>
            <w:vAlign w:val="bottom"/>
          </w:tcPr>
          <w:p>
            <w:pPr>
              <w:spacing w:after="0"/>
              <w:rPr>
                <w:sz w:val="14"/>
                <w:szCs w:val="14"/>
                <w:color w:val="auto"/>
              </w:rPr>
            </w:pPr>
          </w:p>
        </w:tc>
        <w:tc>
          <w:tcPr>
            <w:tcW w:w="7360" w:type="dxa"/>
            <w:vAlign w:val="bottom"/>
            <w:tcBorders>
              <w:bottom w:val="single" w:sz="8" w:color="0000EE"/>
            </w:tcBorders>
            <w:gridSpan w:val="13"/>
          </w:tcPr>
          <w:p>
            <w:pPr>
              <w:spacing w:after="0" w:line="169" w:lineRule="exact"/>
              <w:rPr>
                <w:rFonts w:ascii="Arial" w:cs="Arial" w:eastAsia="Arial" w:hAnsi="Arial"/>
                <w:sz w:val="17"/>
                <w:szCs w:val="17"/>
                <w:color w:val="0000EE"/>
              </w:rPr>
            </w:pPr>
            <w:hyperlink r:id="rId172">
              <w:r>
                <w:rPr>
                  <w:rFonts w:ascii="Arial" w:cs="Arial" w:eastAsia="Arial" w:hAnsi="Arial"/>
                  <w:sz w:val="17"/>
                  <w:szCs w:val="17"/>
                  <w:color w:val="0000EE"/>
                </w:rPr>
                <w:t>Annual Report on Form 10-K for the fiscal year ended January 30, 2016 filed on March 24, 2016).</w:t>
              </w:r>
            </w:hyperlink>
          </w:p>
        </w:tc>
        <w:tc>
          <w:tcPr>
            <w:tcW w:w="320" w:type="dxa"/>
            <w:vAlign w:val="bottom"/>
            <w:gridSpan w:val="4"/>
          </w:tcPr>
          <w:p>
            <w:pPr>
              <w:spacing w:after="0"/>
              <w:rPr>
                <w:sz w:val="14"/>
                <w:szCs w:val="14"/>
                <w:color w:val="auto"/>
              </w:rPr>
            </w:pPr>
          </w:p>
        </w:tc>
      </w:tr>
      <w:tr>
        <w:trPr>
          <w:trHeight w:val="358"/>
        </w:trPr>
        <w:tc>
          <w:tcPr>
            <w:tcW w:w="1240" w:type="dxa"/>
            <w:vAlign w:val="bottom"/>
          </w:tcPr>
          <w:p>
            <w:pPr>
              <w:jc w:val="center"/>
              <w:ind w:right="175"/>
              <w:spacing w:after="0"/>
              <w:rPr>
                <w:sz w:val="20"/>
                <w:szCs w:val="20"/>
                <w:color w:val="auto"/>
              </w:rPr>
            </w:pPr>
            <w:r>
              <w:rPr>
                <w:rFonts w:ascii="Arial" w:cs="Arial" w:eastAsia="Arial" w:hAnsi="Arial"/>
                <w:sz w:val="17"/>
                <w:szCs w:val="17"/>
                <w:color w:val="auto"/>
              </w:rPr>
              <w:t>21*</w:t>
            </w:r>
          </w:p>
        </w:tc>
        <w:tc>
          <w:tcPr>
            <w:tcW w:w="2320" w:type="dxa"/>
            <w:vAlign w:val="bottom"/>
            <w:tcBorders>
              <w:bottom w:val="single" w:sz="8" w:color="0000EE"/>
            </w:tcBorders>
            <w:gridSpan w:val="3"/>
          </w:tcPr>
          <w:p>
            <w:pPr>
              <w:spacing w:after="0"/>
              <w:rPr>
                <w:rFonts w:ascii="Arial" w:cs="Arial" w:eastAsia="Arial" w:hAnsi="Arial"/>
                <w:sz w:val="17"/>
                <w:szCs w:val="17"/>
                <w:color w:val="0000EE"/>
              </w:rPr>
            </w:pPr>
            <w:hyperlink w:anchor="page91">
              <w:r>
                <w:rPr>
                  <w:rFonts w:ascii="Arial" w:cs="Arial" w:eastAsia="Arial" w:hAnsi="Arial"/>
                  <w:sz w:val="17"/>
                  <w:szCs w:val="17"/>
                  <w:color w:val="0000EE"/>
                </w:rPr>
                <w:t>Subsidiaries of the Registrant.</w:t>
              </w:r>
            </w:hyperlink>
          </w:p>
        </w:tc>
        <w:tc>
          <w:tcPr>
            <w:tcW w:w="5360" w:type="dxa"/>
            <w:vAlign w:val="bottom"/>
            <w:gridSpan w:val="14"/>
          </w:tcPr>
          <w:p>
            <w:pPr>
              <w:spacing w:after="0"/>
              <w:rPr>
                <w:sz w:val="24"/>
                <w:szCs w:val="24"/>
                <w:color w:val="auto"/>
              </w:rPr>
            </w:pPr>
          </w:p>
        </w:tc>
      </w:tr>
      <w:tr>
        <w:trPr>
          <w:trHeight w:val="358"/>
        </w:trPr>
        <w:tc>
          <w:tcPr>
            <w:tcW w:w="1240" w:type="dxa"/>
            <w:vAlign w:val="bottom"/>
          </w:tcPr>
          <w:p>
            <w:pPr>
              <w:jc w:val="center"/>
              <w:ind w:right="175"/>
              <w:spacing w:after="0"/>
              <w:rPr>
                <w:sz w:val="20"/>
                <w:szCs w:val="20"/>
                <w:color w:val="auto"/>
              </w:rPr>
            </w:pPr>
            <w:r>
              <w:rPr>
                <w:rFonts w:ascii="Arial" w:cs="Arial" w:eastAsia="Arial" w:hAnsi="Arial"/>
                <w:sz w:val="17"/>
                <w:szCs w:val="17"/>
                <w:color w:val="auto"/>
              </w:rPr>
              <w:t>23*</w:t>
            </w:r>
          </w:p>
        </w:tc>
        <w:tc>
          <w:tcPr>
            <w:tcW w:w="4540" w:type="dxa"/>
            <w:vAlign w:val="bottom"/>
            <w:tcBorders>
              <w:bottom w:val="single" w:sz="8" w:color="0000EE"/>
            </w:tcBorders>
            <w:gridSpan w:val="7"/>
          </w:tcPr>
          <w:p>
            <w:pPr>
              <w:spacing w:after="0"/>
              <w:rPr>
                <w:rFonts w:ascii="Arial" w:cs="Arial" w:eastAsia="Arial" w:hAnsi="Arial"/>
                <w:sz w:val="17"/>
                <w:szCs w:val="17"/>
                <w:color w:val="0000EE"/>
              </w:rPr>
            </w:pPr>
            <w:hyperlink w:anchor="page92">
              <w:r>
                <w:rPr>
                  <w:rFonts w:ascii="Arial" w:cs="Arial" w:eastAsia="Arial" w:hAnsi="Arial"/>
                  <w:sz w:val="17"/>
                  <w:szCs w:val="17"/>
                  <w:color w:val="0000EE"/>
                </w:rPr>
                <w:t>Consent of Independent Registered Public Accounting Firm.</w:t>
              </w:r>
            </w:hyperlink>
          </w:p>
        </w:tc>
        <w:tc>
          <w:tcPr>
            <w:tcW w:w="3140" w:type="dxa"/>
            <w:vAlign w:val="bottom"/>
            <w:gridSpan w:val="10"/>
          </w:tcPr>
          <w:p>
            <w:pPr>
              <w:spacing w:after="0"/>
              <w:rPr>
                <w:sz w:val="24"/>
                <w:szCs w:val="24"/>
                <w:color w:val="auto"/>
              </w:rPr>
            </w:pPr>
          </w:p>
        </w:tc>
      </w:tr>
      <w:tr>
        <w:trPr>
          <w:trHeight w:val="358"/>
        </w:trPr>
        <w:tc>
          <w:tcPr>
            <w:tcW w:w="1240" w:type="dxa"/>
            <w:vAlign w:val="bottom"/>
          </w:tcPr>
          <w:p>
            <w:pPr>
              <w:jc w:val="center"/>
              <w:ind w:right="195"/>
              <w:spacing w:after="0"/>
              <w:rPr>
                <w:sz w:val="20"/>
                <w:szCs w:val="20"/>
                <w:color w:val="auto"/>
              </w:rPr>
            </w:pPr>
            <w:r>
              <w:rPr>
                <w:rFonts w:ascii="Arial" w:cs="Arial" w:eastAsia="Arial" w:hAnsi="Arial"/>
                <w:sz w:val="17"/>
                <w:szCs w:val="17"/>
                <w:color w:val="auto"/>
              </w:rPr>
              <w:t>31.1*</w:t>
            </w:r>
          </w:p>
        </w:tc>
        <w:tc>
          <w:tcPr>
            <w:tcW w:w="7680" w:type="dxa"/>
            <w:vAlign w:val="bottom"/>
            <w:gridSpan w:val="17"/>
          </w:tcPr>
          <w:p>
            <w:pPr>
              <w:spacing w:after="0"/>
              <w:rPr>
                <w:rFonts w:ascii="Arial" w:cs="Arial" w:eastAsia="Arial" w:hAnsi="Arial"/>
                <w:sz w:val="17"/>
                <w:szCs w:val="17"/>
                <w:color w:val="0000EE"/>
              </w:rPr>
            </w:pPr>
            <w:hyperlink w:anchor="page93">
              <w:r>
                <w:rPr>
                  <w:rFonts w:ascii="Arial" w:cs="Arial" w:eastAsia="Arial" w:hAnsi="Arial"/>
                  <w:sz w:val="17"/>
                  <w:szCs w:val="17"/>
                  <w:color w:val="0000EE"/>
                </w:rPr>
                <w:t>Certification of Chief Executive Officer Pursuant to Section 302 of the Sarbanes-Oxley Act of 2002.</w:t>
              </w:r>
            </w:hyperlink>
          </w:p>
        </w:tc>
      </w:tr>
      <w:tr>
        <w:trPr>
          <w:trHeight w:val="358"/>
        </w:trPr>
        <w:tc>
          <w:tcPr>
            <w:tcW w:w="1240" w:type="dxa"/>
            <w:vAlign w:val="bottom"/>
          </w:tcPr>
          <w:p>
            <w:pPr>
              <w:jc w:val="center"/>
              <w:ind w:right="195"/>
              <w:spacing w:after="0"/>
              <w:rPr>
                <w:sz w:val="20"/>
                <w:szCs w:val="20"/>
                <w:color w:val="auto"/>
              </w:rPr>
            </w:pPr>
            <w:r>
              <w:rPr>
                <w:rFonts w:ascii="Arial" w:cs="Arial" w:eastAsia="Arial" w:hAnsi="Arial"/>
                <w:sz w:val="17"/>
                <w:szCs w:val="17"/>
                <w:color w:val="auto"/>
              </w:rPr>
              <w:t>31.2*</w:t>
            </w:r>
          </w:p>
        </w:tc>
        <w:tc>
          <w:tcPr>
            <w:tcW w:w="7440" w:type="dxa"/>
            <w:vAlign w:val="bottom"/>
            <w:tcBorders>
              <w:top w:val="single" w:sz="8" w:color="0000EE"/>
            </w:tcBorders>
            <w:gridSpan w:val="15"/>
          </w:tcPr>
          <w:p>
            <w:pPr>
              <w:spacing w:after="0"/>
              <w:rPr>
                <w:rFonts w:ascii="Arial" w:cs="Arial" w:eastAsia="Arial" w:hAnsi="Arial"/>
                <w:sz w:val="17"/>
                <w:szCs w:val="17"/>
                <w:color w:val="0000EE"/>
              </w:rPr>
            </w:pPr>
            <w:hyperlink w:anchor="page94">
              <w:r>
                <w:rPr>
                  <w:rFonts w:ascii="Arial" w:cs="Arial" w:eastAsia="Arial" w:hAnsi="Arial"/>
                  <w:sz w:val="17"/>
                  <w:szCs w:val="17"/>
                  <w:color w:val="0000EE"/>
                </w:rPr>
                <w:t>Certification of Chief Financial Officer Pursuant to Section 302 of the Sarbanes-Oxley Act of 2002.</w:t>
              </w:r>
            </w:hyperlink>
          </w:p>
        </w:tc>
        <w:tc>
          <w:tcPr>
            <w:tcW w:w="240" w:type="dxa"/>
            <w:vAlign w:val="bottom"/>
            <w:gridSpan w:val="2"/>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6480" w:type="dxa"/>
            <w:vAlign w:val="bottom"/>
            <w:gridSpan w:val="11"/>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358"/>
        </w:trPr>
        <w:tc>
          <w:tcPr>
            <w:tcW w:w="1240" w:type="dxa"/>
            <w:vAlign w:val="bottom"/>
          </w:tcPr>
          <w:p>
            <w:pPr>
              <w:jc w:val="center"/>
              <w:ind w:right="195"/>
              <w:spacing w:after="0"/>
              <w:rPr>
                <w:sz w:val="20"/>
                <w:szCs w:val="20"/>
                <w:color w:val="auto"/>
              </w:rPr>
            </w:pPr>
            <w:r>
              <w:rPr>
                <w:rFonts w:ascii="Arial" w:cs="Arial" w:eastAsia="Arial" w:hAnsi="Arial"/>
                <w:sz w:val="17"/>
                <w:szCs w:val="17"/>
                <w:color w:val="auto"/>
                <w:w w:val="99"/>
              </w:rPr>
              <w:t>32**</w:t>
            </w:r>
          </w:p>
        </w:tc>
        <w:tc>
          <w:tcPr>
            <w:tcW w:w="7680" w:type="dxa"/>
            <w:vAlign w:val="bottom"/>
            <w:tcBorders>
              <w:bottom w:val="single" w:sz="8" w:color="0000EE"/>
            </w:tcBorders>
            <w:gridSpan w:val="17"/>
          </w:tcPr>
          <w:p>
            <w:pPr>
              <w:spacing w:after="0"/>
              <w:rPr>
                <w:rFonts w:ascii="Arial" w:cs="Arial" w:eastAsia="Arial" w:hAnsi="Arial"/>
                <w:sz w:val="17"/>
                <w:szCs w:val="17"/>
                <w:color w:val="0000EE"/>
              </w:rPr>
            </w:pPr>
            <w:hyperlink w:anchor="page95">
              <w:r>
                <w:rPr>
                  <w:rFonts w:ascii="Arial" w:cs="Arial" w:eastAsia="Arial" w:hAnsi="Arial"/>
                  <w:sz w:val="17"/>
                  <w:szCs w:val="17"/>
                  <w:color w:val="0000EE"/>
                </w:rPr>
                <w:t>Certification  of  Chief  Executive  Officer  and  Chief  Financial  Officer  Pursuant  to  18  U.S.C.</w:t>
              </w:r>
            </w:hyperlink>
          </w:p>
        </w:tc>
      </w:tr>
      <w:tr>
        <w:trPr>
          <w:trHeight w:val="169"/>
        </w:trPr>
        <w:tc>
          <w:tcPr>
            <w:tcW w:w="1240" w:type="dxa"/>
            <w:vAlign w:val="bottom"/>
          </w:tcPr>
          <w:p>
            <w:pPr>
              <w:spacing w:after="0"/>
              <w:rPr>
                <w:sz w:val="14"/>
                <w:szCs w:val="14"/>
                <w:color w:val="auto"/>
              </w:rPr>
            </w:pPr>
          </w:p>
        </w:tc>
        <w:tc>
          <w:tcPr>
            <w:tcW w:w="7680" w:type="dxa"/>
            <w:vAlign w:val="bottom"/>
            <w:gridSpan w:val="17"/>
          </w:tcPr>
          <w:p>
            <w:pPr>
              <w:spacing w:after="0" w:line="169" w:lineRule="exact"/>
              <w:rPr>
                <w:rFonts w:ascii="Arial" w:cs="Arial" w:eastAsia="Arial" w:hAnsi="Arial"/>
                <w:sz w:val="17"/>
                <w:szCs w:val="17"/>
                <w:color w:val="0000EE"/>
              </w:rPr>
            </w:pPr>
            <w:hyperlink w:anchor="page95">
              <w:r>
                <w:rPr>
                  <w:rFonts w:ascii="Arial" w:cs="Arial" w:eastAsia="Arial" w:hAnsi="Arial"/>
                  <w:sz w:val="17"/>
                  <w:szCs w:val="17"/>
                  <w:color w:val="0000EE"/>
                </w:rPr>
                <w:t>Section 1350, as adopted pursuant to Section 906 of the Sarbanes-Oxley Act of 2002.</w:t>
              </w:r>
            </w:hyperlink>
          </w:p>
        </w:tc>
      </w:tr>
      <w:tr>
        <w:trPr>
          <w:trHeight w:val="379"/>
        </w:trPr>
        <w:tc>
          <w:tcPr>
            <w:tcW w:w="1240" w:type="dxa"/>
            <w:vAlign w:val="bottom"/>
          </w:tcPr>
          <w:p>
            <w:pPr>
              <w:ind w:left="140"/>
              <w:spacing w:after="0"/>
              <w:rPr>
                <w:sz w:val="20"/>
                <w:szCs w:val="20"/>
                <w:color w:val="auto"/>
              </w:rPr>
            </w:pPr>
            <w:r>
              <w:rPr>
                <w:rFonts w:ascii="Arial" w:cs="Arial" w:eastAsia="Arial" w:hAnsi="Arial"/>
                <w:sz w:val="17"/>
                <w:szCs w:val="17"/>
                <w:color w:val="auto"/>
              </w:rPr>
              <w:t>101.INS*</w:t>
            </w:r>
          </w:p>
        </w:tc>
        <w:tc>
          <w:tcPr>
            <w:tcW w:w="6480" w:type="dxa"/>
            <w:vAlign w:val="bottom"/>
            <w:tcBorders>
              <w:top w:val="single" w:sz="8" w:color="0000EE"/>
            </w:tcBorders>
            <w:gridSpan w:val="11"/>
          </w:tcPr>
          <w:p>
            <w:pPr>
              <w:spacing w:after="0"/>
              <w:rPr>
                <w:sz w:val="20"/>
                <w:szCs w:val="20"/>
                <w:color w:val="auto"/>
              </w:rPr>
            </w:pPr>
            <w:r>
              <w:rPr>
                <w:rFonts w:ascii="Arial" w:cs="Arial" w:eastAsia="Arial" w:hAnsi="Arial"/>
                <w:sz w:val="17"/>
                <w:szCs w:val="17"/>
                <w:color w:val="auto"/>
              </w:rPr>
              <w:t>XBRL Instance Document.</w:t>
            </w:r>
          </w:p>
        </w:tc>
        <w:tc>
          <w:tcPr>
            <w:tcW w:w="1200" w:type="dxa"/>
            <w:vAlign w:val="bottom"/>
            <w:gridSpan w:val="6"/>
          </w:tcPr>
          <w:p>
            <w:pPr>
              <w:spacing w:after="0"/>
              <w:rPr>
                <w:sz w:val="24"/>
                <w:szCs w:val="24"/>
                <w:color w:val="auto"/>
              </w:rPr>
            </w:pPr>
          </w:p>
        </w:tc>
      </w:tr>
      <w:tr>
        <w:trPr>
          <w:trHeight w:val="205"/>
        </w:trPr>
        <w:tc>
          <w:tcPr>
            <w:tcW w:w="1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9"/>
          </w:tcPr>
          <w:p>
            <w:pPr>
              <w:ind w:left="880"/>
              <w:spacing w:after="0"/>
              <w:rPr>
                <w:sz w:val="20"/>
                <w:szCs w:val="20"/>
                <w:color w:val="auto"/>
              </w:rPr>
            </w:pPr>
            <w:r>
              <w:rPr>
                <w:rFonts w:ascii="Arial" w:cs="Arial" w:eastAsia="Arial" w:hAnsi="Arial"/>
                <w:sz w:val="17"/>
                <w:szCs w:val="17"/>
                <w:color w:val="auto"/>
                <w:w w:val="99"/>
              </w:rPr>
              <w:t>2019 Form 10-K Page 82</w:t>
            </w:r>
          </w:p>
        </w:tc>
      </w:tr>
      <w:tr>
        <w:trPr>
          <w:trHeight w:val="740"/>
        </w:trPr>
        <w:tc>
          <w:tcPr>
            <w:tcW w:w="1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707" w:right="1440" w:bottom="1440" w:gutter="0" w:footer="0" w:header="0"/>
          <w:type w:val="continuous"/>
        </w:sectPr>
      </w:pPr>
    </w:p>
    <w:bookmarkStart w:id="85" w:name="page86"/>
    <w:bookmarkEnd w:id="85"/>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Exhibit No.</w:t>
            </w:r>
          </w:p>
        </w:tc>
        <w:tc>
          <w:tcPr>
            <w:tcW w:w="280" w:type="dxa"/>
            <w:vAlign w:val="bottom"/>
          </w:tcPr>
          <w:p>
            <w:pPr>
              <w:spacing w:after="0"/>
              <w:rPr>
                <w:sz w:val="18"/>
                <w:szCs w:val="18"/>
                <w:color w:val="auto"/>
              </w:rPr>
            </w:pPr>
          </w:p>
        </w:tc>
        <w:tc>
          <w:tcPr>
            <w:tcW w:w="7680" w:type="dxa"/>
            <w:vAlign w:val="bottom"/>
            <w:tcBorders>
              <w:bottom w:val="single" w:sz="8" w:color="auto"/>
            </w:tcBorders>
          </w:tcPr>
          <w:p>
            <w:pPr>
              <w:ind w:left="3360"/>
              <w:spacing w:after="0"/>
              <w:rPr>
                <w:sz w:val="20"/>
                <w:szCs w:val="20"/>
                <w:color w:val="auto"/>
              </w:rPr>
            </w:pPr>
            <w:r>
              <w:rPr>
                <w:rFonts w:ascii="Arial" w:cs="Arial" w:eastAsia="Arial" w:hAnsi="Arial"/>
                <w:sz w:val="17"/>
                <w:szCs w:val="17"/>
                <w:b w:val="1"/>
                <w:bCs w:val="1"/>
                <w:color w:val="auto"/>
              </w:rPr>
              <w:t>Description</w:t>
            </w:r>
          </w:p>
        </w:tc>
      </w:tr>
      <w:tr>
        <w:trPr>
          <w:trHeight w:val="381"/>
        </w:trPr>
        <w:tc>
          <w:tcPr>
            <w:tcW w:w="940" w:type="dxa"/>
            <w:vAlign w:val="bottom"/>
          </w:tcPr>
          <w:p>
            <w:pPr>
              <w:jc w:val="center"/>
              <w:spacing w:after="0"/>
              <w:rPr>
                <w:sz w:val="20"/>
                <w:szCs w:val="20"/>
                <w:color w:val="auto"/>
              </w:rPr>
            </w:pPr>
            <w:r>
              <w:rPr>
                <w:rFonts w:ascii="Arial" w:cs="Arial" w:eastAsia="Arial" w:hAnsi="Arial"/>
                <w:sz w:val="17"/>
                <w:szCs w:val="17"/>
                <w:color w:val="auto"/>
              </w:rPr>
              <w:t>101.SCH*</w:t>
            </w:r>
          </w:p>
        </w:tc>
        <w:tc>
          <w:tcPr>
            <w:tcW w:w="7960" w:type="dxa"/>
            <w:vAlign w:val="bottom"/>
            <w:gridSpan w:val="2"/>
          </w:tcPr>
          <w:p>
            <w:pPr>
              <w:ind w:left="280"/>
              <w:spacing w:after="0"/>
              <w:rPr>
                <w:sz w:val="20"/>
                <w:szCs w:val="20"/>
                <w:color w:val="auto"/>
              </w:rPr>
            </w:pPr>
            <w:r>
              <w:rPr>
                <w:rFonts w:ascii="Arial" w:cs="Arial" w:eastAsia="Arial" w:hAnsi="Arial"/>
                <w:sz w:val="17"/>
                <w:szCs w:val="17"/>
                <w:color w:val="auto"/>
              </w:rPr>
              <w:t>XBRL Taxonomy Extension Schema.</w:t>
            </w:r>
          </w:p>
        </w:tc>
      </w:tr>
      <w:tr>
        <w:trPr>
          <w:trHeight w:val="378"/>
        </w:trPr>
        <w:tc>
          <w:tcPr>
            <w:tcW w:w="940" w:type="dxa"/>
            <w:vAlign w:val="bottom"/>
          </w:tcPr>
          <w:p>
            <w:pPr>
              <w:jc w:val="center"/>
              <w:spacing w:after="0"/>
              <w:rPr>
                <w:sz w:val="20"/>
                <w:szCs w:val="20"/>
                <w:color w:val="auto"/>
              </w:rPr>
            </w:pPr>
            <w:r>
              <w:rPr>
                <w:rFonts w:ascii="Arial" w:cs="Arial" w:eastAsia="Arial" w:hAnsi="Arial"/>
                <w:sz w:val="17"/>
                <w:szCs w:val="17"/>
                <w:color w:val="auto"/>
              </w:rPr>
              <w:t>101.CAL*</w:t>
            </w:r>
          </w:p>
        </w:tc>
        <w:tc>
          <w:tcPr>
            <w:tcW w:w="7960" w:type="dxa"/>
            <w:vAlign w:val="bottom"/>
            <w:gridSpan w:val="2"/>
          </w:tcPr>
          <w:p>
            <w:pPr>
              <w:ind w:left="280"/>
              <w:spacing w:after="0"/>
              <w:rPr>
                <w:sz w:val="20"/>
                <w:szCs w:val="20"/>
                <w:color w:val="auto"/>
              </w:rPr>
            </w:pPr>
            <w:r>
              <w:rPr>
                <w:rFonts w:ascii="Arial" w:cs="Arial" w:eastAsia="Arial" w:hAnsi="Arial"/>
                <w:sz w:val="17"/>
                <w:szCs w:val="17"/>
                <w:color w:val="auto"/>
              </w:rPr>
              <w:t>XBRL Taxonomy Extension Calculation Linkbase.</w:t>
            </w:r>
          </w:p>
        </w:tc>
      </w:tr>
      <w:tr>
        <w:trPr>
          <w:trHeight w:val="378"/>
        </w:trPr>
        <w:tc>
          <w:tcPr>
            <w:tcW w:w="940" w:type="dxa"/>
            <w:vAlign w:val="bottom"/>
          </w:tcPr>
          <w:p>
            <w:pPr>
              <w:jc w:val="center"/>
              <w:spacing w:after="0"/>
              <w:rPr>
                <w:sz w:val="20"/>
                <w:szCs w:val="20"/>
                <w:color w:val="auto"/>
              </w:rPr>
            </w:pPr>
            <w:r>
              <w:rPr>
                <w:rFonts w:ascii="Arial" w:cs="Arial" w:eastAsia="Arial" w:hAnsi="Arial"/>
                <w:sz w:val="17"/>
                <w:szCs w:val="17"/>
                <w:color w:val="auto"/>
              </w:rPr>
              <w:t>101.DEF*</w:t>
            </w:r>
          </w:p>
        </w:tc>
        <w:tc>
          <w:tcPr>
            <w:tcW w:w="7960" w:type="dxa"/>
            <w:vAlign w:val="bottom"/>
            <w:gridSpan w:val="2"/>
          </w:tcPr>
          <w:p>
            <w:pPr>
              <w:ind w:left="280"/>
              <w:spacing w:after="0"/>
              <w:rPr>
                <w:sz w:val="20"/>
                <w:szCs w:val="20"/>
                <w:color w:val="auto"/>
              </w:rPr>
            </w:pPr>
            <w:r>
              <w:rPr>
                <w:rFonts w:ascii="Arial" w:cs="Arial" w:eastAsia="Arial" w:hAnsi="Arial"/>
                <w:sz w:val="17"/>
                <w:szCs w:val="17"/>
                <w:color w:val="auto"/>
              </w:rPr>
              <w:t>XBRL Taxonomy Extension Definition Linkbase.</w:t>
            </w:r>
          </w:p>
        </w:tc>
      </w:tr>
      <w:tr>
        <w:trPr>
          <w:trHeight w:val="378"/>
        </w:trPr>
        <w:tc>
          <w:tcPr>
            <w:tcW w:w="940" w:type="dxa"/>
            <w:vAlign w:val="bottom"/>
          </w:tcPr>
          <w:p>
            <w:pPr>
              <w:jc w:val="center"/>
              <w:spacing w:after="0"/>
              <w:rPr>
                <w:sz w:val="20"/>
                <w:szCs w:val="20"/>
                <w:color w:val="auto"/>
              </w:rPr>
            </w:pPr>
            <w:r>
              <w:rPr>
                <w:rFonts w:ascii="Arial" w:cs="Arial" w:eastAsia="Arial" w:hAnsi="Arial"/>
                <w:sz w:val="17"/>
                <w:szCs w:val="17"/>
                <w:color w:val="auto"/>
              </w:rPr>
              <w:t>101.LAB*</w:t>
            </w:r>
          </w:p>
        </w:tc>
        <w:tc>
          <w:tcPr>
            <w:tcW w:w="7960" w:type="dxa"/>
            <w:vAlign w:val="bottom"/>
            <w:gridSpan w:val="2"/>
          </w:tcPr>
          <w:p>
            <w:pPr>
              <w:ind w:left="280"/>
              <w:spacing w:after="0"/>
              <w:rPr>
                <w:sz w:val="20"/>
                <w:szCs w:val="20"/>
                <w:color w:val="auto"/>
              </w:rPr>
            </w:pPr>
            <w:r>
              <w:rPr>
                <w:rFonts w:ascii="Arial" w:cs="Arial" w:eastAsia="Arial" w:hAnsi="Arial"/>
                <w:sz w:val="17"/>
                <w:szCs w:val="17"/>
                <w:color w:val="auto"/>
              </w:rPr>
              <w:t>XBRL Taxonomy Extension Label Linkbase.</w:t>
            </w:r>
          </w:p>
        </w:tc>
      </w:tr>
      <w:tr>
        <w:trPr>
          <w:trHeight w:val="368"/>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101.PRE*</w:t>
            </w:r>
          </w:p>
        </w:tc>
        <w:tc>
          <w:tcPr>
            <w:tcW w:w="7960" w:type="dxa"/>
            <w:vAlign w:val="bottom"/>
            <w:tcBorders>
              <w:bottom w:val="single" w:sz="8" w:color="auto"/>
            </w:tcBorders>
            <w:gridSpan w:val="2"/>
          </w:tcPr>
          <w:p>
            <w:pPr>
              <w:ind w:left="280"/>
              <w:spacing w:after="0"/>
              <w:rPr>
                <w:sz w:val="20"/>
                <w:szCs w:val="20"/>
                <w:color w:val="auto"/>
              </w:rPr>
            </w:pPr>
            <w:r>
              <w:rPr>
                <w:rFonts w:ascii="Arial" w:cs="Arial" w:eastAsia="Arial" w:hAnsi="Arial"/>
                <w:sz w:val="17"/>
                <w:szCs w:val="17"/>
                <w:color w:val="auto"/>
              </w:rPr>
              <w:t>XBRL Taxonomy Extension Presentation Linkbase.</w:t>
            </w:r>
          </w:p>
        </w:tc>
      </w:tr>
    </w:tbl>
    <w:p>
      <w:pPr>
        <w:spacing w:after="0" w:line="183" w:lineRule="exact"/>
        <w:rPr>
          <w:sz w:val="20"/>
          <w:szCs w:val="20"/>
          <w:color w:val="auto"/>
        </w:rPr>
      </w:pPr>
    </w:p>
    <w:p>
      <w:pPr>
        <w:ind w:left="60" w:right="4039" w:hanging="10"/>
        <w:spacing w:after="0" w:line="497" w:lineRule="auto"/>
        <w:tabs>
          <w:tab w:leader="none" w:pos="384" w:val="left"/>
        </w:tabs>
        <w:numPr>
          <w:ilvl w:val="0"/>
          <w:numId w:val="45"/>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 Filed herewith</w:t>
      </w:r>
    </w:p>
    <w:p>
      <w:pPr>
        <w:ind w:left="60"/>
        <w:spacing w:after="0"/>
        <w:rPr>
          <w:rFonts w:ascii="Arial" w:cs="Arial" w:eastAsia="Arial" w:hAnsi="Arial"/>
          <w:sz w:val="17"/>
          <w:szCs w:val="17"/>
          <w:color w:val="auto"/>
        </w:rPr>
      </w:pPr>
      <w:r>
        <w:rPr>
          <w:rFonts w:ascii="Arial" w:cs="Arial" w:eastAsia="Arial" w:hAnsi="Arial"/>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2019 Form 10-K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left="60" w:right="79"/>
        <w:spacing w:after="0" w:line="243"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212"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FOOT LOCKER, INC.</w:t>
      </w:r>
    </w:p>
    <w:p>
      <w:pPr>
        <w:spacing w:after="0" w:line="183"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By: /s/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0</wp:posOffset>
            </wp:positionV>
            <wp:extent cx="27603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7"/>
          <w:szCs w:val="17"/>
          <w:color w:val="auto"/>
        </w:rPr>
        <w:t>Richard A. Johnson</w:t>
      </w:r>
    </w:p>
    <w:p>
      <w:pPr>
        <w:ind w:left="4600"/>
        <w:spacing w:after="0"/>
        <w:rPr>
          <w:sz w:val="20"/>
          <w:szCs w:val="20"/>
          <w:color w:val="auto"/>
        </w:rPr>
      </w:pPr>
      <w:r>
        <w:rPr>
          <w:rFonts w:ascii="Arial" w:cs="Arial" w:eastAsia="Arial" w:hAnsi="Arial"/>
          <w:sz w:val="17"/>
          <w:szCs w:val="17"/>
          <w:i w:val="1"/>
          <w:iCs w:val="1"/>
          <w:color w:val="auto"/>
        </w:rPr>
        <w:t>Chairman, President and Chief Executive Officer</w:t>
      </w:r>
    </w:p>
    <w:p>
      <w:pPr>
        <w:spacing w:after="0" w:line="183"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Date: March 27, 2020</w:t>
      </w:r>
    </w:p>
    <w:p>
      <w:pPr>
        <w:spacing w:after="0" w:line="183" w:lineRule="exact"/>
        <w:rPr>
          <w:sz w:val="20"/>
          <w:szCs w:val="20"/>
          <w:color w:val="auto"/>
        </w:rPr>
      </w:pPr>
    </w:p>
    <w:p>
      <w:pPr>
        <w:ind w:left="60" w:right="59"/>
        <w:spacing w:after="0" w:line="243"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on March 27, 2020, by the following persons on behalf of the Company and in the capacities indicated.</w:t>
      </w:r>
    </w:p>
    <w:p>
      <w:pPr>
        <w:sectPr>
          <w:pgSz w:w="11900" w:h="16838" w:orient="portrait"/>
          <w:cols w:equalWidth="0" w:num="1">
            <w:col w:w="9019"/>
          </w:cols>
          <w:pgMar w:left="1440" w:top="707" w:right="1440" w:bottom="1440" w:gutter="0" w:footer="0" w:header="0"/>
        </w:sectPr>
      </w:pP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7171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7"/>
          <w:szCs w:val="17"/>
          <w:color w:val="auto"/>
        </w:rPr>
        <w:t>Richard A. Johnson</w:t>
      </w:r>
    </w:p>
    <w:p>
      <w:pPr>
        <w:jc w:val="center"/>
        <w:ind w:right="560"/>
        <w:spacing w:after="0" w:line="232" w:lineRule="auto"/>
        <w:rPr>
          <w:sz w:val="20"/>
          <w:szCs w:val="20"/>
          <w:color w:val="auto"/>
        </w:rPr>
      </w:pPr>
      <w:r>
        <w:rPr>
          <w:rFonts w:ascii="Arial" w:cs="Arial" w:eastAsia="Arial" w:hAnsi="Arial"/>
          <w:sz w:val="17"/>
          <w:szCs w:val="17"/>
          <w:color w:val="auto"/>
        </w:rPr>
        <w:t>Chairman, President and</w:t>
      </w:r>
    </w:p>
    <w:p>
      <w:pPr>
        <w:jc w:val="center"/>
        <w:ind w:right="560"/>
        <w:spacing w:after="0"/>
        <w:rPr>
          <w:sz w:val="20"/>
          <w:szCs w:val="20"/>
          <w:color w:val="auto"/>
        </w:rPr>
      </w:pPr>
      <w:r>
        <w:rPr>
          <w:rFonts w:ascii="Arial" w:cs="Arial" w:eastAsia="Arial" w:hAnsi="Arial"/>
          <w:sz w:val="17"/>
          <w:szCs w:val="17"/>
          <w:color w:val="auto"/>
        </w:rPr>
        <w:t>Chief Executive Officer</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 GIOVANNA CIPRIANO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7171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7"/>
          <w:szCs w:val="17"/>
          <w:color w:val="auto"/>
        </w:rPr>
        <w:t>Giovanna Cipriano</w:t>
      </w:r>
    </w:p>
    <w:p>
      <w:pPr>
        <w:ind w:left="260"/>
        <w:spacing w:after="0"/>
        <w:rPr>
          <w:sz w:val="20"/>
          <w:szCs w:val="20"/>
          <w:color w:val="auto"/>
        </w:rPr>
      </w:pPr>
      <w:r>
        <w:rPr>
          <w:rFonts w:ascii="Arial" w:cs="Arial" w:eastAsia="Arial" w:hAnsi="Arial"/>
          <w:sz w:val="17"/>
          <w:szCs w:val="17"/>
          <w:color w:val="auto"/>
        </w:rPr>
        <w:t>Senior Vice President and Chief Accounting Officer</w:t>
      </w:r>
    </w:p>
    <w:p>
      <w:pPr>
        <w:spacing w:after="0" w:line="183"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7171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jc w:val="center"/>
        <w:ind w:right="560"/>
        <w:spacing w:after="0"/>
        <w:rPr>
          <w:sz w:val="20"/>
          <w:szCs w:val="20"/>
          <w:color w:val="auto"/>
        </w:rPr>
      </w:pPr>
      <w:r>
        <w:rPr>
          <w:rFonts w:ascii="Arial" w:cs="Arial" w:eastAsia="Arial" w:hAnsi="Arial"/>
          <w:sz w:val="17"/>
          <w:szCs w:val="17"/>
          <w:color w:val="auto"/>
        </w:rPr>
        <w:t>Maxine Clark</w:t>
      </w:r>
    </w:p>
    <w:p>
      <w:pPr>
        <w:jc w:val="center"/>
        <w:ind w:right="560"/>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/s/ ALAN D.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7171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ind w:left="1560"/>
        <w:spacing w:after="0"/>
        <w:rPr>
          <w:sz w:val="20"/>
          <w:szCs w:val="20"/>
          <w:color w:val="auto"/>
        </w:rPr>
      </w:pPr>
      <w:r>
        <w:rPr>
          <w:rFonts w:ascii="Arial" w:cs="Arial" w:eastAsia="Arial" w:hAnsi="Arial"/>
          <w:sz w:val="17"/>
          <w:szCs w:val="17"/>
          <w:color w:val="auto"/>
        </w:rPr>
        <w:t>Alan D. Feldman</w:t>
      </w:r>
    </w:p>
    <w:p>
      <w:pPr>
        <w:ind w:left="1900"/>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/s/ GUILLERMO G. MARMOL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7171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jc w:val="center"/>
        <w:ind w:right="560"/>
        <w:spacing w:after="0"/>
        <w:rPr>
          <w:sz w:val="20"/>
          <w:szCs w:val="20"/>
          <w:color w:val="auto"/>
        </w:rPr>
      </w:pPr>
      <w:r>
        <w:rPr>
          <w:rFonts w:ascii="Arial" w:cs="Arial" w:eastAsia="Arial" w:hAnsi="Arial"/>
          <w:sz w:val="17"/>
          <w:szCs w:val="17"/>
          <w:color w:val="auto"/>
        </w:rPr>
        <w:t>Guillermo G. Marmol</w:t>
      </w:r>
    </w:p>
    <w:p>
      <w:pPr>
        <w:jc w:val="center"/>
        <w:ind w:right="560"/>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 MATTHEW M.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7171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7"/>
          <w:szCs w:val="17"/>
          <w:color w:val="auto"/>
        </w:rPr>
        <w:t>Matthew M. McKenna</w:t>
      </w:r>
    </w:p>
    <w:p>
      <w:pPr>
        <w:ind w:left="1900"/>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 STEVEN OAKLAND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7171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jc w:val="center"/>
        <w:ind w:right="560"/>
        <w:spacing w:after="0"/>
        <w:rPr>
          <w:sz w:val="20"/>
          <w:szCs w:val="20"/>
          <w:color w:val="auto"/>
        </w:rPr>
      </w:pPr>
      <w:r>
        <w:rPr>
          <w:rFonts w:ascii="Arial" w:cs="Arial" w:eastAsia="Arial" w:hAnsi="Arial"/>
          <w:sz w:val="17"/>
          <w:szCs w:val="17"/>
          <w:color w:val="auto"/>
        </w:rPr>
        <w:t>Steven Oakland</w:t>
      </w:r>
    </w:p>
    <w:p>
      <w:pPr>
        <w:jc w:val="center"/>
        <w:ind w:right="56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0</wp:posOffset>
            </wp:positionV>
            <wp:extent cx="27171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Lauren B. Peters</w:t>
      </w:r>
    </w:p>
    <w:p>
      <w:pPr>
        <w:jc w:val="center"/>
        <w:ind w:right="1059"/>
        <w:spacing w:after="0" w:line="232" w:lineRule="auto"/>
        <w:rPr>
          <w:sz w:val="20"/>
          <w:szCs w:val="20"/>
          <w:color w:val="auto"/>
        </w:rPr>
      </w:pPr>
      <w:r>
        <w:rPr>
          <w:rFonts w:ascii="Arial" w:cs="Arial" w:eastAsia="Arial" w:hAnsi="Arial"/>
          <w:sz w:val="17"/>
          <w:szCs w:val="17"/>
          <w:color w:val="auto"/>
        </w:rPr>
        <w:t>Executive Vice President and</w:t>
      </w:r>
    </w:p>
    <w:p>
      <w:pPr>
        <w:jc w:val="center"/>
        <w:ind w:right="1059"/>
        <w:spacing w:after="0"/>
        <w:rPr>
          <w:sz w:val="20"/>
          <w:szCs w:val="20"/>
          <w:color w:val="auto"/>
        </w:rPr>
      </w:pPr>
      <w:r>
        <w:rPr>
          <w:rFonts w:ascii="Arial" w:cs="Arial" w:eastAsia="Arial" w:hAnsi="Arial"/>
          <w:sz w:val="17"/>
          <w:szCs w:val="17"/>
          <w:color w:val="auto"/>
        </w:rPr>
        <w:t>Chief Financial Officer</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0</wp:posOffset>
            </wp:positionV>
            <wp:extent cx="27171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7"/>
          <w:szCs w:val="17"/>
          <w:color w:val="auto"/>
        </w:rPr>
        <w:t>Ulice Payne, Jr.</w:t>
      </w:r>
    </w:p>
    <w:p>
      <w:pPr>
        <w:ind w:left="860"/>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 DARLENE NICOSIA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0</wp:posOffset>
            </wp:positionV>
            <wp:extent cx="27171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jc w:val="center"/>
        <w:ind w:right="1059"/>
        <w:spacing w:after="0"/>
        <w:rPr>
          <w:sz w:val="20"/>
          <w:szCs w:val="20"/>
          <w:color w:val="auto"/>
        </w:rPr>
      </w:pPr>
      <w:r>
        <w:rPr>
          <w:rFonts w:ascii="Arial" w:cs="Arial" w:eastAsia="Arial" w:hAnsi="Arial"/>
          <w:sz w:val="17"/>
          <w:szCs w:val="17"/>
          <w:color w:val="auto"/>
        </w:rPr>
        <w:t>Darlene Nicosia</w:t>
      </w:r>
    </w:p>
    <w:p>
      <w:pPr>
        <w:jc w:val="center"/>
        <w:ind w:right="1059"/>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CHERYL NIDO TURPIN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0</wp:posOffset>
            </wp:positionV>
            <wp:extent cx="27171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7"/>
          <w:szCs w:val="17"/>
          <w:color w:val="auto"/>
        </w:rPr>
        <w:t>Cheryl Nido Turpin</w:t>
      </w:r>
    </w:p>
    <w:p>
      <w:pPr>
        <w:ind w:left="860"/>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 KIMBERLY K. UNDERHILL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6985</wp:posOffset>
            </wp:positionV>
            <wp:extent cx="27171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jc w:val="center"/>
        <w:ind w:right="1059"/>
        <w:spacing w:after="0"/>
        <w:rPr>
          <w:sz w:val="20"/>
          <w:szCs w:val="20"/>
          <w:color w:val="auto"/>
        </w:rPr>
      </w:pPr>
      <w:r>
        <w:rPr>
          <w:rFonts w:ascii="Arial" w:cs="Arial" w:eastAsia="Arial" w:hAnsi="Arial"/>
          <w:sz w:val="17"/>
          <w:szCs w:val="17"/>
          <w:color w:val="auto"/>
        </w:rPr>
        <w:t>Kimberly K. Underhill</w:t>
      </w:r>
    </w:p>
    <w:p>
      <w:pPr>
        <w:jc w:val="center"/>
        <w:ind w:right="1059"/>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 TRISTAN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0</wp:posOffset>
            </wp:positionV>
            <wp:extent cx="27171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7"/>
          <w:szCs w:val="17"/>
          <w:color w:val="auto"/>
        </w:rPr>
        <w:t>Tristan Walker</w:t>
      </w:r>
    </w:p>
    <w:p>
      <w:pPr>
        <w:ind w:left="860"/>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 DONA 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0</wp:posOffset>
            </wp:positionV>
            <wp:extent cx="27171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jc w:val="center"/>
        <w:ind w:right="1059"/>
        <w:spacing w:after="0"/>
        <w:rPr>
          <w:sz w:val="20"/>
          <w:szCs w:val="20"/>
          <w:color w:val="auto"/>
        </w:rPr>
      </w:pPr>
      <w:r>
        <w:rPr>
          <w:rFonts w:ascii="Arial" w:cs="Arial" w:eastAsia="Arial" w:hAnsi="Arial"/>
          <w:sz w:val="17"/>
          <w:szCs w:val="17"/>
          <w:color w:val="auto"/>
        </w:rPr>
        <w:t>Dona D. Young</w:t>
      </w:r>
    </w:p>
    <w:p>
      <w:pPr>
        <w:jc w:val="center"/>
        <w:ind w:right="1059"/>
        <w:spacing w:after="0"/>
        <w:rPr>
          <w:sz w:val="20"/>
          <w:szCs w:val="20"/>
          <w:color w:val="auto"/>
        </w:rPr>
      </w:pPr>
      <w:r>
        <w:rPr>
          <w:rFonts w:ascii="Arial" w:cs="Arial" w:eastAsia="Arial" w:hAnsi="Arial"/>
          <w:sz w:val="17"/>
          <w:szCs w:val="17"/>
          <w:color w:val="auto"/>
        </w:rPr>
        <w:t>Lead Director</w:t>
      </w:r>
    </w:p>
    <w:p>
      <w:pPr>
        <w:spacing w:after="0" w:line="200" w:lineRule="exact"/>
        <w:rPr>
          <w:sz w:val="20"/>
          <w:szCs w:val="20"/>
          <w:color w:val="auto"/>
        </w:rPr>
      </w:pPr>
    </w:p>
    <w:p>
      <w:pPr>
        <w:sectPr>
          <w:pgSz w:w="11900" w:h="16838" w:orient="portrait"/>
          <w:cols w:equalWidth="0" w:num="2">
            <w:col w:w="4940" w:space="720"/>
            <w:col w:w="3359"/>
          </w:cols>
          <w:pgMar w:left="1440" w:top="7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2019 Form 10-K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type w:val="continuous"/>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2019 Form 10-K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8" w:name="page89"/>
    <w:bookmarkEnd w:id="88"/>
    <w:p>
      <w:pPr>
        <w:jc w:val="right"/>
        <w:ind w:right="219"/>
        <w:spacing w:after="0"/>
        <w:rPr>
          <w:sz w:val="20"/>
          <w:szCs w:val="20"/>
          <w:color w:val="auto"/>
        </w:rPr>
      </w:pPr>
      <w:r>
        <w:rPr>
          <w:rFonts w:ascii="Arial" w:cs="Arial" w:eastAsia="Arial" w:hAnsi="Arial"/>
          <w:sz w:val="17"/>
          <w:szCs w:val="17"/>
          <w:b w:val="1"/>
          <w:bCs w:val="1"/>
          <w:color w:val="auto"/>
        </w:rPr>
        <w:t>Exhibit 4.4</w:t>
      </w:r>
    </w:p>
    <w:p>
      <w:pPr>
        <w:spacing w:after="0" w:line="200" w:lineRule="exact"/>
        <w:rPr>
          <w:sz w:val="20"/>
          <w:szCs w:val="20"/>
          <w:color w:val="auto"/>
        </w:rPr>
      </w:pPr>
    </w:p>
    <w:p>
      <w:pPr>
        <w:spacing w:after="0" w:line="212" w:lineRule="exact"/>
        <w:rPr>
          <w:sz w:val="20"/>
          <w:szCs w:val="20"/>
          <w:color w:val="auto"/>
        </w:rPr>
      </w:pPr>
    </w:p>
    <w:p>
      <w:pPr>
        <w:jc w:val="center"/>
        <w:ind w:left="1660" w:right="1700"/>
        <w:spacing w:after="0" w:line="224" w:lineRule="auto"/>
        <w:rPr>
          <w:sz w:val="20"/>
          <w:szCs w:val="20"/>
          <w:color w:val="auto"/>
        </w:rPr>
      </w:pPr>
      <w:r>
        <w:rPr>
          <w:rFonts w:ascii="Arial" w:cs="Arial" w:eastAsia="Arial" w:hAnsi="Arial"/>
          <w:sz w:val="17"/>
          <w:szCs w:val="17"/>
          <w:b w:val="1"/>
          <w:bCs w:val="1"/>
          <w:color w:val="auto"/>
        </w:rPr>
        <w:t>DESCRIPTION OF THE REGISTRANT’S SECURITIES REGISTERED PURSUANT TO SECTION 12 OF THE SECURITIES EXCHANGE ACT OF 1934</w:t>
      </w:r>
    </w:p>
    <w:p>
      <w:pPr>
        <w:spacing w:after="0" w:line="269" w:lineRule="exact"/>
        <w:rPr>
          <w:sz w:val="20"/>
          <w:szCs w:val="20"/>
          <w:color w:val="auto"/>
        </w:rPr>
      </w:pPr>
    </w:p>
    <w:p>
      <w:pPr>
        <w:jc w:val="both"/>
        <w:ind w:left="200" w:right="219"/>
        <w:spacing w:after="0" w:line="209" w:lineRule="auto"/>
        <w:rPr>
          <w:sz w:val="20"/>
          <w:szCs w:val="20"/>
          <w:color w:val="auto"/>
        </w:rPr>
      </w:pPr>
      <w:r>
        <w:rPr>
          <w:rFonts w:ascii="Arial" w:cs="Arial" w:eastAsia="Arial" w:hAnsi="Arial"/>
          <w:sz w:val="17"/>
          <w:szCs w:val="17"/>
          <w:color w:val="auto"/>
        </w:rPr>
        <w:t>The following description of the common stock of Foot Locker, Inc. (“Foot Locker,” “we,” “us” and “our”) is based on our Certificate of Incorporation, as amended (our “Certificate of Incorporation”) and our Bylaws (our “Bylaws”). This description is summarized from, and qualified in its entirety by reference to the New York Business Corporation Law and the complete text of our Certificate of Incorporation and our Bylaws, which are filed as Exhibits 3.1, 3.2 and 3.3, respectively, to our Annual Report on Form 10-K.</w:t>
      </w:r>
    </w:p>
    <w:p>
      <w:pPr>
        <w:spacing w:after="0" w:line="155"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DESCRIPTION OF COMMON STOCK</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Authorized Shares of Capital Stock</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authorized capital stock consists of:</w:t>
      </w:r>
    </w:p>
    <w:p>
      <w:pPr>
        <w:spacing w:after="0" w:line="7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500,000,000 shares of common stock, $0.01 par value per share; and</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7,000,000 shares of preferred stock, $1.00 par value per share.</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Voting Rights</w:t>
      </w:r>
    </w:p>
    <w:p>
      <w:pPr>
        <w:spacing w:after="0" w:line="203" w:lineRule="exact"/>
        <w:rPr>
          <w:sz w:val="20"/>
          <w:szCs w:val="20"/>
          <w:color w:val="auto"/>
        </w:rPr>
      </w:pPr>
    </w:p>
    <w:p>
      <w:pPr>
        <w:jc w:val="both"/>
        <w:ind w:left="200" w:right="219"/>
        <w:spacing w:after="0" w:line="202" w:lineRule="auto"/>
        <w:rPr>
          <w:sz w:val="20"/>
          <w:szCs w:val="20"/>
          <w:color w:val="auto"/>
        </w:rPr>
      </w:pPr>
      <w:r>
        <w:rPr>
          <w:rFonts w:ascii="Arial" w:cs="Arial" w:eastAsia="Arial" w:hAnsi="Arial"/>
          <w:sz w:val="17"/>
          <w:szCs w:val="17"/>
          <w:color w:val="auto"/>
        </w:rPr>
        <w:t>The holders of our common stock are entitled to one vote for each share of stock held by such shareholder which has voting power upon the matter in question, including the election of directors. Except as otherwise provided by law, our Certificate of Incorporation or our Bylaws, matters will generally be decided by the holders of a majority of shares entitled to vote thereon. Our Bylaws provide that directors must be elected by a majority of the votes cast in elections for which the number of nominees for election does not exceed the number of directors to be elected. A plurality vote standard applies to contested elections where the number of nominees exceeds the number of directors to be elected. Our Corporate Governance Guidelines provide that any incumbent director who does not receive a majority of the votes cast in an uncontested election is required to tender his or her resignation for consideration by the Nominating and Corporate Governance Committee. The Nominating and Corporate Governance Committee will make a recommendation to the Board of Directors (“Board”) whether to accept or reject the resignation, or whether other action should be taken. The director who tenders his or her resignation will not participate in the Committee’s or the Board’s decision. In determining its recommendation to the Board, the Nominating and Corporate Governance Committee will consider all factors that it deems relevant. Following such determination, the Company will promptly disclose publicly the Board’s decision, including, if applicable, the reasons for rejecting the tendered resignation.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Dividends</w:t>
      </w:r>
    </w:p>
    <w:p>
      <w:pPr>
        <w:spacing w:after="0" w:line="203" w:lineRule="exact"/>
        <w:rPr>
          <w:sz w:val="20"/>
          <w:szCs w:val="20"/>
          <w:color w:val="auto"/>
        </w:rPr>
      </w:pPr>
    </w:p>
    <w:p>
      <w:pPr>
        <w:jc w:val="both"/>
        <w:ind w:left="200" w:right="219"/>
        <w:spacing w:after="0" w:line="216" w:lineRule="auto"/>
        <w:rPr>
          <w:sz w:val="20"/>
          <w:szCs w:val="20"/>
          <w:color w:val="auto"/>
        </w:rPr>
      </w:pPr>
      <w:r>
        <w:rPr>
          <w:rFonts w:ascii="Arial" w:cs="Arial" w:eastAsia="Arial" w:hAnsi="Arial"/>
          <w:sz w:val="17"/>
          <w:szCs w:val="17"/>
          <w:color w:val="auto"/>
        </w:rPr>
        <w:t>Subject to preferences that may apply to any preferred stock outstanding, holders of common stock are entitled to receive dividends out of assets legally available at the time and in the amounts that the Board may determine from time to time.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Liquidation Rights</w:t>
      </w:r>
    </w:p>
    <w:p>
      <w:pPr>
        <w:spacing w:after="0" w:line="203" w:lineRule="exact"/>
        <w:rPr>
          <w:sz w:val="20"/>
          <w:szCs w:val="20"/>
          <w:color w:val="auto"/>
        </w:rPr>
      </w:pPr>
    </w:p>
    <w:p>
      <w:pPr>
        <w:jc w:val="both"/>
        <w:ind w:left="200" w:right="219"/>
        <w:spacing w:after="0" w:line="216" w:lineRule="auto"/>
        <w:rPr>
          <w:sz w:val="20"/>
          <w:szCs w:val="20"/>
          <w:color w:val="auto"/>
        </w:rPr>
      </w:pPr>
      <w:r>
        <w:rPr>
          <w:rFonts w:ascii="Arial" w:cs="Arial" w:eastAsia="Arial" w:hAnsi="Arial"/>
          <w:sz w:val="17"/>
          <w:szCs w:val="17"/>
          <w:color w:val="auto"/>
        </w:rPr>
        <w:t>In the event of a liquidation, dissolution or winding-up of Foot Locker, the holders of common stock are entitled to share equally and ratably in the assets of Foot Locker, if any, remaining after the payment of all debts and liabilities of Foot Locker and the liquidation preference of any outstanding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328930</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89" w:name="page90"/>
    <w:bookmarkEnd w:id="89"/>
    <w:p>
      <w:pPr>
        <w:ind w:left="200"/>
        <w:spacing w:after="0"/>
        <w:rPr>
          <w:sz w:val="20"/>
          <w:szCs w:val="20"/>
          <w:color w:val="auto"/>
        </w:rPr>
      </w:pPr>
      <w:r>
        <w:rPr>
          <w:rFonts w:ascii="Arial" w:cs="Arial" w:eastAsia="Arial" w:hAnsi="Arial"/>
          <w:sz w:val="17"/>
          <w:szCs w:val="17"/>
          <w:b w:val="1"/>
          <w:bCs w:val="1"/>
          <w:i w:val="1"/>
          <w:iCs w:val="1"/>
          <w:color w:val="auto"/>
        </w:rPr>
        <w:t>Other Rights and Preferences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common stock has no sinking fund, redemption provisions, or preemptive, conversion, or exchange rights.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Listing</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common stock is listed on The New York Stock Exchange under the trading symbol “FL.”</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Transfer Agent and Registrar</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transfer agent and registrar for our common stock is Computershare Shareholder Services.</w:t>
      </w:r>
    </w:p>
    <w:p>
      <w:pPr>
        <w:sectPr>
          <w:pgSz w:w="11900" w:h="16838" w:orient="portrait"/>
          <w:cols w:equalWidth="0" w:num="1">
            <w:col w:w="9019"/>
          </w:cols>
          <w:pgMar w:left="1440" w:top="100" w:right="1440" w:bottom="1440" w:gutter="0" w:footer="0" w:header="0"/>
        </w:sectPr>
      </w:pPr>
    </w:p>
    <w:p>
      <w:pPr>
        <w:spacing w:after="0" w:line="149"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ANTI-TAKEOVER EFFECTS OF CERTAIN PROVISIONS</w:t>
      </w:r>
    </w:p>
    <w:p>
      <w:pPr>
        <w:ind w:left="2240"/>
        <w:spacing w:after="0"/>
        <w:rPr>
          <w:sz w:val="20"/>
          <w:szCs w:val="20"/>
          <w:color w:val="auto"/>
        </w:rPr>
      </w:pPr>
      <w:r>
        <w:rPr>
          <w:rFonts w:ascii="Arial" w:cs="Arial" w:eastAsia="Arial" w:hAnsi="Arial"/>
          <w:sz w:val="16"/>
          <w:szCs w:val="16"/>
          <w:b w:val="1"/>
          <w:bCs w:val="1"/>
          <w:color w:val="auto"/>
        </w:rPr>
        <w:t>OUR CERTIFICATE OF INCORPORATION AND BYLAWS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w:t>
      </w:r>
    </w:p>
    <w:p>
      <w:pPr>
        <w:spacing w:after="0" w:line="344" w:lineRule="exact"/>
        <w:rPr>
          <w:sz w:val="20"/>
          <w:szCs w:val="20"/>
          <w:color w:val="auto"/>
        </w:rPr>
      </w:pPr>
    </w:p>
    <w:p>
      <w:pPr>
        <w:sectPr>
          <w:pgSz w:w="11900" w:h="16838" w:orient="portrait"/>
          <w:cols w:equalWidth="0" w:num="2">
            <w:col w:w="7760" w:space="720"/>
            <w:col w:w="539"/>
          </w:cols>
          <w:pgMar w:left="1440" w:top="100" w:right="1440" w:bottom="1440" w:gutter="0" w:footer="0" w:header="0"/>
          <w:type w:val="continuous"/>
        </w:sectPr>
      </w:pPr>
    </w:p>
    <w:p>
      <w:pPr>
        <w:ind w:left="200"/>
        <w:spacing w:after="0"/>
        <w:rPr>
          <w:sz w:val="20"/>
          <w:szCs w:val="20"/>
          <w:color w:val="auto"/>
        </w:rPr>
      </w:pPr>
      <w:r>
        <w:rPr>
          <w:rFonts w:ascii="Arial" w:cs="Arial" w:eastAsia="Arial" w:hAnsi="Arial"/>
          <w:sz w:val="17"/>
          <w:szCs w:val="17"/>
          <w:b w:val="1"/>
          <w:bCs w:val="1"/>
          <w:i w:val="1"/>
          <w:iCs w:val="1"/>
          <w:color w:val="auto"/>
        </w:rPr>
        <w:t>Certain Effects of Authorized but Unissued Stock</w:t>
      </w:r>
    </w:p>
    <w:p>
      <w:pPr>
        <w:sectPr>
          <w:pgSz w:w="11900" w:h="16838" w:orient="portrait"/>
          <w:cols w:equalWidth="0" w:num="1">
            <w:col w:w="9019"/>
          </w:cols>
          <w:pgMar w:left="1440" w:top="100" w:right="1440" w:bottom="1440" w:gutter="0" w:footer="0" w:header="0"/>
          <w:type w:val="continuous"/>
        </w:sectPr>
      </w:pPr>
    </w:p>
    <w:p>
      <w:pPr>
        <w:spacing w:after="0" w:line="203" w:lineRule="exact"/>
        <w:rPr>
          <w:sz w:val="20"/>
          <w:szCs w:val="20"/>
          <w:color w:val="auto"/>
        </w:rPr>
      </w:pPr>
    </w:p>
    <w:p>
      <w:pPr>
        <w:jc w:val="both"/>
        <w:ind w:left="200" w:right="219"/>
        <w:spacing w:after="0" w:line="207" w:lineRule="auto"/>
        <w:rPr>
          <w:sz w:val="20"/>
          <w:szCs w:val="20"/>
          <w:color w:val="auto"/>
        </w:rPr>
      </w:pPr>
      <w:r>
        <w:rPr>
          <w:rFonts w:ascii="Arial" w:cs="Arial" w:eastAsia="Arial" w:hAnsi="Arial"/>
          <w:sz w:val="17"/>
          <w:szCs w:val="17"/>
          <w:color w:val="auto"/>
        </w:rPr>
        <w:t>Our Board may create and issue series of preferred stock with rights, privileges or restrictions, having the effect of discriminating against an existing or prospective holder of such securities as a result of such security holder beneficially owning or commencing a tender offer for a substantial amount of common stock. One of the effects of authorized but unissued and unreserved shares of capital stock may be to render more difficult or discourage an attempt by a potential acquiror to obtain control of Foot Locker by means of a merger, tender offer, proxy contest or otherwise, and thereby protect the continuity of Foot Locker’s management.</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Advance Notice for Shareholder Proposals and Nominations</w:t>
      </w:r>
    </w:p>
    <w:p>
      <w:pPr>
        <w:spacing w:after="0" w:line="203" w:lineRule="exact"/>
        <w:rPr>
          <w:sz w:val="20"/>
          <w:szCs w:val="20"/>
          <w:color w:val="auto"/>
        </w:rPr>
      </w:pPr>
    </w:p>
    <w:p>
      <w:pPr>
        <w:jc w:val="both"/>
        <w:ind w:left="200" w:right="219"/>
        <w:spacing w:after="0" w:line="225" w:lineRule="auto"/>
        <w:rPr>
          <w:sz w:val="20"/>
          <w:szCs w:val="20"/>
          <w:color w:val="auto"/>
        </w:rPr>
      </w:pPr>
      <w:r>
        <w:rPr>
          <w:rFonts w:ascii="Arial" w:cs="Arial" w:eastAsia="Arial" w:hAnsi="Arial"/>
          <w:sz w:val="17"/>
          <w:szCs w:val="17"/>
          <w:color w:val="auto"/>
        </w:rPr>
        <w:t>Our Bylaws contain advance notice provisions with respect to shareholder nominations of candidates for election as directors and any other business that the shareholder intends to bring at a meeting of shareholders.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203" w:lineRule="exact"/>
        <w:rPr>
          <w:sz w:val="20"/>
          <w:szCs w:val="20"/>
          <w:color w:val="auto"/>
        </w:rPr>
      </w:pPr>
    </w:p>
    <w:p>
      <w:pPr>
        <w:jc w:val="both"/>
        <w:ind w:left="200" w:right="219"/>
        <w:spacing w:after="0" w:line="216" w:lineRule="auto"/>
        <w:rPr>
          <w:sz w:val="20"/>
          <w:szCs w:val="20"/>
          <w:color w:val="auto"/>
        </w:rPr>
      </w:pPr>
      <w:r>
        <w:rPr>
          <w:rFonts w:ascii="Arial" w:cs="Arial" w:eastAsia="Arial" w:hAnsi="Arial"/>
          <w:sz w:val="17"/>
          <w:szCs w:val="17"/>
          <w:color w:val="auto"/>
        </w:rPr>
        <w:t>Our Bylaws do not provide for cumulative voting in the election of directors. The absence of cumulative voting may make it more difficult for shareholders owning less than a majority of our common stock to elect any directors to our Board.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Power of Shareholders to Call Special Shareholders Meeting</w:t>
      </w:r>
    </w:p>
    <w:p>
      <w:pPr>
        <w:spacing w:after="0" w:line="203" w:lineRule="exact"/>
        <w:rPr>
          <w:sz w:val="20"/>
          <w:szCs w:val="20"/>
          <w:color w:val="auto"/>
        </w:rPr>
      </w:pPr>
    </w:p>
    <w:p>
      <w:pPr>
        <w:jc w:val="both"/>
        <w:ind w:left="200" w:right="219"/>
        <w:spacing w:after="0" w:line="216" w:lineRule="auto"/>
        <w:rPr>
          <w:sz w:val="20"/>
          <w:szCs w:val="20"/>
          <w:color w:val="auto"/>
        </w:rPr>
      </w:pPr>
      <w:r>
        <w:rPr>
          <w:rFonts w:ascii="Arial" w:cs="Arial" w:eastAsia="Arial" w:hAnsi="Arial"/>
          <w:sz w:val="17"/>
          <w:szCs w:val="17"/>
          <w:color w:val="auto"/>
        </w:rPr>
        <w:t>Our Bylaws provide that special meetings of shareholders may be called only by the Chairman of our Board, the Chief Executive Officer, a Vice Chairman of the Board, the President or our Board pursuant to a resolution adopted by a majority of the total number of authorized directors.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Anti-Greenmail Provision</w:t>
      </w:r>
    </w:p>
    <w:p>
      <w:pPr>
        <w:spacing w:after="0" w:line="203" w:lineRule="exact"/>
        <w:rPr>
          <w:sz w:val="20"/>
          <w:szCs w:val="20"/>
          <w:color w:val="auto"/>
        </w:rPr>
      </w:pPr>
    </w:p>
    <w:p>
      <w:pPr>
        <w:jc w:val="both"/>
        <w:ind w:left="200" w:right="219"/>
        <w:spacing w:after="0" w:line="206" w:lineRule="auto"/>
        <w:rPr>
          <w:sz w:val="20"/>
          <w:szCs w:val="20"/>
          <w:color w:val="auto"/>
        </w:rPr>
      </w:pPr>
      <w:r>
        <w:rPr>
          <w:rFonts w:ascii="Arial" w:cs="Arial" w:eastAsia="Arial" w:hAnsi="Arial"/>
          <w:sz w:val="17"/>
          <w:szCs w:val="17"/>
          <w:color w:val="auto"/>
        </w:rPr>
        <w:t>Our Certificate of Incorporation includes an “anti-greenmail” provision that prohibits us from repurchasing any shares of our capital stock at a price above the fair market value of such shares at the time of such repurchase from an Interested Shareholder (defined as any person, with certain exceptions, who is, or who has announced or publicly disclosed a plan or intention to become, a beneficial owner of five percent or more of our voting stock) or certain related parties who have not beneficially owned all of their shares for at least two years, unless such repurchase is approved by a majority vote of shareholders other than such Interested Shareholder and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569595</wp:posOffset>
            </wp:positionV>
            <wp:extent cx="545211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21</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 xml:space="preserve">FOOT LOCKER, INC. SUBSIDIARIES </w:t>
      </w:r>
      <w:r>
        <w:rPr>
          <w:rFonts w:ascii="Arial" w:cs="Arial" w:eastAsia="Arial" w:hAnsi="Arial"/>
          <w:sz w:val="7"/>
          <w:szCs w:val="7"/>
          <w:b w:val="1"/>
          <w:bCs w:val="1"/>
          <w:color w:val="auto"/>
        </w:rPr>
        <w:t>(1)</w:t>
      </w:r>
    </w:p>
    <w:p>
      <w:pPr>
        <w:spacing w:after="0" w:line="228" w:lineRule="exact"/>
        <w:rPr>
          <w:sz w:val="20"/>
          <w:szCs w:val="20"/>
          <w:color w:val="auto"/>
        </w:rPr>
      </w:pPr>
    </w:p>
    <w:p>
      <w:pPr>
        <w:ind w:left="520" w:right="980"/>
        <w:spacing w:after="0" w:line="243" w:lineRule="auto"/>
        <w:rPr>
          <w:sz w:val="20"/>
          <w:szCs w:val="20"/>
          <w:color w:val="auto"/>
        </w:rPr>
      </w:pPr>
      <w:r>
        <w:rPr>
          <w:rFonts w:ascii="Arial" w:cs="Arial" w:eastAsia="Arial" w:hAnsi="Arial"/>
          <w:sz w:val="17"/>
          <w:szCs w:val="17"/>
          <w:color w:val="auto"/>
        </w:rPr>
        <w:t>The following is a list of subsidiaries of Foot Locker, Inc. as of February 1, 2020, omitting some subsidiaries, which, considered in the aggregate, would not constitute a significant subsidiary.</w:t>
      </w:r>
    </w:p>
    <w:p>
      <w:pPr>
        <w:spacing w:after="0" w:line="389"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36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State or Other Jurisdiction of Incorporation</w:t>
            </w:r>
          </w:p>
        </w:tc>
      </w:tr>
      <w:tr>
        <w:trPr>
          <w:trHeight w:val="184"/>
        </w:trPr>
        <w:tc>
          <w:tcPr>
            <w:tcW w:w="4300" w:type="dxa"/>
            <w:vAlign w:val="bottom"/>
          </w:tcPr>
          <w:p>
            <w:pPr>
              <w:spacing w:after="0"/>
              <w:rPr>
                <w:sz w:val="20"/>
                <w:szCs w:val="20"/>
                <w:color w:val="auto"/>
              </w:rPr>
            </w:pPr>
            <w:r>
              <w:rPr>
                <w:rFonts w:ascii="Arial" w:cs="Arial" w:eastAsia="Arial" w:hAnsi="Arial"/>
                <w:sz w:val="16"/>
                <w:szCs w:val="16"/>
                <w:color w:val="auto"/>
              </w:rPr>
              <w:t>Eastbay, Inc.</w:t>
            </w:r>
          </w:p>
        </w:tc>
        <w:tc>
          <w:tcPr>
            <w:tcW w:w="3640" w:type="dxa"/>
            <w:vAlign w:val="bottom"/>
          </w:tcPr>
          <w:p>
            <w:pPr>
              <w:ind w:left="160"/>
              <w:spacing w:after="0"/>
              <w:rPr>
                <w:sz w:val="20"/>
                <w:szCs w:val="20"/>
                <w:color w:val="auto"/>
              </w:rPr>
            </w:pPr>
            <w:r>
              <w:rPr>
                <w:rFonts w:ascii="Arial" w:cs="Arial" w:eastAsia="Arial" w:hAnsi="Arial"/>
                <w:sz w:val="16"/>
                <w:szCs w:val="16"/>
                <w:color w:val="auto"/>
              </w:rPr>
              <w:t>Wisconsin</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FL Finance (Europe) Limited</w:t>
            </w:r>
          </w:p>
        </w:tc>
        <w:tc>
          <w:tcPr>
            <w:tcW w:w="3640" w:type="dxa"/>
            <w:vAlign w:val="bottom"/>
          </w:tcPr>
          <w:p>
            <w:pPr>
              <w:ind w:left="160"/>
              <w:spacing w:after="0"/>
              <w:rPr>
                <w:sz w:val="20"/>
                <w:szCs w:val="20"/>
                <w:color w:val="auto"/>
              </w:rPr>
            </w:pPr>
            <w:r>
              <w:rPr>
                <w:rFonts w:ascii="Arial" w:cs="Arial" w:eastAsia="Arial" w:hAnsi="Arial"/>
                <w:sz w:val="16"/>
                <w:szCs w:val="16"/>
                <w:color w:val="auto"/>
              </w:rPr>
              <w:t>Ireland</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FL Finance Europe (US) Limited</w:t>
            </w:r>
          </w:p>
        </w:tc>
        <w:tc>
          <w:tcPr>
            <w:tcW w:w="3640" w:type="dxa"/>
            <w:vAlign w:val="bottom"/>
          </w:tcPr>
          <w:p>
            <w:pPr>
              <w:ind w:left="160"/>
              <w:spacing w:after="0"/>
              <w:rPr>
                <w:sz w:val="20"/>
                <w:szCs w:val="20"/>
                <w:color w:val="auto"/>
              </w:rPr>
            </w:pPr>
            <w:r>
              <w:rPr>
                <w:rFonts w:ascii="Arial" w:cs="Arial" w:eastAsia="Arial" w:hAnsi="Arial"/>
                <w:sz w:val="16"/>
                <w:szCs w:val="16"/>
                <w:color w:val="auto"/>
              </w:rPr>
              <w:t>Ireland</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FLE Holdings Coöperatief U.A.</w:t>
            </w:r>
          </w:p>
        </w:tc>
        <w:tc>
          <w:tcPr>
            <w:tcW w:w="3640" w:type="dxa"/>
            <w:vAlign w:val="bottom"/>
          </w:tcPr>
          <w:p>
            <w:pPr>
              <w:ind w:left="160"/>
              <w:spacing w:after="0"/>
              <w:rPr>
                <w:sz w:val="20"/>
                <w:szCs w:val="20"/>
                <w:color w:val="auto"/>
              </w:rPr>
            </w:pPr>
            <w:r>
              <w:rPr>
                <w:rFonts w:ascii="Arial" w:cs="Arial" w:eastAsia="Arial" w:hAnsi="Arial"/>
                <w:sz w:val="16"/>
                <w:szCs w:val="16"/>
                <w:color w:val="auto"/>
              </w:rPr>
              <w:t>Netherlands</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FLE Logistics B.V.</w:t>
            </w:r>
          </w:p>
        </w:tc>
        <w:tc>
          <w:tcPr>
            <w:tcW w:w="3640" w:type="dxa"/>
            <w:vAlign w:val="bottom"/>
          </w:tcPr>
          <w:p>
            <w:pPr>
              <w:ind w:left="160"/>
              <w:spacing w:after="0"/>
              <w:rPr>
                <w:sz w:val="20"/>
                <w:szCs w:val="20"/>
                <w:color w:val="auto"/>
              </w:rPr>
            </w:pPr>
            <w:r>
              <w:rPr>
                <w:rFonts w:ascii="Arial" w:cs="Arial" w:eastAsia="Arial" w:hAnsi="Arial"/>
                <w:sz w:val="16"/>
                <w:szCs w:val="16"/>
                <w:color w:val="auto"/>
              </w:rPr>
              <w:t>Netherlands</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FLE Partners LLC</w:t>
            </w:r>
          </w:p>
        </w:tc>
        <w:tc>
          <w:tcPr>
            <w:tcW w:w="3640" w:type="dxa"/>
            <w:vAlign w:val="bottom"/>
          </w:tcPr>
          <w:p>
            <w:pPr>
              <w:ind w:left="160"/>
              <w:spacing w:after="0"/>
              <w:rPr>
                <w:sz w:val="20"/>
                <w:szCs w:val="20"/>
                <w:color w:val="auto"/>
              </w:rPr>
            </w:pPr>
            <w:r>
              <w:rPr>
                <w:rFonts w:ascii="Arial" w:cs="Arial" w:eastAsia="Arial" w:hAnsi="Arial"/>
                <w:sz w:val="16"/>
                <w:szCs w:val="16"/>
                <w:color w:val="auto"/>
              </w:rPr>
              <w:t>Delaware</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Artigos Desportivos e de Tempos Livres, Lda.</w:t>
            </w:r>
          </w:p>
        </w:tc>
        <w:tc>
          <w:tcPr>
            <w:tcW w:w="3640" w:type="dxa"/>
            <w:vAlign w:val="bottom"/>
          </w:tcPr>
          <w:p>
            <w:pPr>
              <w:ind w:left="160"/>
              <w:spacing w:after="0"/>
              <w:rPr>
                <w:sz w:val="20"/>
                <w:szCs w:val="20"/>
                <w:color w:val="auto"/>
              </w:rPr>
            </w:pPr>
            <w:r>
              <w:rPr>
                <w:rFonts w:ascii="Arial" w:cs="Arial" w:eastAsia="Arial" w:hAnsi="Arial"/>
                <w:sz w:val="16"/>
                <w:szCs w:val="16"/>
                <w:color w:val="auto"/>
              </w:rPr>
              <w:t>Portugal</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Asia Pte. Ltd.</w:t>
            </w:r>
          </w:p>
        </w:tc>
        <w:tc>
          <w:tcPr>
            <w:tcW w:w="3640" w:type="dxa"/>
            <w:vAlign w:val="bottom"/>
          </w:tcPr>
          <w:p>
            <w:pPr>
              <w:ind w:left="160"/>
              <w:spacing w:after="0"/>
              <w:rPr>
                <w:sz w:val="20"/>
                <w:szCs w:val="20"/>
                <w:color w:val="auto"/>
              </w:rPr>
            </w:pPr>
            <w:r>
              <w:rPr>
                <w:rFonts w:ascii="Arial" w:cs="Arial" w:eastAsia="Arial" w:hAnsi="Arial"/>
                <w:sz w:val="16"/>
                <w:szCs w:val="16"/>
                <w:color w:val="auto"/>
              </w:rPr>
              <w:t>Singapore</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Australia, Inc.</w:t>
            </w:r>
          </w:p>
        </w:tc>
        <w:tc>
          <w:tcPr>
            <w:tcW w:w="3640" w:type="dxa"/>
            <w:vAlign w:val="bottom"/>
          </w:tcPr>
          <w:p>
            <w:pPr>
              <w:ind w:left="160"/>
              <w:spacing w:after="0"/>
              <w:rPr>
                <w:sz w:val="20"/>
                <w:szCs w:val="20"/>
                <w:color w:val="auto"/>
              </w:rPr>
            </w:pPr>
            <w:r>
              <w:rPr>
                <w:rFonts w:ascii="Arial" w:cs="Arial" w:eastAsia="Arial" w:hAnsi="Arial"/>
                <w:sz w:val="16"/>
                <w:szCs w:val="16"/>
                <w:color w:val="auto"/>
              </w:rPr>
              <w:t>Delaware</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Austria GmbH</w:t>
            </w:r>
          </w:p>
        </w:tc>
        <w:tc>
          <w:tcPr>
            <w:tcW w:w="3640" w:type="dxa"/>
            <w:vAlign w:val="bottom"/>
          </w:tcPr>
          <w:p>
            <w:pPr>
              <w:ind w:left="160"/>
              <w:spacing w:after="0"/>
              <w:rPr>
                <w:sz w:val="20"/>
                <w:szCs w:val="20"/>
                <w:color w:val="auto"/>
              </w:rPr>
            </w:pPr>
            <w:r>
              <w:rPr>
                <w:rFonts w:ascii="Arial" w:cs="Arial" w:eastAsia="Arial" w:hAnsi="Arial"/>
                <w:sz w:val="16"/>
                <w:szCs w:val="16"/>
                <w:color w:val="auto"/>
              </w:rPr>
              <w:t>Austria</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Belgium BVBA</w:t>
            </w:r>
          </w:p>
        </w:tc>
        <w:tc>
          <w:tcPr>
            <w:tcW w:w="3640" w:type="dxa"/>
            <w:vAlign w:val="bottom"/>
          </w:tcPr>
          <w:p>
            <w:pPr>
              <w:ind w:left="160"/>
              <w:spacing w:after="0"/>
              <w:rPr>
                <w:sz w:val="20"/>
                <w:szCs w:val="20"/>
                <w:color w:val="auto"/>
              </w:rPr>
            </w:pPr>
            <w:r>
              <w:rPr>
                <w:rFonts w:ascii="Arial" w:cs="Arial" w:eastAsia="Arial" w:hAnsi="Arial"/>
                <w:sz w:val="16"/>
                <w:szCs w:val="16"/>
                <w:color w:val="auto"/>
              </w:rPr>
              <w:t>Belgium</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Canada Co.</w:t>
            </w:r>
          </w:p>
        </w:tc>
        <w:tc>
          <w:tcPr>
            <w:tcW w:w="3640" w:type="dxa"/>
            <w:vAlign w:val="bottom"/>
          </w:tcPr>
          <w:p>
            <w:pPr>
              <w:ind w:left="160"/>
              <w:spacing w:after="0"/>
              <w:rPr>
                <w:sz w:val="20"/>
                <w:szCs w:val="20"/>
                <w:color w:val="auto"/>
              </w:rPr>
            </w:pPr>
            <w:r>
              <w:rPr>
                <w:rFonts w:ascii="Arial" w:cs="Arial" w:eastAsia="Arial" w:hAnsi="Arial"/>
                <w:sz w:val="16"/>
                <w:szCs w:val="16"/>
                <w:color w:val="auto"/>
              </w:rPr>
              <w:t>Canada</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Corporate Services, Inc.</w:t>
            </w:r>
          </w:p>
        </w:tc>
        <w:tc>
          <w:tcPr>
            <w:tcW w:w="3640" w:type="dxa"/>
            <w:vAlign w:val="bottom"/>
          </w:tcPr>
          <w:p>
            <w:pPr>
              <w:ind w:left="160"/>
              <w:spacing w:after="0"/>
              <w:rPr>
                <w:sz w:val="20"/>
                <w:szCs w:val="20"/>
                <w:color w:val="auto"/>
              </w:rPr>
            </w:pPr>
            <w:r>
              <w:rPr>
                <w:rFonts w:ascii="Arial" w:cs="Arial" w:eastAsia="Arial" w:hAnsi="Arial"/>
                <w:sz w:val="16"/>
                <w:szCs w:val="16"/>
                <w:color w:val="auto"/>
              </w:rPr>
              <w:t>Delaware</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Czech Republic s.r.o.</w:t>
            </w:r>
          </w:p>
        </w:tc>
        <w:tc>
          <w:tcPr>
            <w:tcW w:w="3640" w:type="dxa"/>
            <w:vAlign w:val="bottom"/>
          </w:tcPr>
          <w:p>
            <w:pPr>
              <w:ind w:left="160"/>
              <w:spacing w:after="0"/>
              <w:rPr>
                <w:sz w:val="20"/>
                <w:szCs w:val="20"/>
                <w:color w:val="auto"/>
              </w:rPr>
            </w:pPr>
            <w:r>
              <w:rPr>
                <w:rFonts w:ascii="Arial" w:cs="Arial" w:eastAsia="Arial" w:hAnsi="Arial"/>
                <w:sz w:val="16"/>
                <w:szCs w:val="16"/>
                <w:color w:val="auto"/>
              </w:rPr>
              <w:t>Czech Republic</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Denmark B.V.</w:t>
            </w:r>
          </w:p>
        </w:tc>
        <w:tc>
          <w:tcPr>
            <w:tcW w:w="3640" w:type="dxa"/>
            <w:vAlign w:val="bottom"/>
          </w:tcPr>
          <w:p>
            <w:pPr>
              <w:ind w:left="160"/>
              <w:spacing w:after="0"/>
              <w:rPr>
                <w:sz w:val="20"/>
                <w:szCs w:val="20"/>
                <w:color w:val="auto"/>
              </w:rPr>
            </w:pPr>
            <w:r>
              <w:rPr>
                <w:rFonts w:ascii="Arial" w:cs="Arial" w:eastAsia="Arial" w:hAnsi="Arial"/>
                <w:sz w:val="16"/>
                <w:szCs w:val="16"/>
                <w:color w:val="auto"/>
              </w:rPr>
              <w:t>Netherlands</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ETVE, Inc.</w:t>
            </w:r>
          </w:p>
        </w:tc>
        <w:tc>
          <w:tcPr>
            <w:tcW w:w="3640" w:type="dxa"/>
            <w:vAlign w:val="bottom"/>
          </w:tcPr>
          <w:p>
            <w:pPr>
              <w:ind w:left="160"/>
              <w:spacing w:after="0"/>
              <w:rPr>
                <w:sz w:val="20"/>
                <w:szCs w:val="20"/>
                <w:color w:val="auto"/>
              </w:rPr>
            </w:pPr>
            <w:r>
              <w:rPr>
                <w:rFonts w:ascii="Arial" w:cs="Arial" w:eastAsia="Arial" w:hAnsi="Arial"/>
                <w:sz w:val="16"/>
                <w:szCs w:val="16"/>
                <w:color w:val="auto"/>
              </w:rPr>
              <w:t>Delaware</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Europe B.V.</w:t>
            </w:r>
          </w:p>
        </w:tc>
        <w:tc>
          <w:tcPr>
            <w:tcW w:w="3640" w:type="dxa"/>
            <w:vAlign w:val="bottom"/>
          </w:tcPr>
          <w:p>
            <w:pPr>
              <w:ind w:left="160"/>
              <w:spacing w:after="0"/>
              <w:rPr>
                <w:sz w:val="20"/>
                <w:szCs w:val="20"/>
                <w:color w:val="auto"/>
              </w:rPr>
            </w:pPr>
            <w:r>
              <w:rPr>
                <w:rFonts w:ascii="Arial" w:cs="Arial" w:eastAsia="Arial" w:hAnsi="Arial"/>
                <w:sz w:val="16"/>
                <w:szCs w:val="16"/>
                <w:color w:val="auto"/>
              </w:rPr>
              <w:t>Netherlands</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Europe.com B.V.</w:t>
            </w:r>
          </w:p>
        </w:tc>
        <w:tc>
          <w:tcPr>
            <w:tcW w:w="3640" w:type="dxa"/>
            <w:vAlign w:val="bottom"/>
          </w:tcPr>
          <w:p>
            <w:pPr>
              <w:ind w:left="160"/>
              <w:spacing w:after="0"/>
              <w:rPr>
                <w:sz w:val="20"/>
                <w:szCs w:val="20"/>
                <w:color w:val="auto"/>
              </w:rPr>
            </w:pPr>
            <w:r>
              <w:rPr>
                <w:rFonts w:ascii="Arial" w:cs="Arial" w:eastAsia="Arial" w:hAnsi="Arial"/>
                <w:sz w:val="16"/>
                <w:szCs w:val="16"/>
                <w:color w:val="auto"/>
              </w:rPr>
              <w:t>Netherlands</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Europe.com GmbH</w:t>
            </w:r>
          </w:p>
        </w:tc>
        <w:tc>
          <w:tcPr>
            <w:tcW w:w="3640" w:type="dxa"/>
            <w:vAlign w:val="bottom"/>
          </w:tcPr>
          <w:p>
            <w:pPr>
              <w:ind w:left="160"/>
              <w:spacing w:after="0"/>
              <w:rPr>
                <w:sz w:val="20"/>
                <w:szCs w:val="20"/>
                <w:color w:val="auto"/>
              </w:rPr>
            </w:pPr>
            <w:r>
              <w:rPr>
                <w:rFonts w:ascii="Arial" w:cs="Arial" w:eastAsia="Arial" w:hAnsi="Arial"/>
                <w:sz w:val="16"/>
                <w:szCs w:val="16"/>
                <w:color w:val="auto"/>
              </w:rPr>
              <w:t>Germany</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France S.A.S.</w:t>
            </w:r>
          </w:p>
        </w:tc>
        <w:tc>
          <w:tcPr>
            <w:tcW w:w="3640" w:type="dxa"/>
            <w:vAlign w:val="bottom"/>
          </w:tcPr>
          <w:p>
            <w:pPr>
              <w:ind w:left="160"/>
              <w:spacing w:after="0"/>
              <w:rPr>
                <w:sz w:val="20"/>
                <w:szCs w:val="20"/>
                <w:color w:val="auto"/>
              </w:rPr>
            </w:pPr>
            <w:r>
              <w:rPr>
                <w:rFonts w:ascii="Arial" w:cs="Arial" w:eastAsia="Arial" w:hAnsi="Arial"/>
                <w:sz w:val="16"/>
                <w:szCs w:val="16"/>
                <w:color w:val="auto"/>
              </w:rPr>
              <w:t>France</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Germany GmbH &amp; Co. KG</w:t>
            </w:r>
          </w:p>
        </w:tc>
        <w:tc>
          <w:tcPr>
            <w:tcW w:w="3640" w:type="dxa"/>
            <w:vAlign w:val="bottom"/>
          </w:tcPr>
          <w:p>
            <w:pPr>
              <w:ind w:left="160"/>
              <w:spacing w:after="0"/>
              <w:rPr>
                <w:sz w:val="20"/>
                <w:szCs w:val="20"/>
                <w:color w:val="auto"/>
              </w:rPr>
            </w:pPr>
            <w:r>
              <w:rPr>
                <w:rFonts w:ascii="Arial" w:cs="Arial" w:eastAsia="Arial" w:hAnsi="Arial"/>
                <w:sz w:val="16"/>
                <w:szCs w:val="16"/>
                <w:color w:val="auto"/>
              </w:rPr>
              <w:t>Germany</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Greece Athletic Goods Ltd.</w:t>
            </w:r>
          </w:p>
        </w:tc>
        <w:tc>
          <w:tcPr>
            <w:tcW w:w="3640" w:type="dxa"/>
            <w:vAlign w:val="bottom"/>
          </w:tcPr>
          <w:p>
            <w:pPr>
              <w:ind w:left="160"/>
              <w:spacing w:after="0"/>
              <w:rPr>
                <w:sz w:val="20"/>
                <w:szCs w:val="20"/>
                <w:color w:val="auto"/>
              </w:rPr>
            </w:pPr>
            <w:r>
              <w:rPr>
                <w:rFonts w:ascii="Arial" w:cs="Arial" w:eastAsia="Arial" w:hAnsi="Arial"/>
                <w:sz w:val="16"/>
                <w:szCs w:val="16"/>
                <w:color w:val="auto"/>
              </w:rPr>
              <w:t>Greece</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Hong Kong Ltd.</w:t>
            </w:r>
          </w:p>
        </w:tc>
        <w:tc>
          <w:tcPr>
            <w:tcW w:w="3640" w:type="dxa"/>
            <w:vAlign w:val="bottom"/>
          </w:tcPr>
          <w:p>
            <w:pPr>
              <w:ind w:left="160"/>
              <w:spacing w:after="0"/>
              <w:rPr>
                <w:sz w:val="20"/>
                <w:szCs w:val="20"/>
                <w:color w:val="auto"/>
              </w:rPr>
            </w:pPr>
            <w:r>
              <w:rPr>
                <w:rFonts w:ascii="Arial" w:cs="Arial" w:eastAsia="Arial" w:hAnsi="Arial"/>
                <w:sz w:val="16"/>
                <w:szCs w:val="16"/>
                <w:color w:val="auto"/>
              </w:rPr>
              <w:t>Hong Kong</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Hungary Kft.</w:t>
            </w:r>
          </w:p>
        </w:tc>
        <w:tc>
          <w:tcPr>
            <w:tcW w:w="3640" w:type="dxa"/>
            <w:vAlign w:val="bottom"/>
          </w:tcPr>
          <w:p>
            <w:pPr>
              <w:ind w:left="160"/>
              <w:spacing w:after="0"/>
              <w:rPr>
                <w:sz w:val="20"/>
                <w:szCs w:val="20"/>
                <w:color w:val="auto"/>
              </w:rPr>
            </w:pPr>
            <w:r>
              <w:rPr>
                <w:rFonts w:ascii="Arial" w:cs="Arial" w:eastAsia="Arial" w:hAnsi="Arial"/>
                <w:sz w:val="16"/>
                <w:szCs w:val="16"/>
                <w:color w:val="auto"/>
              </w:rPr>
              <w:t>Hungary</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Istanbul Sport Giyim Sanayi ve Ticaret LS</w:t>
            </w:r>
          </w:p>
        </w:tc>
        <w:tc>
          <w:tcPr>
            <w:tcW w:w="3640" w:type="dxa"/>
            <w:vAlign w:val="bottom"/>
          </w:tcPr>
          <w:p>
            <w:pPr>
              <w:ind w:left="160"/>
              <w:spacing w:after="0"/>
              <w:rPr>
                <w:sz w:val="20"/>
                <w:szCs w:val="20"/>
                <w:color w:val="auto"/>
              </w:rPr>
            </w:pPr>
            <w:r>
              <w:rPr>
                <w:rFonts w:ascii="Arial" w:cs="Arial" w:eastAsia="Arial" w:hAnsi="Arial"/>
                <w:sz w:val="16"/>
                <w:szCs w:val="16"/>
                <w:color w:val="auto"/>
              </w:rPr>
              <w:t>Turkey</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Italy S.r.l.</w:t>
            </w:r>
          </w:p>
        </w:tc>
        <w:tc>
          <w:tcPr>
            <w:tcW w:w="3640" w:type="dxa"/>
            <w:vAlign w:val="bottom"/>
          </w:tcPr>
          <w:p>
            <w:pPr>
              <w:ind w:left="160"/>
              <w:spacing w:after="0"/>
              <w:rPr>
                <w:sz w:val="20"/>
                <w:szCs w:val="20"/>
                <w:color w:val="auto"/>
              </w:rPr>
            </w:pPr>
            <w:r>
              <w:rPr>
                <w:rFonts w:ascii="Arial" w:cs="Arial" w:eastAsia="Arial" w:hAnsi="Arial"/>
                <w:sz w:val="16"/>
                <w:szCs w:val="16"/>
                <w:color w:val="auto"/>
              </w:rPr>
              <w:t>Italy</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Malaysia Sdn. Bhd.</w:t>
            </w:r>
          </w:p>
        </w:tc>
        <w:tc>
          <w:tcPr>
            <w:tcW w:w="3640" w:type="dxa"/>
            <w:vAlign w:val="bottom"/>
          </w:tcPr>
          <w:p>
            <w:pPr>
              <w:ind w:left="160"/>
              <w:spacing w:after="0"/>
              <w:rPr>
                <w:sz w:val="20"/>
                <w:szCs w:val="20"/>
                <w:color w:val="auto"/>
              </w:rPr>
            </w:pPr>
            <w:r>
              <w:rPr>
                <w:rFonts w:ascii="Arial" w:cs="Arial" w:eastAsia="Arial" w:hAnsi="Arial"/>
                <w:sz w:val="16"/>
                <w:szCs w:val="16"/>
                <w:color w:val="auto"/>
              </w:rPr>
              <w:t>Malaysia</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Netherlands B.V.</w:t>
            </w:r>
          </w:p>
        </w:tc>
        <w:tc>
          <w:tcPr>
            <w:tcW w:w="3640" w:type="dxa"/>
            <w:vAlign w:val="bottom"/>
          </w:tcPr>
          <w:p>
            <w:pPr>
              <w:ind w:left="160"/>
              <w:spacing w:after="0"/>
              <w:rPr>
                <w:sz w:val="20"/>
                <w:szCs w:val="20"/>
                <w:color w:val="auto"/>
              </w:rPr>
            </w:pPr>
            <w:r>
              <w:rPr>
                <w:rFonts w:ascii="Arial" w:cs="Arial" w:eastAsia="Arial" w:hAnsi="Arial"/>
                <w:sz w:val="16"/>
                <w:szCs w:val="16"/>
                <w:color w:val="auto"/>
              </w:rPr>
              <w:t>Netherlands</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New Zealand, Inc.</w:t>
            </w:r>
          </w:p>
        </w:tc>
        <w:tc>
          <w:tcPr>
            <w:tcW w:w="3640" w:type="dxa"/>
            <w:vAlign w:val="bottom"/>
          </w:tcPr>
          <w:p>
            <w:pPr>
              <w:ind w:left="160"/>
              <w:spacing w:after="0"/>
              <w:rPr>
                <w:sz w:val="20"/>
                <w:szCs w:val="20"/>
                <w:color w:val="auto"/>
              </w:rPr>
            </w:pPr>
            <w:r>
              <w:rPr>
                <w:rFonts w:ascii="Arial" w:cs="Arial" w:eastAsia="Arial" w:hAnsi="Arial"/>
                <w:sz w:val="16"/>
                <w:szCs w:val="16"/>
                <w:color w:val="auto"/>
              </w:rPr>
              <w:t>Delaware</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Norway B.V.</w:t>
            </w:r>
          </w:p>
        </w:tc>
        <w:tc>
          <w:tcPr>
            <w:tcW w:w="3640" w:type="dxa"/>
            <w:vAlign w:val="bottom"/>
          </w:tcPr>
          <w:p>
            <w:pPr>
              <w:ind w:left="160"/>
              <w:spacing w:after="0"/>
              <w:rPr>
                <w:sz w:val="20"/>
                <w:szCs w:val="20"/>
                <w:color w:val="auto"/>
              </w:rPr>
            </w:pPr>
            <w:r>
              <w:rPr>
                <w:rFonts w:ascii="Arial" w:cs="Arial" w:eastAsia="Arial" w:hAnsi="Arial"/>
                <w:sz w:val="16"/>
                <w:szCs w:val="16"/>
                <w:color w:val="auto"/>
              </w:rPr>
              <w:t>Netherlands</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Poland Sp. z o.o.</w:t>
            </w:r>
          </w:p>
        </w:tc>
        <w:tc>
          <w:tcPr>
            <w:tcW w:w="3640" w:type="dxa"/>
            <w:vAlign w:val="bottom"/>
          </w:tcPr>
          <w:p>
            <w:pPr>
              <w:ind w:left="160"/>
              <w:spacing w:after="0"/>
              <w:rPr>
                <w:sz w:val="20"/>
                <w:szCs w:val="20"/>
                <w:color w:val="auto"/>
              </w:rPr>
            </w:pPr>
            <w:r>
              <w:rPr>
                <w:rFonts w:ascii="Arial" w:cs="Arial" w:eastAsia="Arial" w:hAnsi="Arial"/>
                <w:sz w:val="16"/>
                <w:szCs w:val="16"/>
                <w:color w:val="auto"/>
              </w:rPr>
              <w:t>Poland</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Retail Ireland Limited</w:t>
            </w:r>
          </w:p>
        </w:tc>
        <w:tc>
          <w:tcPr>
            <w:tcW w:w="3640" w:type="dxa"/>
            <w:vAlign w:val="bottom"/>
          </w:tcPr>
          <w:p>
            <w:pPr>
              <w:ind w:left="160"/>
              <w:spacing w:after="0"/>
              <w:rPr>
                <w:sz w:val="20"/>
                <w:szCs w:val="20"/>
                <w:color w:val="auto"/>
              </w:rPr>
            </w:pPr>
            <w:r>
              <w:rPr>
                <w:rFonts w:ascii="Arial" w:cs="Arial" w:eastAsia="Arial" w:hAnsi="Arial"/>
                <w:sz w:val="16"/>
                <w:szCs w:val="16"/>
                <w:color w:val="auto"/>
              </w:rPr>
              <w:t>Ireland</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Retail, Inc.</w:t>
            </w:r>
          </w:p>
        </w:tc>
        <w:tc>
          <w:tcPr>
            <w:tcW w:w="3640" w:type="dxa"/>
            <w:vAlign w:val="bottom"/>
          </w:tcPr>
          <w:p>
            <w:pPr>
              <w:ind w:left="160"/>
              <w:spacing w:after="0"/>
              <w:rPr>
                <w:sz w:val="20"/>
                <w:szCs w:val="20"/>
                <w:color w:val="auto"/>
              </w:rPr>
            </w:pPr>
            <w:r>
              <w:rPr>
                <w:rFonts w:ascii="Arial" w:cs="Arial" w:eastAsia="Arial" w:hAnsi="Arial"/>
                <w:sz w:val="16"/>
                <w:szCs w:val="16"/>
                <w:color w:val="auto"/>
              </w:rPr>
              <w:t>New York</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Scandinavia B.V.</w:t>
            </w:r>
          </w:p>
        </w:tc>
        <w:tc>
          <w:tcPr>
            <w:tcW w:w="3640" w:type="dxa"/>
            <w:vAlign w:val="bottom"/>
          </w:tcPr>
          <w:p>
            <w:pPr>
              <w:ind w:left="160"/>
              <w:spacing w:after="0"/>
              <w:rPr>
                <w:sz w:val="20"/>
                <w:szCs w:val="20"/>
                <w:color w:val="auto"/>
              </w:rPr>
            </w:pPr>
            <w:r>
              <w:rPr>
                <w:rFonts w:ascii="Arial" w:cs="Arial" w:eastAsia="Arial" w:hAnsi="Arial"/>
                <w:sz w:val="16"/>
                <w:szCs w:val="16"/>
                <w:color w:val="auto"/>
              </w:rPr>
              <w:t>Netherlands</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Singapore Pte. Ltd.</w:t>
            </w:r>
          </w:p>
        </w:tc>
        <w:tc>
          <w:tcPr>
            <w:tcW w:w="3640" w:type="dxa"/>
            <w:vAlign w:val="bottom"/>
          </w:tcPr>
          <w:p>
            <w:pPr>
              <w:ind w:left="160"/>
              <w:spacing w:after="0"/>
              <w:rPr>
                <w:sz w:val="20"/>
                <w:szCs w:val="20"/>
                <w:color w:val="auto"/>
              </w:rPr>
            </w:pPr>
            <w:r>
              <w:rPr>
                <w:rFonts w:ascii="Arial" w:cs="Arial" w:eastAsia="Arial" w:hAnsi="Arial"/>
                <w:sz w:val="16"/>
                <w:szCs w:val="16"/>
                <w:color w:val="auto"/>
              </w:rPr>
              <w:t>Singapore</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Sourcing, Inc.</w:t>
            </w:r>
          </w:p>
        </w:tc>
        <w:tc>
          <w:tcPr>
            <w:tcW w:w="3640" w:type="dxa"/>
            <w:vAlign w:val="bottom"/>
          </w:tcPr>
          <w:p>
            <w:pPr>
              <w:ind w:left="160"/>
              <w:spacing w:after="0"/>
              <w:rPr>
                <w:sz w:val="20"/>
                <w:szCs w:val="20"/>
                <w:color w:val="auto"/>
              </w:rPr>
            </w:pPr>
            <w:r>
              <w:rPr>
                <w:rFonts w:ascii="Arial" w:cs="Arial" w:eastAsia="Arial" w:hAnsi="Arial"/>
                <w:sz w:val="16"/>
                <w:szCs w:val="16"/>
                <w:color w:val="auto"/>
              </w:rPr>
              <w:t>Delaware</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Spain C.V.</w:t>
            </w:r>
          </w:p>
        </w:tc>
        <w:tc>
          <w:tcPr>
            <w:tcW w:w="3640" w:type="dxa"/>
            <w:vAlign w:val="bottom"/>
          </w:tcPr>
          <w:p>
            <w:pPr>
              <w:ind w:left="160"/>
              <w:spacing w:after="0"/>
              <w:rPr>
                <w:sz w:val="20"/>
                <w:szCs w:val="20"/>
                <w:color w:val="auto"/>
              </w:rPr>
            </w:pPr>
            <w:r>
              <w:rPr>
                <w:rFonts w:ascii="Arial" w:cs="Arial" w:eastAsia="Arial" w:hAnsi="Arial"/>
                <w:sz w:val="16"/>
                <w:szCs w:val="16"/>
                <w:color w:val="auto"/>
              </w:rPr>
              <w:t>Netherlands</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Spain S.L.</w:t>
            </w:r>
          </w:p>
        </w:tc>
        <w:tc>
          <w:tcPr>
            <w:tcW w:w="3640" w:type="dxa"/>
            <w:vAlign w:val="bottom"/>
          </w:tcPr>
          <w:p>
            <w:pPr>
              <w:ind w:left="160"/>
              <w:spacing w:after="0"/>
              <w:rPr>
                <w:sz w:val="20"/>
                <w:szCs w:val="20"/>
                <w:color w:val="auto"/>
              </w:rPr>
            </w:pPr>
            <w:r>
              <w:rPr>
                <w:rFonts w:ascii="Arial" w:cs="Arial" w:eastAsia="Arial" w:hAnsi="Arial"/>
                <w:sz w:val="16"/>
                <w:szCs w:val="16"/>
                <w:color w:val="auto"/>
              </w:rPr>
              <w:t>Spain</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Specialty, Inc.</w:t>
            </w:r>
          </w:p>
        </w:tc>
        <w:tc>
          <w:tcPr>
            <w:tcW w:w="3640" w:type="dxa"/>
            <w:vAlign w:val="bottom"/>
          </w:tcPr>
          <w:p>
            <w:pPr>
              <w:ind w:left="160"/>
              <w:spacing w:after="0"/>
              <w:rPr>
                <w:sz w:val="20"/>
                <w:szCs w:val="20"/>
                <w:color w:val="auto"/>
              </w:rPr>
            </w:pPr>
            <w:r>
              <w:rPr>
                <w:rFonts w:ascii="Arial" w:cs="Arial" w:eastAsia="Arial" w:hAnsi="Arial"/>
                <w:sz w:val="16"/>
                <w:szCs w:val="16"/>
                <w:color w:val="auto"/>
              </w:rPr>
              <w:t>New York</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Stores, Inc.</w:t>
            </w:r>
          </w:p>
        </w:tc>
        <w:tc>
          <w:tcPr>
            <w:tcW w:w="3640" w:type="dxa"/>
            <w:vAlign w:val="bottom"/>
          </w:tcPr>
          <w:p>
            <w:pPr>
              <w:ind w:left="160"/>
              <w:spacing w:after="0"/>
              <w:rPr>
                <w:sz w:val="20"/>
                <w:szCs w:val="20"/>
                <w:color w:val="auto"/>
              </w:rPr>
            </w:pPr>
            <w:r>
              <w:rPr>
                <w:rFonts w:ascii="Arial" w:cs="Arial" w:eastAsia="Arial" w:hAnsi="Arial"/>
                <w:sz w:val="16"/>
                <w:szCs w:val="16"/>
                <w:color w:val="auto"/>
              </w:rPr>
              <w:t>Delaware</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 Locker Switzerland LLC</w:t>
            </w:r>
          </w:p>
        </w:tc>
        <w:tc>
          <w:tcPr>
            <w:tcW w:w="3640" w:type="dxa"/>
            <w:vAlign w:val="bottom"/>
          </w:tcPr>
          <w:p>
            <w:pPr>
              <w:ind w:left="160"/>
              <w:spacing w:after="0"/>
              <w:rPr>
                <w:sz w:val="20"/>
                <w:szCs w:val="20"/>
                <w:color w:val="auto"/>
              </w:rPr>
            </w:pPr>
            <w:r>
              <w:rPr>
                <w:rFonts w:ascii="Arial" w:cs="Arial" w:eastAsia="Arial" w:hAnsi="Arial"/>
                <w:sz w:val="16"/>
                <w:szCs w:val="16"/>
                <w:color w:val="auto"/>
              </w:rPr>
              <w:t>Switzerland</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Footlocker.com, Inc.</w:t>
            </w:r>
          </w:p>
        </w:tc>
        <w:tc>
          <w:tcPr>
            <w:tcW w:w="3640" w:type="dxa"/>
            <w:vAlign w:val="bottom"/>
          </w:tcPr>
          <w:p>
            <w:pPr>
              <w:ind w:left="160"/>
              <w:spacing w:after="0"/>
              <w:rPr>
                <w:sz w:val="20"/>
                <w:szCs w:val="20"/>
                <w:color w:val="auto"/>
              </w:rPr>
            </w:pPr>
            <w:r>
              <w:rPr>
                <w:rFonts w:ascii="Arial" w:cs="Arial" w:eastAsia="Arial" w:hAnsi="Arial"/>
                <w:sz w:val="16"/>
                <w:szCs w:val="16"/>
                <w:color w:val="auto"/>
              </w:rPr>
              <w:t>Delaware</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Freedom Sportsline Limited</w:t>
            </w:r>
          </w:p>
        </w:tc>
        <w:tc>
          <w:tcPr>
            <w:tcW w:w="3640" w:type="dxa"/>
            <w:vAlign w:val="bottom"/>
          </w:tcPr>
          <w:p>
            <w:pPr>
              <w:ind w:left="160"/>
              <w:spacing w:after="0"/>
              <w:rPr>
                <w:sz w:val="20"/>
                <w:szCs w:val="20"/>
                <w:color w:val="auto"/>
              </w:rPr>
            </w:pPr>
            <w:r>
              <w:rPr>
                <w:rFonts w:ascii="Arial" w:cs="Arial" w:eastAsia="Arial" w:hAnsi="Arial"/>
                <w:sz w:val="16"/>
                <w:szCs w:val="16"/>
                <w:color w:val="auto"/>
              </w:rPr>
              <w:t>United Kingdom</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RPG Logistics GmbH</w:t>
            </w:r>
          </w:p>
        </w:tc>
        <w:tc>
          <w:tcPr>
            <w:tcW w:w="3640" w:type="dxa"/>
            <w:vAlign w:val="bottom"/>
          </w:tcPr>
          <w:p>
            <w:pPr>
              <w:ind w:left="160"/>
              <w:spacing w:after="0"/>
              <w:rPr>
                <w:sz w:val="20"/>
                <w:szCs w:val="20"/>
                <w:color w:val="auto"/>
              </w:rPr>
            </w:pPr>
            <w:r>
              <w:rPr>
                <w:rFonts w:ascii="Arial" w:cs="Arial" w:eastAsia="Arial" w:hAnsi="Arial"/>
                <w:sz w:val="16"/>
                <w:szCs w:val="16"/>
                <w:color w:val="auto"/>
              </w:rPr>
              <w:t>Germany</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Runners Point Administration GmbH</w:t>
            </w:r>
          </w:p>
        </w:tc>
        <w:tc>
          <w:tcPr>
            <w:tcW w:w="3640" w:type="dxa"/>
            <w:vAlign w:val="bottom"/>
          </w:tcPr>
          <w:p>
            <w:pPr>
              <w:ind w:left="160"/>
              <w:spacing w:after="0"/>
              <w:rPr>
                <w:sz w:val="20"/>
                <w:szCs w:val="20"/>
                <w:color w:val="auto"/>
              </w:rPr>
            </w:pPr>
            <w:r>
              <w:rPr>
                <w:rFonts w:ascii="Arial" w:cs="Arial" w:eastAsia="Arial" w:hAnsi="Arial"/>
                <w:sz w:val="16"/>
                <w:szCs w:val="16"/>
                <w:color w:val="auto"/>
              </w:rPr>
              <w:t>Germany</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Runners Point B.V. &amp; Co. K.G.</w:t>
            </w:r>
          </w:p>
        </w:tc>
        <w:tc>
          <w:tcPr>
            <w:tcW w:w="3640" w:type="dxa"/>
            <w:vAlign w:val="bottom"/>
          </w:tcPr>
          <w:p>
            <w:pPr>
              <w:ind w:left="160"/>
              <w:spacing w:after="0"/>
              <w:rPr>
                <w:sz w:val="20"/>
                <w:szCs w:val="20"/>
                <w:color w:val="auto"/>
              </w:rPr>
            </w:pPr>
            <w:r>
              <w:rPr>
                <w:rFonts w:ascii="Arial" w:cs="Arial" w:eastAsia="Arial" w:hAnsi="Arial"/>
                <w:sz w:val="16"/>
                <w:szCs w:val="16"/>
                <w:color w:val="auto"/>
              </w:rPr>
              <w:t>Germany</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Runners Point Switzerland LLC</w:t>
            </w:r>
          </w:p>
        </w:tc>
        <w:tc>
          <w:tcPr>
            <w:tcW w:w="3640" w:type="dxa"/>
            <w:vAlign w:val="bottom"/>
          </w:tcPr>
          <w:p>
            <w:pPr>
              <w:ind w:left="160"/>
              <w:spacing w:after="0"/>
              <w:rPr>
                <w:sz w:val="20"/>
                <w:szCs w:val="20"/>
                <w:color w:val="auto"/>
              </w:rPr>
            </w:pPr>
            <w:r>
              <w:rPr>
                <w:rFonts w:ascii="Arial" w:cs="Arial" w:eastAsia="Arial" w:hAnsi="Arial"/>
                <w:sz w:val="16"/>
                <w:szCs w:val="16"/>
                <w:color w:val="auto"/>
              </w:rPr>
              <w:t>Switzerland</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Sidestep GmbH</w:t>
            </w:r>
          </w:p>
        </w:tc>
        <w:tc>
          <w:tcPr>
            <w:tcW w:w="3640" w:type="dxa"/>
            <w:vAlign w:val="bottom"/>
          </w:tcPr>
          <w:p>
            <w:pPr>
              <w:ind w:left="160"/>
              <w:spacing w:after="0"/>
              <w:rPr>
                <w:sz w:val="20"/>
                <w:szCs w:val="20"/>
                <w:color w:val="auto"/>
              </w:rPr>
            </w:pPr>
            <w:r>
              <w:rPr>
                <w:rFonts w:ascii="Arial" w:cs="Arial" w:eastAsia="Arial" w:hAnsi="Arial"/>
                <w:sz w:val="16"/>
                <w:szCs w:val="16"/>
                <w:color w:val="auto"/>
              </w:rPr>
              <w:t>Germany</w:t>
            </w:r>
          </w:p>
        </w:tc>
      </w:tr>
      <w:tr>
        <w:trPr>
          <w:trHeight w:val="187"/>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Team Edition Apparel, Inc.</w:t>
            </w:r>
          </w:p>
        </w:tc>
        <w:tc>
          <w:tcPr>
            <w:tcW w:w="36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Florida</w:t>
            </w:r>
          </w:p>
        </w:tc>
      </w:tr>
    </w:tbl>
    <w:p>
      <w:pPr>
        <w:spacing w:after="0" w:line="200" w:lineRule="exact"/>
        <w:rPr>
          <w:sz w:val="20"/>
          <w:szCs w:val="20"/>
          <w:color w:val="auto"/>
        </w:rPr>
      </w:pPr>
    </w:p>
    <w:p>
      <w:pPr>
        <w:spacing w:after="0" w:line="218" w:lineRule="exact"/>
        <w:rPr>
          <w:sz w:val="20"/>
          <w:szCs w:val="20"/>
          <w:color w:val="auto"/>
        </w:rPr>
      </w:pPr>
    </w:p>
    <w:p>
      <w:pPr>
        <w:ind w:left="1260" w:right="1000" w:hanging="504"/>
        <w:spacing w:after="0" w:line="258" w:lineRule="auto"/>
        <w:tabs>
          <w:tab w:leader="none" w:pos="12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Each subsidiary company is 100% owned, directly or indirectly, by Foot Locker, Inc. All subsidiaries are consolidated with Foot Locker, Inc. for accounting and financial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456565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w:t>
      </w:r>
    </w:p>
    <w:p>
      <w:pPr>
        <w:spacing w:after="0" w:line="211"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Board of Directors</w:t>
      </w:r>
    </w:p>
    <w:p>
      <w:pPr>
        <w:ind w:left="520"/>
        <w:spacing w:after="0"/>
        <w:rPr>
          <w:sz w:val="20"/>
          <w:szCs w:val="20"/>
          <w:color w:val="auto"/>
        </w:rPr>
      </w:pPr>
      <w:r>
        <w:rPr>
          <w:rFonts w:ascii="Arial" w:cs="Arial" w:eastAsia="Arial" w:hAnsi="Arial"/>
          <w:sz w:val="17"/>
          <w:szCs w:val="17"/>
          <w:color w:val="auto"/>
        </w:rPr>
        <w:t>Foot Locker, Inc.:</w:t>
      </w:r>
    </w:p>
    <w:p>
      <w:pPr>
        <w:spacing w:after="0" w:line="210" w:lineRule="exact"/>
        <w:rPr>
          <w:sz w:val="20"/>
          <w:szCs w:val="20"/>
          <w:color w:val="auto"/>
        </w:rPr>
      </w:pPr>
    </w:p>
    <w:p>
      <w:pPr>
        <w:jc w:val="both"/>
        <w:ind w:left="520" w:right="980"/>
        <w:spacing w:after="0" w:line="191" w:lineRule="exact"/>
        <w:rPr>
          <w:sz w:val="20"/>
          <w:szCs w:val="20"/>
          <w:color w:val="auto"/>
        </w:rPr>
      </w:pPr>
      <w:r>
        <w:rPr>
          <w:rFonts w:ascii="Arial" w:cs="Arial" w:eastAsia="Arial" w:hAnsi="Arial"/>
          <w:sz w:val="17"/>
          <w:szCs w:val="17"/>
          <w:color w:val="auto"/>
        </w:rPr>
        <w:t>We consent to the incorporation by reference in the following registration statements of Foot Locker, Inc. and subsidiaries of our reports dated March 27, 2020, with respect to the consolidated balance sheets of Foot Locker, Inc. and subsidiaries as of February 1, 2020 and February 2, 2019, and the related consolidated statements of operations, comprehensive income, shareholders’ equity, and cash flows for each of the years in the three-year period ended February 1, 2020, and the related notes, and the effectiveness of internal control over financial reporting as of February 1, 2020, which reports appear in the February 1, 2020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Foot Locker, Inc.</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Form S-8 No. 33-10783</w:t>
      </w:r>
    </w:p>
    <w:p>
      <w:pPr>
        <w:ind w:left="520"/>
        <w:spacing w:after="0" w:line="234" w:lineRule="auto"/>
        <w:rPr>
          <w:sz w:val="20"/>
          <w:szCs w:val="20"/>
          <w:color w:val="auto"/>
        </w:rPr>
      </w:pPr>
      <w:r>
        <w:rPr>
          <w:rFonts w:ascii="Arial" w:cs="Arial" w:eastAsia="Arial" w:hAnsi="Arial"/>
          <w:sz w:val="18"/>
          <w:szCs w:val="18"/>
          <w:color w:val="auto"/>
        </w:rPr>
        <w:t>Form S-8 No. 33-91888</w:t>
      </w:r>
    </w:p>
    <w:p>
      <w:pPr>
        <w:ind w:left="520"/>
        <w:spacing w:after="0" w:line="235" w:lineRule="auto"/>
        <w:rPr>
          <w:sz w:val="20"/>
          <w:szCs w:val="20"/>
          <w:color w:val="auto"/>
        </w:rPr>
      </w:pPr>
      <w:r>
        <w:rPr>
          <w:rFonts w:ascii="Arial" w:cs="Arial" w:eastAsia="Arial" w:hAnsi="Arial"/>
          <w:sz w:val="18"/>
          <w:szCs w:val="18"/>
          <w:color w:val="auto"/>
        </w:rPr>
        <w:t>Form S-8 No. 33-91886</w:t>
      </w:r>
    </w:p>
    <w:p>
      <w:pPr>
        <w:ind w:left="520"/>
        <w:spacing w:after="0" w:line="235" w:lineRule="auto"/>
        <w:rPr>
          <w:sz w:val="20"/>
          <w:szCs w:val="20"/>
          <w:color w:val="auto"/>
        </w:rPr>
      </w:pPr>
      <w:r>
        <w:rPr>
          <w:rFonts w:ascii="Arial" w:cs="Arial" w:eastAsia="Arial" w:hAnsi="Arial"/>
          <w:sz w:val="18"/>
          <w:szCs w:val="18"/>
          <w:color w:val="auto"/>
        </w:rPr>
        <w:t>Form S-8 No. 33-97832</w:t>
      </w:r>
    </w:p>
    <w:p>
      <w:pPr>
        <w:ind w:left="520"/>
        <w:spacing w:after="0" w:line="235" w:lineRule="auto"/>
        <w:rPr>
          <w:sz w:val="20"/>
          <w:szCs w:val="20"/>
          <w:color w:val="auto"/>
        </w:rPr>
      </w:pPr>
      <w:r>
        <w:rPr>
          <w:rFonts w:ascii="Arial" w:cs="Arial" w:eastAsia="Arial" w:hAnsi="Arial"/>
          <w:sz w:val="18"/>
          <w:szCs w:val="18"/>
          <w:color w:val="auto"/>
        </w:rPr>
        <w:t>Form S-8 No. 333-07215</w:t>
      </w:r>
    </w:p>
    <w:p>
      <w:pPr>
        <w:ind w:left="520"/>
        <w:spacing w:after="0" w:line="235" w:lineRule="auto"/>
        <w:rPr>
          <w:sz w:val="20"/>
          <w:szCs w:val="20"/>
          <w:color w:val="auto"/>
        </w:rPr>
      </w:pPr>
      <w:r>
        <w:rPr>
          <w:rFonts w:ascii="Arial" w:cs="Arial" w:eastAsia="Arial" w:hAnsi="Arial"/>
          <w:sz w:val="18"/>
          <w:szCs w:val="18"/>
          <w:color w:val="auto"/>
        </w:rPr>
        <w:t>Form S-8 No. 333-21131</w:t>
      </w:r>
    </w:p>
    <w:p>
      <w:pPr>
        <w:ind w:left="520"/>
        <w:spacing w:after="0" w:line="234" w:lineRule="auto"/>
        <w:rPr>
          <w:sz w:val="20"/>
          <w:szCs w:val="20"/>
          <w:color w:val="auto"/>
        </w:rPr>
      </w:pPr>
      <w:r>
        <w:rPr>
          <w:rFonts w:ascii="Arial" w:cs="Arial" w:eastAsia="Arial" w:hAnsi="Arial"/>
          <w:sz w:val="18"/>
          <w:szCs w:val="18"/>
          <w:color w:val="auto"/>
        </w:rPr>
        <w:t>Form S-8 No. 333-62425</w:t>
      </w:r>
    </w:p>
    <w:p>
      <w:pPr>
        <w:ind w:left="520"/>
        <w:spacing w:after="0" w:line="235" w:lineRule="auto"/>
        <w:rPr>
          <w:sz w:val="20"/>
          <w:szCs w:val="20"/>
          <w:color w:val="auto"/>
        </w:rPr>
      </w:pPr>
      <w:r>
        <w:rPr>
          <w:rFonts w:ascii="Arial" w:cs="Arial" w:eastAsia="Arial" w:hAnsi="Arial"/>
          <w:sz w:val="18"/>
          <w:szCs w:val="18"/>
          <w:color w:val="auto"/>
        </w:rPr>
        <w:t>Form S-8 No. 333-33120</w:t>
      </w:r>
    </w:p>
    <w:p>
      <w:pPr>
        <w:ind w:left="520"/>
        <w:spacing w:after="0" w:line="235" w:lineRule="auto"/>
        <w:rPr>
          <w:sz w:val="20"/>
          <w:szCs w:val="20"/>
          <w:color w:val="auto"/>
        </w:rPr>
      </w:pPr>
      <w:r>
        <w:rPr>
          <w:rFonts w:ascii="Arial" w:cs="Arial" w:eastAsia="Arial" w:hAnsi="Arial"/>
          <w:sz w:val="18"/>
          <w:szCs w:val="18"/>
          <w:color w:val="auto"/>
        </w:rPr>
        <w:t>Form S-8 No. 333-41056</w:t>
      </w:r>
    </w:p>
    <w:p>
      <w:pPr>
        <w:ind w:left="520"/>
        <w:spacing w:after="0" w:line="235" w:lineRule="auto"/>
        <w:rPr>
          <w:sz w:val="20"/>
          <w:szCs w:val="20"/>
          <w:color w:val="auto"/>
        </w:rPr>
      </w:pPr>
      <w:r>
        <w:rPr>
          <w:rFonts w:ascii="Arial" w:cs="Arial" w:eastAsia="Arial" w:hAnsi="Arial"/>
          <w:sz w:val="18"/>
          <w:szCs w:val="18"/>
          <w:color w:val="auto"/>
        </w:rPr>
        <w:t>Form S-8 No. 333-41058</w:t>
      </w:r>
    </w:p>
    <w:p>
      <w:pPr>
        <w:ind w:left="520"/>
        <w:spacing w:after="0" w:line="235" w:lineRule="auto"/>
        <w:rPr>
          <w:sz w:val="20"/>
          <w:szCs w:val="20"/>
          <w:color w:val="auto"/>
        </w:rPr>
      </w:pPr>
      <w:r>
        <w:rPr>
          <w:rFonts w:ascii="Arial" w:cs="Arial" w:eastAsia="Arial" w:hAnsi="Arial"/>
          <w:sz w:val="18"/>
          <w:szCs w:val="18"/>
          <w:color w:val="auto"/>
        </w:rPr>
        <w:t>Form S-8 No. 333-74688</w:t>
      </w:r>
    </w:p>
    <w:p>
      <w:pPr>
        <w:ind w:left="520"/>
        <w:spacing w:after="0" w:line="234" w:lineRule="auto"/>
        <w:rPr>
          <w:sz w:val="20"/>
          <w:szCs w:val="20"/>
          <w:color w:val="auto"/>
        </w:rPr>
      </w:pPr>
      <w:r>
        <w:rPr>
          <w:rFonts w:ascii="Arial" w:cs="Arial" w:eastAsia="Arial" w:hAnsi="Arial"/>
          <w:sz w:val="18"/>
          <w:szCs w:val="18"/>
          <w:color w:val="auto"/>
        </w:rPr>
        <w:t>Form S-8 No. 333-99829</w:t>
      </w:r>
    </w:p>
    <w:p>
      <w:pPr>
        <w:ind w:left="520"/>
        <w:spacing w:after="0" w:line="235" w:lineRule="auto"/>
        <w:rPr>
          <w:sz w:val="20"/>
          <w:szCs w:val="20"/>
          <w:color w:val="auto"/>
        </w:rPr>
      </w:pPr>
      <w:r>
        <w:rPr>
          <w:rFonts w:ascii="Arial" w:cs="Arial" w:eastAsia="Arial" w:hAnsi="Arial"/>
          <w:sz w:val="18"/>
          <w:szCs w:val="18"/>
          <w:color w:val="auto"/>
        </w:rPr>
        <w:t>Form S-8 No. 333-111222</w:t>
      </w:r>
    </w:p>
    <w:p>
      <w:pPr>
        <w:ind w:left="520"/>
        <w:spacing w:after="0" w:line="235" w:lineRule="auto"/>
        <w:rPr>
          <w:sz w:val="20"/>
          <w:szCs w:val="20"/>
          <w:color w:val="auto"/>
        </w:rPr>
      </w:pPr>
      <w:r>
        <w:rPr>
          <w:rFonts w:ascii="Arial" w:cs="Arial" w:eastAsia="Arial" w:hAnsi="Arial"/>
          <w:sz w:val="18"/>
          <w:szCs w:val="18"/>
          <w:color w:val="auto"/>
        </w:rPr>
        <w:t>Form S-8 No. 333-121515</w:t>
      </w:r>
    </w:p>
    <w:p>
      <w:pPr>
        <w:ind w:left="520"/>
        <w:spacing w:after="0" w:line="235" w:lineRule="auto"/>
        <w:rPr>
          <w:sz w:val="20"/>
          <w:szCs w:val="20"/>
          <w:color w:val="auto"/>
        </w:rPr>
      </w:pPr>
      <w:r>
        <w:rPr>
          <w:rFonts w:ascii="Arial" w:cs="Arial" w:eastAsia="Arial" w:hAnsi="Arial"/>
          <w:sz w:val="18"/>
          <w:szCs w:val="18"/>
          <w:color w:val="auto"/>
        </w:rPr>
        <w:t>Form S-8 No. 333-144044</w:t>
      </w:r>
    </w:p>
    <w:p>
      <w:pPr>
        <w:ind w:left="520"/>
        <w:spacing w:after="0" w:line="235" w:lineRule="auto"/>
        <w:rPr>
          <w:sz w:val="20"/>
          <w:szCs w:val="20"/>
          <w:color w:val="auto"/>
        </w:rPr>
      </w:pPr>
      <w:r>
        <w:rPr>
          <w:rFonts w:ascii="Arial" w:cs="Arial" w:eastAsia="Arial" w:hAnsi="Arial"/>
          <w:sz w:val="18"/>
          <w:szCs w:val="18"/>
          <w:color w:val="auto"/>
        </w:rPr>
        <w:t>Form S-8 No. 333-149803</w:t>
      </w:r>
    </w:p>
    <w:p>
      <w:pPr>
        <w:ind w:left="520"/>
        <w:spacing w:after="0" w:line="234" w:lineRule="auto"/>
        <w:rPr>
          <w:sz w:val="20"/>
          <w:szCs w:val="20"/>
          <w:color w:val="auto"/>
        </w:rPr>
      </w:pPr>
      <w:r>
        <w:rPr>
          <w:rFonts w:ascii="Arial" w:cs="Arial" w:eastAsia="Arial" w:hAnsi="Arial"/>
          <w:sz w:val="18"/>
          <w:szCs w:val="18"/>
          <w:color w:val="auto"/>
        </w:rPr>
        <w:t>Form S-3 No. 33-43334</w:t>
      </w:r>
    </w:p>
    <w:p>
      <w:pPr>
        <w:ind w:left="520"/>
        <w:spacing w:after="0" w:line="235" w:lineRule="auto"/>
        <w:rPr>
          <w:sz w:val="20"/>
          <w:szCs w:val="20"/>
          <w:color w:val="auto"/>
        </w:rPr>
      </w:pPr>
      <w:r>
        <w:rPr>
          <w:rFonts w:ascii="Arial" w:cs="Arial" w:eastAsia="Arial" w:hAnsi="Arial"/>
          <w:sz w:val="18"/>
          <w:szCs w:val="18"/>
          <w:color w:val="auto"/>
        </w:rPr>
        <w:t>Form S-3 No. 33-86300</w:t>
      </w:r>
    </w:p>
    <w:p>
      <w:pPr>
        <w:ind w:left="520"/>
        <w:spacing w:after="0" w:line="235" w:lineRule="auto"/>
        <w:rPr>
          <w:sz w:val="20"/>
          <w:szCs w:val="20"/>
          <w:color w:val="auto"/>
        </w:rPr>
      </w:pPr>
      <w:r>
        <w:rPr>
          <w:rFonts w:ascii="Arial" w:cs="Arial" w:eastAsia="Arial" w:hAnsi="Arial"/>
          <w:sz w:val="18"/>
          <w:szCs w:val="18"/>
          <w:color w:val="auto"/>
        </w:rPr>
        <w:t>Form S-3 No. 333-64930</w:t>
      </w:r>
    </w:p>
    <w:p>
      <w:pPr>
        <w:ind w:left="520"/>
        <w:spacing w:after="0" w:line="235" w:lineRule="auto"/>
        <w:rPr>
          <w:sz w:val="20"/>
          <w:szCs w:val="20"/>
          <w:color w:val="auto"/>
        </w:rPr>
      </w:pPr>
      <w:r>
        <w:rPr>
          <w:rFonts w:ascii="Arial" w:cs="Arial" w:eastAsia="Arial" w:hAnsi="Arial"/>
          <w:sz w:val="18"/>
          <w:szCs w:val="18"/>
          <w:color w:val="auto"/>
        </w:rPr>
        <w:t>Form S-8 No. 333-167066</w:t>
      </w:r>
    </w:p>
    <w:p>
      <w:pPr>
        <w:ind w:left="520"/>
        <w:spacing w:after="0" w:line="235" w:lineRule="auto"/>
        <w:rPr>
          <w:sz w:val="20"/>
          <w:szCs w:val="20"/>
          <w:color w:val="auto"/>
        </w:rPr>
      </w:pPr>
      <w:r>
        <w:rPr>
          <w:rFonts w:ascii="Arial" w:cs="Arial" w:eastAsia="Arial" w:hAnsi="Arial"/>
          <w:sz w:val="18"/>
          <w:szCs w:val="18"/>
          <w:color w:val="auto"/>
        </w:rPr>
        <w:t>Form S-8 No. 333-171523</w:t>
      </w:r>
    </w:p>
    <w:p>
      <w:pPr>
        <w:ind w:left="520"/>
        <w:spacing w:after="0" w:line="234" w:lineRule="auto"/>
        <w:rPr>
          <w:sz w:val="20"/>
          <w:szCs w:val="20"/>
          <w:color w:val="auto"/>
        </w:rPr>
      </w:pPr>
      <w:r>
        <w:rPr>
          <w:rFonts w:ascii="Arial" w:cs="Arial" w:eastAsia="Arial" w:hAnsi="Arial"/>
          <w:sz w:val="18"/>
          <w:szCs w:val="18"/>
          <w:color w:val="auto"/>
        </w:rPr>
        <w:t>Form S-8 No. 333-190680</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Form S-8 No. 333-196899</w:t>
      </w:r>
    </w:p>
    <w:p>
      <w:pPr>
        <w:spacing w:after="0" w:line="212" w:lineRule="exact"/>
        <w:rPr>
          <w:sz w:val="20"/>
          <w:szCs w:val="20"/>
          <w:color w:val="auto"/>
        </w:rPr>
      </w:pPr>
    </w:p>
    <w:p>
      <w:pPr>
        <w:jc w:val="both"/>
        <w:ind w:left="520" w:right="20"/>
        <w:spacing w:after="0"/>
        <w:rPr>
          <w:sz w:val="20"/>
          <w:szCs w:val="20"/>
          <w:color w:val="auto"/>
        </w:rPr>
      </w:pPr>
      <w:r>
        <w:rPr>
          <w:rFonts w:ascii="Arial" w:cs="Arial" w:eastAsia="Arial" w:hAnsi="Arial"/>
          <w:sz w:val="18"/>
          <w:szCs w:val="18"/>
          <w:color w:val="auto"/>
        </w:rPr>
        <w:t xml:space="preserve">Our report on the consolidated financial statements refers to a change in the Company’s method of accounting for leases due to the adoption of Financial Accounting Standards Board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00" w:lineRule="exact"/>
        <w:rPr>
          <w:sz w:val="20"/>
          <w:szCs w:val="20"/>
          <w:color w:val="auto"/>
        </w:rPr>
      </w:pPr>
    </w:p>
    <w:p>
      <w:pPr>
        <w:spacing w:after="0" w:line="3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 KPMG LLP</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New York, New York</w:t>
      </w:r>
    </w:p>
    <w:p>
      <w:pPr>
        <w:ind w:left="520"/>
        <w:spacing w:after="0"/>
        <w:rPr>
          <w:sz w:val="20"/>
          <w:szCs w:val="20"/>
          <w:color w:val="auto"/>
        </w:rPr>
      </w:pPr>
      <w:r>
        <w:rPr>
          <w:rFonts w:ascii="Arial" w:cs="Arial" w:eastAsia="Arial" w:hAnsi="Arial"/>
          <w:sz w:val="17"/>
          <w:szCs w:val="17"/>
          <w:color w:val="auto"/>
        </w:rPr>
        <w:t>March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342900</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CERTIFICATION</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 Richard A. Johnson, certify that:</w:t>
      </w:r>
    </w:p>
    <w:p>
      <w:pPr>
        <w:spacing w:after="0" w:line="200" w:lineRule="exact"/>
        <w:rPr>
          <w:sz w:val="20"/>
          <w:szCs w:val="20"/>
          <w:color w:val="auto"/>
        </w:rPr>
      </w:pPr>
    </w:p>
    <w:p>
      <w:pPr>
        <w:spacing w:after="0" w:line="212" w:lineRule="exact"/>
        <w:rPr>
          <w:sz w:val="20"/>
          <w:szCs w:val="20"/>
          <w:color w:val="auto"/>
        </w:rPr>
      </w:pPr>
    </w:p>
    <w:p>
      <w:pPr>
        <w:ind w:left="1080" w:hanging="538"/>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Foot Locker, Inc. (the “Registrant”);</w:t>
      </w:r>
    </w:p>
    <w:p>
      <w:pPr>
        <w:spacing w:after="0" w:line="182" w:lineRule="exact"/>
        <w:rPr>
          <w:rFonts w:ascii="Arial" w:cs="Arial" w:eastAsia="Arial" w:hAnsi="Arial"/>
          <w:sz w:val="17"/>
          <w:szCs w:val="17"/>
          <w:color w:val="auto"/>
        </w:rPr>
      </w:pPr>
    </w:p>
    <w:p>
      <w:pPr>
        <w:jc w:val="both"/>
        <w:ind w:left="1080" w:right="1000" w:hanging="538"/>
        <w:spacing w:after="0" w:line="236"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7"/>
          <w:szCs w:val="17"/>
          <w:color w:val="auto"/>
        </w:rPr>
      </w:pPr>
    </w:p>
    <w:p>
      <w:pPr>
        <w:jc w:val="both"/>
        <w:ind w:left="1080" w:right="1000" w:hanging="538"/>
        <w:spacing w:after="0" w:line="238"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jc w:val="both"/>
        <w:ind w:left="1080" w:right="1000" w:hanging="538"/>
        <w:spacing w:after="0" w:line="236"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jc w:val="both"/>
        <w:ind w:left="1720" w:right="1000" w:hanging="638"/>
        <w:spacing w:after="0" w:line="235" w:lineRule="auto"/>
        <w:tabs>
          <w:tab w:leader="none" w:pos="17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left="1720" w:right="1000" w:hanging="638"/>
        <w:spacing w:after="0" w:line="235" w:lineRule="auto"/>
        <w:tabs>
          <w:tab w:leader="none" w:pos="17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jc w:val="both"/>
        <w:ind w:left="1720" w:right="1000" w:hanging="638"/>
        <w:spacing w:after="0" w:line="236" w:lineRule="auto"/>
        <w:tabs>
          <w:tab w:leader="none" w:pos="17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7"/>
          <w:szCs w:val="17"/>
          <w:color w:val="auto"/>
        </w:rPr>
      </w:pPr>
    </w:p>
    <w:p>
      <w:pPr>
        <w:jc w:val="both"/>
        <w:ind w:left="1720" w:right="1000" w:hanging="638"/>
        <w:spacing w:after="0" w:line="235" w:lineRule="auto"/>
        <w:tabs>
          <w:tab w:leader="none" w:pos="17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jc w:val="both"/>
        <w:ind w:left="1080" w:right="1000" w:hanging="538"/>
        <w:spacing w:after="0" w:line="238"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4" w:lineRule="exact"/>
        <w:rPr>
          <w:rFonts w:ascii="Arial" w:cs="Arial" w:eastAsia="Arial" w:hAnsi="Arial"/>
          <w:sz w:val="17"/>
          <w:szCs w:val="17"/>
          <w:color w:val="auto"/>
        </w:rPr>
      </w:pPr>
    </w:p>
    <w:p>
      <w:pPr>
        <w:jc w:val="both"/>
        <w:ind w:left="1720" w:right="1000" w:hanging="638"/>
        <w:spacing w:after="0" w:line="238" w:lineRule="auto"/>
        <w:tabs>
          <w:tab w:leader="none" w:pos="17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1720" w:right="1000" w:hanging="638"/>
        <w:spacing w:after="0" w:line="243" w:lineRule="auto"/>
        <w:tabs>
          <w:tab w:leader="none" w:pos="17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March 27, 2020</w:t>
      </w:r>
    </w:p>
    <w:p>
      <w:pPr>
        <w:spacing w:after="0" w:line="223"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5203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7"/>
          <w:szCs w:val="17"/>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471170</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07"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CERTIFICATION</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 Lauren B. Peters, certify that:</w:t>
      </w:r>
    </w:p>
    <w:p>
      <w:pPr>
        <w:spacing w:after="0" w:line="200" w:lineRule="exact"/>
        <w:rPr>
          <w:sz w:val="20"/>
          <w:szCs w:val="20"/>
          <w:color w:val="auto"/>
        </w:rPr>
      </w:pPr>
    </w:p>
    <w:p>
      <w:pPr>
        <w:spacing w:after="0" w:line="212" w:lineRule="exact"/>
        <w:rPr>
          <w:sz w:val="20"/>
          <w:szCs w:val="20"/>
          <w:color w:val="auto"/>
        </w:rPr>
      </w:pPr>
    </w:p>
    <w:p>
      <w:pPr>
        <w:ind w:left="1020" w:hanging="478"/>
        <w:spacing w:after="0"/>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Foot Locker, Inc. (the “Registrant”);</w:t>
      </w:r>
    </w:p>
    <w:p>
      <w:pPr>
        <w:spacing w:after="0" w:line="182" w:lineRule="exact"/>
        <w:rPr>
          <w:rFonts w:ascii="Arial" w:cs="Arial" w:eastAsia="Arial" w:hAnsi="Arial"/>
          <w:sz w:val="17"/>
          <w:szCs w:val="17"/>
          <w:color w:val="auto"/>
        </w:rPr>
      </w:pPr>
    </w:p>
    <w:p>
      <w:pPr>
        <w:jc w:val="both"/>
        <w:ind w:left="1020" w:right="1000" w:hanging="478"/>
        <w:spacing w:after="0" w:line="236"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7"/>
          <w:szCs w:val="17"/>
          <w:color w:val="auto"/>
        </w:rPr>
      </w:pPr>
    </w:p>
    <w:p>
      <w:pPr>
        <w:jc w:val="both"/>
        <w:ind w:left="1020" w:right="1000" w:hanging="478"/>
        <w:spacing w:after="0" w:line="238"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jc w:val="both"/>
        <w:ind w:left="1020" w:right="1000" w:hanging="478"/>
        <w:spacing w:after="0" w:line="236"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jc w:val="both"/>
        <w:ind w:left="1580" w:right="1000" w:hanging="566"/>
        <w:spacing w:after="0" w:line="235" w:lineRule="auto"/>
        <w:tabs>
          <w:tab w:leader="none" w:pos="15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left="1580" w:right="1000" w:hanging="566"/>
        <w:spacing w:after="0" w:line="236" w:lineRule="auto"/>
        <w:tabs>
          <w:tab w:leader="none" w:pos="15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jc w:val="both"/>
        <w:ind w:left="1580" w:right="1000" w:hanging="566"/>
        <w:spacing w:after="0" w:line="236" w:lineRule="auto"/>
        <w:tabs>
          <w:tab w:leader="none" w:pos="15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7"/>
          <w:szCs w:val="17"/>
          <w:color w:val="auto"/>
        </w:rPr>
      </w:pPr>
    </w:p>
    <w:p>
      <w:pPr>
        <w:jc w:val="both"/>
        <w:ind w:left="1580" w:right="1000" w:hanging="566"/>
        <w:spacing w:after="0" w:line="235" w:lineRule="auto"/>
        <w:tabs>
          <w:tab w:leader="none" w:pos="15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jc w:val="both"/>
        <w:ind w:left="1020" w:right="1000" w:hanging="478"/>
        <w:spacing w:after="0" w:line="238"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4" w:lineRule="exact"/>
        <w:rPr>
          <w:rFonts w:ascii="Arial" w:cs="Arial" w:eastAsia="Arial" w:hAnsi="Arial"/>
          <w:sz w:val="17"/>
          <w:szCs w:val="17"/>
          <w:color w:val="auto"/>
        </w:rPr>
      </w:pPr>
    </w:p>
    <w:p>
      <w:pPr>
        <w:jc w:val="both"/>
        <w:ind w:left="1580" w:right="1000" w:hanging="566"/>
        <w:spacing w:after="0" w:line="238" w:lineRule="auto"/>
        <w:tabs>
          <w:tab w:leader="none" w:pos="15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1580" w:right="1000" w:hanging="566"/>
        <w:spacing w:after="0" w:line="243" w:lineRule="auto"/>
        <w:tabs>
          <w:tab w:leader="none" w:pos="15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March 27, 2020</w:t>
      </w:r>
    </w:p>
    <w:p>
      <w:pPr>
        <w:spacing w:after="0" w:line="21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5114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462915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FOOT LOCKER, INC.</w:t>
      </w:r>
    </w:p>
    <w:p>
      <w:pPr>
        <w:spacing w:after="0" w:line="212"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18 U.S.C. SECTION 1350</w:t>
      </w:r>
    </w:p>
    <w:p>
      <w:pPr>
        <w:jc w:val="center"/>
        <w:ind w:right="46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jc w:val="both"/>
        <w:ind w:left="520" w:right="980"/>
        <w:spacing w:after="0" w:line="241" w:lineRule="auto"/>
        <w:rPr>
          <w:sz w:val="20"/>
          <w:szCs w:val="20"/>
          <w:color w:val="auto"/>
        </w:rPr>
      </w:pPr>
      <w:r>
        <w:rPr>
          <w:rFonts w:ascii="Arial" w:cs="Arial" w:eastAsia="Arial" w:hAnsi="Arial"/>
          <w:sz w:val="17"/>
          <w:szCs w:val="17"/>
          <w:color w:val="auto"/>
        </w:rPr>
        <w:t>In connection with the Annual Report on Form 10-K of Foot Locker, Inc. (the “Registrant”) for the period ended February 1, 2020, as filed with the Securities and Exchange Commission on the date hereof (the “Report”), Richard A. Johnson, as Chief Executive Officer of the Registrant and Lauren B. Peters, as Chief Financial Officer of the Registrant, each hereby certify, pursuant to 18 U.S.C. Section 1350, that:</w:t>
      </w:r>
    </w:p>
    <w:p>
      <w:pPr>
        <w:spacing w:after="0" w:line="200" w:lineRule="exact"/>
        <w:rPr>
          <w:sz w:val="20"/>
          <w:szCs w:val="20"/>
          <w:color w:val="auto"/>
        </w:rPr>
      </w:pPr>
    </w:p>
    <w:p>
      <w:pPr>
        <w:spacing w:after="0" w:line="203" w:lineRule="exact"/>
        <w:rPr>
          <w:sz w:val="20"/>
          <w:szCs w:val="20"/>
          <w:color w:val="auto"/>
        </w:rPr>
      </w:pPr>
    </w:p>
    <w:p>
      <w:pPr>
        <w:ind w:left="1180" w:right="1000" w:hanging="409"/>
        <w:spacing w:after="0" w:line="243" w:lineRule="auto"/>
        <w:tabs>
          <w:tab w:leader="none" w:pos="1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71" w:lineRule="exact"/>
        <w:rPr>
          <w:rFonts w:ascii="Arial" w:cs="Arial" w:eastAsia="Arial" w:hAnsi="Arial"/>
          <w:sz w:val="17"/>
          <w:szCs w:val="17"/>
          <w:color w:val="auto"/>
        </w:rPr>
      </w:pPr>
    </w:p>
    <w:p>
      <w:pPr>
        <w:ind w:left="1180" w:right="1000" w:hanging="409"/>
        <w:spacing w:after="0" w:line="243" w:lineRule="auto"/>
        <w:tabs>
          <w:tab w:leader="none" w:pos="1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Dated: March 27, 2020</w:t>
      </w: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5114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Richard A. Johnson</w:t>
      </w:r>
    </w:p>
    <w:p>
      <w:pPr>
        <w:ind w:left="4520"/>
        <w:spacing w:after="0"/>
        <w:rPr>
          <w:sz w:val="20"/>
          <w:szCs w:val="20"/>
          <w:color w:val="auto"/>
        </w:rPr>
      </w:pPr>
      <w:r>
        <w:rPr>
          <w:rFonts w:ascii="Arial" w:cs="Arial" w:eastAsia="Arial" w:hAnsi="Arial"/>
          <w:sz w:val="17"/>
          <w:szCs w:val="17"/>
          <w:i w:val="1"/>
          <w:iCs w:val="1"/>
          <w:color w:val="auto"/>
        </w:rPr>
        <w:t>Chief Executive Officer</w:t>
      </w:r>
    </w:p>
    <w:p>
      <w:pPr>
        <w:spacing w:after="0" w:line="18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5114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Lauren B. Peters</w:t>
      </w:r>
    </w:p>
    <w:p>
      <w:pPr>
        <w:ind w:left="4520"/>
        <w:spacing w:after="0"/>
        <w:rPr>
          <w:sz w:val="20"/>
          <w:szCs w:val="20"/>
          <w:color w:val="auto"/>
        </w:rPr>
      </w:pPr>
      <w:r>
        <w:rPr>
          <w:rFonts w:ascii="Arial" w:cs="Arial" w:eastAsia="Arial" w:hAnsi="Arial"/>
          <w:sz w:val="17"/>
          <w:szCs w:val="17"/>
          <w:i w:val="1"/>
          <w:iCs w:val="1"/>
          <w:color w:val="auto"/>
        </w:rPr>
        <w:t>Chief Financial Officer</w:t>
      </w:r>
    </w:p>
    <w:p>
      <w:pPr>
        <w:spacing w:after="0" w:line="210" w:lineRule="exact"/>
        <w:rPr>
          <w:sz w:val="20"/>
          <w:szCs w:val="20"/>
          <w:color w:val="auto"/>
        </w:rPr>
      </w:pPr>
    </w:p>
    <w:p>
      <w:pPr>
        <w:jc w:val="both"/>
        <w:ind w:left="520" w:right="980"/>
        <w:spacing w:after="0" w:line="235" w:lineRule="auto"/>
        <w:rPr>
          <w:sz w:val="20"/>
          <w:szCs w:val="20"/>
          <w:color w:val="auto"/>
        </w:rPr>
      </w:pPr>
      <w:r>
        <w:rPr>
          <w:rFonts w:ascii="Arial" w:cs="Arial" w:eastAsia="Arial" w:hAnsi="Arial"/>
          <w:sz w:val="17"/>
          <w:szCs w:val="17"/>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339090</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460"/>
      </w:cols>
      <w:pgMar w:left="144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emdash "/>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
      <w:numFmt w:val="bullet"/>
      <w:start w:val="1"/>
    </w:lvl>
    <w:lvl w:ilvl="1">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2"/>
    </w:lvl>
  </w:abstractNum>
  <w:abstractNum w:abstractNumId="39">
    <w:nsid w:val="2CD89A32"/>
    <w:multiLevelType w:val="hybridMultilevel"/>
    <w:lvl w:ilvl="0">
      <w:lvlJc w:val="left"/>
      <w:lvlText w:val="(%1)"/>
      <w:numFmt w:val="lowerLetter"/>
      <w:start w:val="3"/>
    </w:lvl>
  </w:abstractNum>
  <w:abstractNum w:abstractNumId="40">
    <w:nsid w:val="57E4CCAF"/>
    <w:multiLevelType w:val="hybridMultilevel"/>
    <w:lvl w:ilvl="0">
      <w:lvlJc w:val="left"/>
      <w:lvlText w:val="(%1)"/>
      <w:numFmt w:val="lowerLetter"/>
      <w:start w:val="4"/>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2"/>
    </w:lvl>
  </w:abstractNum>
  <w:abstractNum w:abstractNumId="43">
    <w:nsid w:val="542289EC"/>
    <w:multiLevelType w:val="hybridMultilevel"/>
    <w:lvl w:ilvl="0">
      <w:lvlJc w:val="left"/>
      <w:lvlText w:val="(%1)"/>
      <w:numFmt w:val="lowerLetter"/>
      <w:start w:val="3"/>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48" Type="http://schemas.openxmlformats.org/officeDocument/2006/relationships/image" Target="media/image131.png"/><Relationship Id="rId161"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138" Type="http://schemas.openxmlformats.org/officeDocument/2006/relationships/hyperlink" Target="http://www.sec.gov/Archives/edgar/data/850209/0000850209-97-000010-index.html" TargetMode="External"/><Relationship Id="rId139" Type="http://schemas.openxmlformats.org/officeDocument/2006/relationships/hyperlink" Target="http://www.sec.gov/Archives/edgar/data/850209/0000850209-98-000012-index.html" TargetMode="External"/><Relationship Id="rId140" Type="http://schemas.openxmlformats.org/officeDocument/2006/relationships/hyperlink" Target="http://www.sec.gov/Archives/edgar/data/850209/000095011701501759/ex4-2.txt" TargetMode="External"/><Relationship Id="rId141" Type="http://schemas.openxmlformats.org/officeDocument/2006/relationships/hyperlink" Target="http://www.sec.gov/Archives/edgar/data/850209/000093041314002667/c77700_ex3-1.htm" TargetMode="External"/><Relationship Id="rId142" Type="http://schemas.openxmlformats.org/officeDocument/2006/relationships/hyperlink" Target="http://www.sec.gov/Archives/edgar/data/850209/000093041318000545/c90571_ex3-1.htm" TargetMode="External"/><Relationship Id="rId143" Type="http://schemas.openxmlformats.org/officeDocument/2006/relationships/hyperlink" Target="http://www.sec.gov/Archives/edgar/data/850209/000093041316007203/c85089_ex10-1.htm" TargetMode="External"/><Relationship Id="rId144" Type="http://schemas.openxmlformats.org/officeDocument/2006/relationships/hyperlink" Target="http://www.sec.gov/Archives/edgar/data/850209/000093041314005005/c79624_ex10-3.htm" TargetMode="External"/><Relationship Id="rId145" Type="http://schemas.openxmlformats.org/officeDocument/2006/relationships/hyperlink" Target="http://www.sec.gov/Archives/edgar/data/850209/000085020917000003/fl-20170128xex10_5.htm" TargetMode="External"/><Relationship Id="rId146" Type="http://schemas.openxmlformats.org/officeDocument/2006/relationships/hyperlink" Target="http://www.sec.gov/Archives/edgar/data/850209/000093041316006244/c84488_ex10-3.htm" TargetMode="External"/><Relationship Id="rId147" Type="http://schemas.openxmlformats.org/officeDocument/2006/relationships/hyperlink" Target="http://www.sec.gov/Archives/edgar/data/850209/000093041318001184/c90932_ex10-1.htm" TargetMode="External"/><Relationship Id="rId149" Type="http://schemas.openxmlformats.org/officeDocument/2006/relationships/hyperlink" Target="http://www.sec.gov/Archives/edgar/data/850209/000093041307006773/c49896_ex10-1.htm" TargetMode="External"/><Relationship Id="rId150" Type="http://schemas.openxmlformats.org/officeDocument/2006/relationships/hyperlink" Target="http://www.sec.gov/Archives/edgar/data/850209/000093041311004174/c65814_ex10-1.htm" TargetMode="External"/><Relationship Id="rId151" Type="http://schemas.openxmlformats.org/officeDocument/2006/relationships/hyperlink" Target="http://www.sec.gov/Archives/edgar/data/850209/000093041314001548/c77055_ex10-3.htm" TargetMode="External"/><Relationship Id="rId152" Type="http://schemas.openxmlformats.org/officeDocument/2006/relationships/hyperlink" Target="http://www.sec.gov/Archives/edgar/data/850209/000153949719000850/exh10-1.htm" TargetMode="External"/><Relationship Id="rId153" Type="http://schemas.openxmlformats.org/officeDocument/2006/relationships/hyperlink" Target="http://www.sec.gov/Archives/edgar/data/850209/000085020919000007/fl-20190803ex101ab38cb.htm" TargetMode="External"/><Relationship Id="rId154" Type="http://schemas.openxmlformats.org/officeDocument/2006/relationships/hyperlink" Target="http://www.sec.gov/Archives/edgar/data/850209/000120677409000650/exhibit_10-22.htm" TargetMode="External"/><Relationship Id="rId155" Type="http://schemas.openxmlformats.org/officeDocument/2006/relationships/hyperlink" Target="http://www.sec.gov/Archives/edgar/data/850209/000120677409000650/exhibit_10-26.htm" TargetMode="External"/><Relationship Id="rId156" Type="http://schemas.openxmlformats.org/officeDocument/2006/relationships/hyperlink" Target="http://www.sec.gov/Archives/edgar/data/850209/000120677409000650/exhibit_10-27.htm" TargetMode="External"/><Relationship Id="rId157" Type="http://schemas.openxmlformats.org/officeDocument/2006/relationships/hyperlink" Target="http://www.sec.gov/Archives/edgar/data/850209/000120677409000650/exhibit_10-28.htm" TargetMode="External"/><Relationship Id="rId158" Type="http://schemas.openxmlformats.org/officeDocument/2006/relationships/hyperlink" Target="http://www.sec.gov/Archives/edgar/data/850209/000120677409000650/exhibit_10-32.htm" TargetMode="External"/><Relationship Id="rId159" Type="http://schemas.openxmlformats.org/officeDocument/2006/relationships/hyperlink" Target="http://www.sec.gov/Archives/edgar/data/850209/000120677406000567/d18788_ex10-40.htm" TargetMode="External"/><Relationship Id="rId160" Type="http://schemas.openxmlformats.org/officeDocument/2006/relationships/hyperlink" Target="http://www.sec.gov/Archives/edgar/data/850209/000093041314001548/c77055_ex10-1.htm" TargetMode="External"/><Relationship Id="rId162" Type="http://schemas.openxmlformats.org/officeDocument/2006/relationships/hyperlink" Target="http://www.sec.gov/Archives/edgar/data/850209/000093041314001548/c77055_ex10-2.htm" TargetMode="External"/><Relationship Id="rId163" Type="http://schemas.openxmlformats.org/officeDocument/2006/relationships/hyperlink" Target="http://www.sec.gov/Archives/edgar/data/850209/000093041313001985/c73257_ex10-3.htm" TargetMode="External"/><Relationship Id="rId164" Type="http://schemas.openxmlformats.org/officeDocument/2006/relationships/hyperlink" Target="http://www.sec.gov/Archives/edgar/data/850209/000093041316006244/c84488_ex10-1.htm" TargetMode="External"/><Relationship Id="rId165" Type="http://schemas.openxmlformats.org/officeDocument/2006/relationships/hyperlink" Target="http://www.sec.gov/Archives/edgar/data/850209/000093041316006244/c84488_ex10-2.htm" TargetMode="External"/><Relationship Id="rId166" Type="http://schemas.openxmlformats.org/officeDocument/2006/relationships/hyperlink" Target="http://www.sec.gov/Archives/edgar/data/850209/000085020916000005/fl-20160730xex10.htm" TargetMode="External"/><Relationship Id="rId167" Type="http://schemas.openxmlformats.org/officeDocument/2006/relationships/hyperlink" Target="http://www.sec.gov/Archives/edgar/data/850209/000093041318001338/c91040_ex10-1.htm" TargetMode="External"/><Relationship Id="rId168" Type="http://schemas.openxmlformats.org/officeDocument/2006/relationships/hyperlink" Target="http://www.sec.gov/Archives/edgar/data/850209/000095012301503422/y50352ex10-5.txt" TargetMode="External"/><Relationship Id="rId169" Type="http://schemas.openxmlformats.org/officeDocument/2006/relationships/hyperlink" Target="http://www.sec.gov/Archives/edgar/data/850209/000095012301503422/y50352ex10-4.txt" TargetMode="External"/><Relationship Id="rId170" Type="http://schemas.openxmlformats.org/officeDocument/2006/relationships/hyperlink" Target="http://www.sec.gov/Archives/edgar/data/850209/000093041314004495/c79195_ex10-2.htm" TargetMode="External"/><Relationship Id="rId171" Type="http://schemas.openxmlformats.org/officeDocument/2006/relationships/hyperlink" Target="http://www.sec.gov/Archives/edgar/data/850209/000093041315001838/c81054_ex10-1.htm" TargetMode="External"/><Relationship Id="rId172" Type="http://schemas.openxmlformats.org/officeDocument/2006/relationships/hyperlink" Target="http://www.sec.gov/Archives/edgar/data/850209/000114420416090138/v429676_ex10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2020-03-27T15:52:26Z</dcterms:created>
  <dcterms:modified xsi:type="dcterms:W3CDTF">2020-03-27T15:52:26Z</dcterms:modified>
</cp:coreProperties>
</file>