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39508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9508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395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2508885</wp:posOffset>
            </wp:positionH>
            <wp:positionV relativeFrom="paragraph">
              <wp:posOffset>83820</wp:posOffset>
            </wp:positionV>
            <wp:extent cx="1594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34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FORM 10-Q</w:t>
      </w:r>
    </w:p>
    <w:p>
      <w:pPr>
        <w:spacing w:after="0" w:line="31" w:lineRule="exact"/>
        <w:rPr>
          <w:sz w:val="24"/>
          <w:szCs w:val="24"/>
          <w:color w:val="auto"/>
        </w:rPr>
      </w:pPr>
    </w:p>
    <w:p>
      <w:pPr>
        <w:ind w:left="180"/>
        <w:spacing w:after="0"/>
        <w:rPr>
          <w:sz w:val="20"/>
          <w:szCs w:val="20"/>
          <w:color w:val="auto"/>
        </w:rPr>
      </w:pPr>
      <w:r>
        <w:rPr>
          <w:rFonts w:ascii="Arial" w:cs="Arial" w:eastAsia="Arial" w:hAnsi="Arial"/>
          <w:sz w:val="14"/>
          <w:szCs w:val="14"/>
          <w:color w:val="auto"/>
        </w:rPr>
        <w:t>(Mark One)</w:t>
      </w:r>
    </w:p>
    <w:p>
      <w:pPr>
        <w:spacing w:after="0" w:line="292" w:lineRule="exact"/>
        <w:rPr>
          <w:sz w:val="24"/>
          <w:szCs w:val="24"/>
          <w:color w:val="auto"/>
        </w:rPr>
      </w:pPr>
    </w:p>
    <w:p>
      <w:pPr>
        <w:ind w:left="3640" w:right="2000" w:hanging="3349"/>
        <w:spacing w:after="0" w:line="474" w:lineRule="auto"/>
        <w:tabs>
          <w:tab w:leader="none" w:pos="71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QUARTERLY REPORT PURSUANT TO SECTION 13 OR 15(d) OF THE SECURITIES EXCHANGE ACT OF 1934 </w:t>
      </w:r>
      <w:r>
        <w:rPr>
          <w:rFonts w:ascii="Arial" w:cs="Arial" w:eastAsia="Arial" w:hAnsi="Arial"/>
          <w:sz w:val="14"/>
          <w:szCs w:val="14"/>
          <w:color w:val="auto"/>
        </w:rPr>
        <w:t>For the quarterly period ended: August 1, 2020</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color w:val="auto"/>
        </w:rPr>
        <w:t>OR</w:t>
      </w:r>
    </w:p>
    <w:p>
      <w:pPr>
        <w:spacing w:after="0" w:line="323" w:lineRule="exact"/>
        <w:rPr>
          <w:sz w:val="24"/>
          <w:szCs w:val="24"/>
          <w:color w:val="auto"/>
        </w:rPr>
      </w:pPr>
    </w:p>
    <w:p>
      <w:pPr>
        <w:ind w:left="3280" w:right="2000" w:hanging="2989"/>
        <w:spacing w:after="0" w:line="464" w:lineRule="auto"/>
        <w:tabs>
          <w:tab w:leader="none" w:pos="702"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__________ to __________</w:t>
      </w:r>
    </w:p>
    <w:p>
      <w:pPr>
        <w:ind w:left="4020"/>
        <w:spacing w:after="0"/>
        <w:rPr>
          <w:rFonts w:ascii="MS PGothic" w:cs="MS PGothic" w:eastAsia="MS PGothic" w:hAnsi="MS PGothic"/>
          <w:sz w:val="14"/>
          <w:szCs w:val="14"/>
          <w:color w:val="auto"/>
        </w:rPr>
      </w:pPr>
      <w:r>
        <w:rPr>
          <w:rFonts w:ascii="Arial" w:cs="Arial" w:eastAsia="Arial" w:hAnsi="Arial"/>
          <w:sz w:val="14"/>
          <w:szCs w:val="14"/>
          <w:color w:val="auto"/>
        </w:rPr>
        <w:t>Commission File Number: 1-10299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193040</wp:posOffset>
            </wp:positionH>
            <wp:positionV relativeFrom="paragraph">
              <wp:posOffset>-480695</wp:posOffset>
            </wp:positionV>
            <wp:extent cx="69215" cy="70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300355</wp:posOffset>
            </wp:positionV>
            <wp:extent cx="2425700" cy="283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28321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154940</wp:posOffset>
            </wp:positionV>
            <wp:extent cx="159448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5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2508885</wp:posOffset>
            </wp:positionH>
            <wp:positionV relativeFrom="paragraph">
              <wp:posOffset>154940</wp:posOffset>
            </wp:positionV>
            <wp:extent cx="15944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ectPr>
          <w:pgSz w:w="11900" w:h="16838" w:orient="portrait"/>
          <w:cols w:equalWidth="0" w:num="1">
            <w:col w:w="10080"/>
          </w:cols>
          <w:pgMar w:left="980" w:top="661"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600"/>
        <w:spacing w:after="0"/>
        <w:rPr>
          <w:sz w:val="20"/>
          <w:szCs w:val="20"/>
          <w:color w:val="auto"/>
        </w:rPr>
      </w:pPr>
      <w:r>
        <w:rPr>
          <w:rFonts w:ascii="Arial" w:cs="Arial" w:eastAsia="Arial" w:hAnsi="Arial"/>
          <w:sz w:val="14"/>
          <w:szCs w:val="14"/>
          <w:b w:val="1"/>
          <w:bCs w:val="1"/>
          <w:color w:val="auto"/>
        </w:rPr>
        <w:t>New York</w:t>
      </w:r>
    </w:p>
    <w:p>
      <w:pPr>
        <w:spacing w:after="0" w:line="21" w:lineRule="exact"/>
        <w:rPr>
          <w:sz w:val="24"/>
          <w:szCs w:val="24"/>
          <w:color w:val="auto"/>
        </w:rPr>
      </w:pPr>
    </w:p>
    <w:p>
      <w:pPr>
        <w:jc w:val="center"/>
        <w:ind w:right="60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1340"/>
        <w:spacing w:after="0"/>
        <w:rPr>
          <w:sz w:val="20"/>
          <w:szCs w:val="20"/>
          <w:color w:val="auto"/>
        </w:rPr>
      </w:pPr>
      <w:r>
        <w:rPr>
          <w:rFonts w:ascii="Arial" w:cs="Arial" w:eastAsia="Arial" w:hAnsi="Arial"/>
          <w:sz w:val="14"/>
          <w:szCs w:val="14"/>
          <w:b w:val="1"/>
          <w:bCs w:val="1"/>
          <w:color w:val="auto"/>
        </w:rPr>
        <w:t>13-3513936</w:t>
      </w:r>
    </w:p>
    <w:p>
      <w:pPr>
        <w:spacing w:after="0" w:line="21" w:lineRule="exact"/>
        <w:rPr>
          <w:sz w:val="24"/>
          <w:szCs w:val="24"/>
          <w:color w:val="auto"/>
        </w:rPr>
      </w:pPr>
    </w:p>
    <w:p>
      <w:pPr>
        <w:jc w:val="center"/>
        <w:ind w:right="1340"/>
        <w:spacing w:after="0"/>
        <w:rPr>
          <w:sz w:val="20"/>
          <w:szCs w:val="20"/>
          <w:color w:val="auto"/>
        </w:rPr>
      </w:pPr>
      <w:r>
        <w:rPr>
          <w:rFonts w:ascii="Arial" w:cs="Arial" w:eastAsia="Arial" w:hAnsi="Arial"/>
          <w:sz w:val="14"/>
          <w:szCs w:val="14"/>
          <w:color w:val="auto"/>
        </w:rPr>
        <w:t>(I.R.S. Employer Identification No.)</w:t>
      </w:r>
    </w:p>
    <w:p>
      <w:pPr>
        <w:spacing w:after="0" w:line="84" w:lineRule="exact"/>
        <w:rPr>
          <w:sz w:val="24"/>
          <w:szCs w:val="24"/>
          <w:color w:val="auto"/>
        </w:rPr>
      </w:pPr>
    </w:p>
    <w:p>
      <w:pPr>
        <w:sectPr>
          <w:pgSz w:w="11900" w:h="16838" w:orient="portrait"/>
          <w:cols w:equalWidth="0" w:num="2">
            <w:col w:w="5820" w:space="720"/>
            <w:col w:w="3540"/>
          </w:cols>
          <w:pgMar w:left="980" w:top="661" w:right="839" w:bottom="1440" w:gutter="0" w:footer="0" w:header="0"/>
          <w:type w:val="continuous"/>
        </w:sectPr>
      </w:pPr>
    </w:p>
    <w:p>
      <w:pPr>
        <w:jc w:val="center"/>
        <w:ind w:right="-179"/>
        <w:spacing w:after="0"/>
        <w:rPr>
          <w:sz w:val="20"/>
          <w:szCs w:val="20"/>
          <w:color w:val="auto"/>
        </w:rPr>
      </w:pPr>
      <w:r>
        <w:rPr>
          <w:rFonts w:ascii="Arial" w:cs="Arial" w:eastAsia="Arial" w:hAnsi="Arial"/>
          <w:sz w:val="14"/>
          <w:szCs w:val="14"/>
          <w:b w:val="1"/>
          <w:bCs w:val="1"/>
          <w:color w:val="auto"/>
        </w:rPr>
        <w:t>330 West 34</w:t>
      </w:r>
      <w:r>
        <w:rPr>
          <w:rFonts w:ascii="Arial" w:cs="Arial" w:eastAsia="Arial" w:hAnsi="Arial"/>
          <w:sz w:val="21"/>
          <w:szCs w:val="21"/>
          <w:b w:val="1"/>
          <w:bCs w:val="1"/>
          <w:color w:val="auto"/>
          <w:vertAlign w:val="superscript"/>
        </w:rPr>
        <w:t>th</w:t>
      </w:r>
      <w:r>
        <w:rPr>
          <w:rFonts w:ascii="Arial" w:cs="Arial" w:eastAsia="Arial" w:hAnsi="Arial"/>
          <w:sz w:val="14"/>
          <w:szCs w:val="14"/>
          <w:b w:val="1"/>
          <w:bCs w:val="1"/>
          <w:color w:val="auto"/>
        </w:rPr>
        <w:t xml:space="preserve"> Street, New York, New York 10001</w:t>
      </w:r>
    </w:p>
    <w:p>
      <w:pPr>
        <w:jc w:val="center"/>
        <w:ind w:right="-179"/>
        <w:spacing w:after="0"/>
        <w:rPr>
          <w:sz w:val="20"/>
          <w:szCs w:val="20"/>
          <w:color w:val="auto"/>
        </w:rPr>
      </w:pPr>
      <w:r>
        <w:rPr>
          <w:rFonts w:ascii="Arial" w:cs="Arial" w:eastAsia="Arial" w:hAnsi="Arial"/>
          <w:sz w:val="14"/>
          <w:szCs w:val="14"/>
          <w:color w:val="auto"/>
        </w:rPr>
        <w:t>(Address of principal executive offices, Zip Code)</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(212-720-3700)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(Registrant’s telephone number, including area code)</w:t>
      </w:r>
    </w:p>
    <w:p>
      <w:pPr>
        <w:spacing w:after="0" w:line="138" w:lineRule="exact"/>
        <w:rPr>
          <w:sz w:val="24"/>
          <w:szCs w:val="24"/>
          <w:color w:val="auto"/>
        </w:rPr>
      </w:pPr>
    </w:p>
    <w:tbl>
      <w:tblPr>
        <w:tblLayout w:type="fixed"/>
        <w:tblInd w:w="1350" w:type="dxa"/>
        <w:tblCellMar>
          <w:top w:w="0" w:type="dxa"/>
          <w:left w:w="0" w:type="dxa"/>
          <w:bottom w:w="0" w:type="dxa"/>
          <w:right w:w="0" w:type="dxa"/>
        </w:tblCellMar>
      </w:tblPr>
      <w:tr>
        <w:trPr>
          <w:trHeight w:val="160"/>
        </w:trPr>
        <w:tc>
          <w:tcPr>
            <w:tcW w:w="3060" w:type="dxa"/>
            <w:vAlign w:val="bottom"/>
            <w:tcBorders>
              <w:top w:val="single" w:sz="8" w:color="auto"/>
              <w:left w:val="single" w:sz="8" w:color="auto"/>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Title of each class</w:t>
            </w:r>
          </w:p>
        </w:tc>
        <w:tc>
          <w:tcPr>
            <w:tcW w:w="1320" w:type="dxa"/>
            <w:vAlign w:val="bottom"/>
            <w:tcBorders>
              <w:top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Trading</w:t>
            </w:r>
          </w:p>
        </w:tc>
        <w:tc>
          <w:tcPr>
            <w:tcW w:w="3060" w:type="dxa"/>
            <w:vAlign w:val="bottom"/>
            <w:tcBorders>
              <w:top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Name of each exchange on which</w:t>
            </w:r>
          </w:p>
        </w:tc>
      </w:tr>
      <w:tr>
        <w:trPr>
          <w:trHeight w:val="202"/>
        </w:trPr>
        <w:tc>
          <w:tcPr>
            <w:tcW w:w="306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Symbol(s)</w:t>
            </w:r>
          </w:p>
        </w:tc>
        <w:tc>
          <w:tcPr>
            <w:tcW w:w="306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registered</w:t>
            </w:r>
          </w:p>
        </w:tc>
      </w:tr>
      <w:tr>
        <w:trPr>
          <w:trHeight w:val="123"/>
        </w:trPr>
        <w:tc>
          <w:tcPr>
            <w:tcW w:w="3060" w:type="dxa"/>
            <w:vAlign w:val="bottom"/>
            <w:tcBorders>
              <w:left w:val="single" w:sz="8" w:color="auto"/>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3060" w:type="dxa"/>
            <w:vAlign w:val="bottom"/>
            <w:tcBorders>
              <w:bottom w:val="single" w:sz="8" w:color="auto"/>
              <w:right w:val="single" w:sz="8" w:color="auto"/>
            </w:tcBorders>
          </w:tcPr>
          <w:p>
            <w:pPr>
              <w:spacing w:after="0"/>
              <w:rPr>
                <w:sz w:val="10"/>
                <w:szCs w:val="10"/>
                <w:color w:val="auto"/>
              </w:rPr>
            </w:pPr>
          </w:p>
        </w:tc>
      </w:tr>
      <w:tr>
        <w:trPr>
          <w:trHeight w:val="188"/>
        </w:trPr>
        <w:tc>
          <w:tcPr>
            <w:tcW w:w="3060" w:type="dxa"/>
            <w:vAlign w:val="bottom"/>
            <w:tcBorders>
              <w:left w:val="single" w:sz="8" w:color="auto"/>
              <w:right w:val="single" w:sz="8" w:color="auto"/>
            </w:tcBorders>
          </w:tcPr>
          <w:p>
            <w:pPr>
              <w:jc w:val="center"/>
              <w:ind w:left="88"/>
              <w:spacing w:after="0"/>
              <w:rPr>
                <w:sz w:val="20"/>
                <w:szCs w:val="20"/>
                <w:color w:val="auto"/>
              </w:rPr>
            </w:pPr>
            <w:r>
              <w:rPr>
                <w:rFonts w:ascii="Arial" w:cs="Arial" w:eastAsia="Arial" w:hAnsi="Arial"/>
                <w:sz w:val="14"/>
                <w:szCs w:val="14"/>
                <w:color w:val="auto"/>
              </w:rPr>
              <w:t>Common Stock, par value $0.01</w:t>
            </w:r>
          </w:p>
        </w:tc>
        <w:tc>
          <w:tcPr>
            <w:tcW w:w="132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color w:val="auto"/>
                <w:w w:val="97"/>
              </w:rPr>
              <w:t>FL</w:t>
            </w:r>
          </w:p>
        </w:tc>
        <w:tc>
          <w:tcPr>
            <w:tcW w:w="306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color w:val="auto"/>
              </w:rPr>
              <w:t>New York Stock Exchange</w:t>
            </w:r>
          </w:p>
        </w:tc>
      </w:tr>
      <w:tr>
        <w:trPr>
          <w:trHeight w:val="116"/>
        </w:trPr>
        <w:tc>
          <w:tcPr>
            <w:tcW w:w="3060" w:type="dxa"/>
            <w:vAlign w:val="bottom"/>
            <w:tcBorders>
              <w:left w:val="single" w:sz="8" w:color="auto"/>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3060" w:type="dxa"/>
            <w:vAlign w:val="bottom"/>
            <w:tcBorders>
              <w:bottom w:val="single" w:sz="8" w:color="auto"/>
              <w:right w:val="single" w:sz="8" w:color="auto"/>
            </w:tcBorders>
          </w:tcPr>
          <w:p>
            <w:pPr>
              <w:spacing w:after="0"/>
              <w:rPr>
                <w:sz w:val="10"/>
                <w:szCs w:val="10"/>
                <w:color w:val="auto"/>
              </w:rPr>
            </w:pPr>
          </w:p>
        </w:tc>
      </w:tr>
    </w:tbl>
    <w:p>
      <w:pPr>
        <w:spacing w:after="0" w:line="149" w:lineRule="exact"/>
        <w:rPr>
          <w:sz w:val="24"/>
          <w:szCs w:val="24"/>
          <w:color w:val="auto"/>
        </w:rPr>
      </w:pPr>
    </w:p>
    <w:p>
      <w:pPr>
        <w:jc w:val="both"/>
        <w:ind w:left="180" w:right="20"/>
        <w:spacing w:after="0" w:line="17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9" w:lineRule="exact"/>
        <w:rPr>
          <w:sz w:val="24"/>
          <w:szCs w:val="24"/>
          <w:color w:val="auto"/>
        </w:rPr>
      </w:pPr>
    </w:p>
    <w:p>
      <w:pPr>
        <w:jc w:val="both"/>
        <w:ind w:left="180"/>
        <w:spacing w:after="0" w:line="17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5" w:lineRule="exact"/>
        <w:rPr>
          <w:sz w:val="24"/>
          <w:szCs w:val="24"/>
          <w:color w:val="auto"/>
        </w:rPr>
      </w:pPr>
    </w:p>
    <w:p>
      <w:pPr>
        <w:jc w:val="both"/>
        <w:ind w:left="180"/>
        <w:spacing w:after="0" w:line="26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2" w:lineRule="exact"/>
        <w:rPr>
          <w:sz w:val="24"/>
          <w:szCs w:val="24"/>
          <w:color w:val="auto"/>
        </w:rPr>
      </w:pPr>
    </w:p>
    <w:p>
      <w:pPr>
        <w:ind w:left="180" w:right="480"/>
        <w:spacing w:after="0" w:line="200"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332" w:lineRule="exact"/>
        <w:rPr>
          <w:sz w:val="24"/>
          <w:szCs w:val="24"/>
          <w:color w:val="auto"/>
        </w:rPr>
      </w:pPr>
    </w:p>
    <w:p>
      <w:pPr>
        <w:ind w:left="180" w:right="2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180" w:right="1880"/>
        <w:spacing w:after="0" w:line="262"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Number of shares of Common Stock outstanding as of August 28, 2020: 104,391,265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434340</wp:posOffset>
            </wp:positionV>
            <wp:extent cx="639508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9508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13970</wp:posOffset>
            </wp:positionV>
            <wp:extent cx="63950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950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57150</wp:posOffset>
            </wp:positionV>
            <wp:extent cx="639508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95085" cy="34290"/>
                    </a:xfrm>
                    <a:prstGeom prst="rect">
                      <a:avLst/>
                    </a:prstGeom>
                    <a:noFill/>
                  </pic:spPr>
                </pic:pic>
              </a:graphicData>
            </a:graphic>
          </wp:anchor>
        </w:drawing>
      </w:r>
    </w:p>
    <w:p>
      <w:pPr>
        <w:sectPr>
          <w:pgSz w:w="11900" w:h="16838" w:orient="portrait"/>
          <w:cols w:equalWidth="0" w:num="1">
            <w:col w:w="10080"/>
          </w:cols>
          <w:pgMar w:left="980" w:top="661" w:right="839" w:bottom="1440" w:gutter="0" w:footer="0" w:header="0"/>
          <w:type w:val="continuous"/>
        </w:sectPr>
      </w:pPr>
    </w:p>
    <w:bookmarkStart w:id="1" w:name="page2"/>
    <w:bookmarkEnd w:id="1"/>
    <w:p>
      <w:pPr>
        <w:ind w:left="8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694690</wp:posOffset>
            </wp:positionV>
            <wp:extent cx="1834515" cy="214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40" w:type="dxa"/>
            <w:vAlign w:val="bottom"/>
            <w:gridSpan w:val="2"/>
          </w:tcPr>
          <w:p>
            <w:pPr>
              <w:ind w:left="96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79"/>
        </w:trPr>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Page</w:t>
            </w:r>
          </w:p>
        </w:tc>
      </w:tr>
      <w:tr>
        <w:trPr>
          <w:trHeight w:val="237"/>
        </w:trPr>
        <w:tc>
          <w:tcPr>
            <w:tcW w:w="760" w:type="dxa"/>
            <w:vAlign w:val="bottom"/>
            <w:tcBorders>
              <w:top w:val="single" w:sz="8" w:color="CCEEFF"/>
            </w:tcBorders>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u w:val="single" w:color="auto"/>
                  <w:color w:val="0000EE"/>
                </w:rPr>
                <w:t>PART</w:t>
              </w:r>
              <w:r>
                <w:rPr>
                  <w:rFonts w:ascii="Arial" w:cs="Arial" w:eastAsia="Arial" w:hAnsi="Arial"/>
                  <w:sz w:val="18"/>
                  <w:szCs w:val="18"/>
                  <w:color w:val="0000EE"/>
                </w:rPr>
                <w:t xml:space="preserve"> I</w:t>
              </w:r>
            </w:hyperlink>
          </w:p>
        </w:tc>
        <w:tc>
          <w:tcPr>
            <w:tcW w:w="7380" w:type="dxa"/>
            <w:vAlign w:val="bottom"/>
            <w:tcBorders>
              <w:top w:val="single" w:sz="8" w:color="CCEEFF"/>
            </w:tcBorders>
            <w:gridSpan w:val="4"/>
            <w:shd w:val="clear" w:color="auto" w:fill="CCEEFF"/>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INFORMATION</w:t>
              </w:r>
            </w:hyperlink>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20"/>
                <w:szCs w:val="20"/>
                <w:color w:val="auto"/>
              </w:rPr>
            </w:pPr>
          </w:p>
        </w:tc>
      </w:tr>
      <w:tr>
        <w:trPr>
          <w:trHeight w:val="243"/>
        </w:trPr>
        <w:tc>
          <w:tcPr>
            <w:tcW w:w="760" w:type="dxa"/>
            <w:vAlign w:val="bottom"/>
          </w:tcPr>
          <w:p>
            <w:pPr>
              <w:spacing w:after="0"/>
              <w:rPr>
                <w:sz w:val="21"/>
                <w:szCs w:val="21"/>
                <w:color w:val="auto"/>
              </w:rPr>
            </w:pPr>
          </w:p>
        </w:tc>
        <w:tc>
          <w:tcPr>
            <w:tcW w:w="86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tc>
        <w:tc>
          <w:tcPr>
            <w:tcW w:w="6520" w:type="dxa"/>
            <w:vAlign w:val="bottom"/>
            <w:gridSpan w:val="3"/>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21"/>
                <w:szCs w:val="21"/>
                <w:color w:val="auto"/>
              </w:rPr>
            </w:pPr>
          </w:p>
        </w:tc>
      </w:tr>
      <w:tr>
        <w:trPr>
          <w:trHeight w:val="243"/>
        </w:trPr>
        <w:tc>
          <w:tcPr>
            <w:tcW w:w="7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520" w:type="dxa"/>
            <w:vAlign w:val="bottom"/>
            <w:gridSpan w:val="3"/>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w:t>
              </w:r>
            </w:hyperlink>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21"/>
                <w:szCs w:val="21"/>
                <w:color w:val="auto"/>
              </w:rPr>
            </w:pPr>
          </w:p>
        </w:tc>
      </w:tr>
      <w:tr>
        <w:trPr>
          <w:trHeight w:val="243"/>
        </w:trPr>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52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1"/>
                <w:szCs w:val="21"/>
                <w:color w:val="auto"/>
              </w:rPr>
            </w:pPr>
          </w:p>
        </w:tc>
      </w:tr>
      <w:tr>
        <w:trPr>
          <w:trHeight w:val="243"/>
        </w:trPr>
        <w:tc>
          <w:tcPr>
            <w:tcW w:w="7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520" w:type="dxa"/>
            <w:vAlign w:val="bottom"/>
            <w:gridSpan w:val="3"/>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Comprehensive (Loss) Income</w:t>
              </w:r>
            </w:hyperlink>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21"/>
                <w:szCs w:val="21"/>
                <w:color w:val="auto"/>
              </w:rPr>
            </w:pPr>
          </w:p>
        </w:tc>
      </w:tr>
      <w:tr>
        <w:trPr>
          <w:trHeight w:val="243"/>
        </w:trPr>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520" w:type="dxa"/>
            <w:vAlign w:val="bottom"/>
            <w:gridSpan w:val="3"/>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Changes in Shareholders’ Equity</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21"/>
                <w:szCs w:val="21"/>
                <w:color w:val="auto"/>
              </w:rPr>
            </w:pPr>
          </w:p>
        </w:tc>
      </w:tr>
      <w:tr>
        <w:trPr>
          <w:trHeight w:val="243"/>
        </w:trPr>
        <w:tc>
          <w:tcPr>
            <w:tcW w:w="7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520" w:type="dxa"/>
            <w:vAlign w:val="bottom"/>
            <w:gridSpan w:val="3"/>
            <w:shd w:val="clear" w:color="auto" w:fill="CCEEFF"/>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w:t>
              </w:r>
            </w:hyperlink>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0" w:type="dxa"/>
            <w:vAlign w:val="bottom"/>
          </w:tcPr>
          <w:p>
            <w:pPr>
              <w:spacing w:after="0"/>
              <w:rPr>
                <w:sz w:val="21"/>
                <w:szCs w:val="21"/>
                <w:color w:val="auto"/>
              </w:rPr>
            </w:pPr>
          </w:p>
        </w:tc>
      </w:tr>
      <w:tr>
        <w:trPr>
          <w:trHeight w:val="243"/>
        </w:trPr>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520" w:type="dxa"/>
            <w:vAlign w:val="bottom"/>
            <w:gridSpan w:val="3"/>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Condensed Consolidated Financial Statements</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0" w:type="dxa"/>
            <w:vAlign w:val="bottom"/>
          </w:tcPr>
          <w:p>
            <w:pPr>
              <w:spacing w:after="0"/>
              <w:rPr>
                <w:sz w:val="21"/>
                <w:szCs w:val="21"/>
                <w:color w:val="auto"/>
              </w:rPr>
            </w:pPr>
          </w:p>
        </w:tc>
      </w:tr>
      <w:tr>
        <w:trPr>
          <w:trHeight w:val="176"/>
        </w:trPr>
        <w:tc>
          <w:tcPr>
            <w:tcW w:w="760" w:type="dxa"/>
            <w:vAlign w:val="bottom"/>
            <w:shd w:val="clear" w:color="auto" w:fill="CCEEFF"/>
          </w:tcPr>
          <w:p>
            <w:pPr>
              <w:spacing w:after="0"/>
              <w:rPr>
                <w:sz w:val="15"/>
                <w:szCs w:val="15"/>
                <w:color w:val="auto"/>
              </w:rPr>
            </w:pPr>
          </w:p>
        </w:tc>
        <w:tc>
          <w:tcPr>
            <w:tcW w:w="860" w:type="dxa"/>
            <w:vAlign w:val="bottom"/>
            <w:shd w:val="clear" w:color="auto" w:fill="CCEEFF"/>
          </w:tcPr>
          <w:p>
            <w:pPr>
              <w:ind w:left="120"/>
              <w:spacing w:after="0" w:line="176" w:lineRule="exact"/>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2.</w:t>
              </w:r>
            </w:hyperlink>
          </w:p>
        </w:tc>
        <w:tc>
          <w:tcPr>
            <w:tcW w:w="6520" w:type="dxa"/>
            <w:vAlign w:val="bottom"/>
            <w:gridSpan w:val="3"/>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19</w:t>
            </w:r>
          </w:p>
        </w:tc>
        <w:tc>
          <w:tcPr>
            <w:tcW w:w="20" w:type="dxa"/>
            <w:vAlign w:val="bottom"/>
          </w:tcPr>
          <w:p>
            <w:pPr>
              <w:spacing w:after="0"/>
              <w:rPr>
                <w:sz w:val="15"/>
                <w:szCs w:val="15"/>
                <w:color w:val="auto"/>
              </w:rPr>
            </w:pPr>
          </w:p>
        </w:tc>
      </w:tr>
      <w:tr>
        <w:trPr>
          <w:trHeight w:val="183"/>
        </w:trPr>
        <w:tc>
          <w:tcPr>
            <w:tcW w:w="7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6160" w:type="dxa"/>
            <w:vAlign w:val="bottom"/>
            <w:tcBorders>
              <w:top w:val="single" w:sz="8" w:color="0000EE"/>
            </w:tcBorders>
            <w:gridSpan w:val="2"/>
            <w:shd w:val="clear" w:color="auto" w:fill="CCEEFF"/>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Operations</w:t>
              </w:r>
            </w:hyperlink>
          </w:p>
        </w:tc>
        <w:tc>
          <w:tcPr>
            <w:tcW w:w="3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7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0000EE"/>
            </w:tcBorders>
            <w:shd w:val="clear" w:color="auto" w:fill="CCEEFF"/>
          </w:tcPr>
          <w:p>
            <w:pPr>
              <w:spacing w:after="0"/>
              <w:rPr>
                <w:sz w:val="4"/>
                <w:szCs w:val="4"/>
                <w:color w:val="auto"/>
              </w:rPr>
            </w:pPr>
          </w:p>
        </w:tc>
        <w:tc>
          <w:tcPr>
            <w:tcW w:w="52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760" w:type="dxa"/>
            <w:vAlign w:val="bottom"/>
          </w:tcPr>
          <w:p>
            <w:pPr>
              <w:spacing w:after="0"/>
              <w:rPr>
                <w:sz w:val="21"/>
                <w:szCs w:val="21"/>
                <w:color w:val="auto"/>
              </w:rPr>
            </w:pPr>
          </w:p>
        </w:tc>
        <w:tc>
          <w:tcPr>
            <w:tcW w:w="860" w:type="dxa"/>
            <w:vAlign w:val="bottom"/>
          </w:tcPr>
          <w:p>
            <w:pPr>
              <w:ind w:left="1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4.</w:t>
              </w:r>
            </w:hyperlink>
          </w:p>
        </w:tc>
        <w:tc>
          <w:tcPr>
            <w:tcW w:w="6520" w:type="dxa"/>
            <w:vAlign w:val="bottom"/>
            <w:gridSpan w:val="3"/>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Controls and Procedures</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30</w:t>
            </w:r>
          </w:p>
        </w:tc>
        <w:tc>
          <w:tcPr>
            <w:tcW w:w="20" w:type="dxa"/>
            <w:vAlign w:val="bottom"/>
          </w:tcPr>
          <w:p>
            <w:pPr>
              <w:spacing w:after="0"/>
              <w:rPr>
                <w:sz w:val="21"/>
                <w:szCs w:val="21"/>
                <w:color w:val="auto"/>
              </w:rPr>
            </w:pPr>
          </w:p>
        </w:tc>
      </w:tr>
      <w:tr>
        <w:trPr>
          <w:trHeight w:val="203"/>
        </w:trPr>
        <w:tc>
          <w:tcPr>
            <w:tcW w:w="76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spacing w:after="0"/>
              <w:rPr>
                <w:sz w:val="17"/>
                <w:szCs w:val="17"/>
                <w:color w:val="auto"/>
              </w:rPr>
            </w:pPr>
          </w:p>
        </w:tc>
        <w:tc>
          <w:tcPr>
            <w:tcW w:w="5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76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PART II</w:t>
              </w:r>
            </w:hyperlink>
          </w:p>
        </w:tc>
        <w:tc>
          <w:tcPr>
            <w:tcW w:w="7380" w:type="dxa"/>
            <w:vAlign w:val="bottom"/>
            <w:gridSpan w:val="4"/>
          </w:tcPr>
          <w:p>
            <w:pPr>
              <w:ind w:left="1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OTHER INFORMATION</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31</w:t>
            </w:r>
          </w:p>
        </w:tc>
        <w:tc>
          <w:tcPr>
            <w:tcW w:w="20" w:type="dxa"/>
            <w:vAlign w:val="bottom"/>
          </w:tcPr>
          <w:p>
            <w:pPr>
              <w:spacing w:after="0"/>
              <w:rPr>
                <w:sz w:val="21"/>
                <w:szCs w:val="21"/>
                <w:color w:val="auto"/>
              </w:rPr>
            </w:pPr>
          </w:p>
        </w:tc>
      </w:tr>
      <w:tr>
        <w:trPr>
          <w:trHeight w:val="243"/>
        </w:trPr>
        <w:tc>
          <w:tcPr>
            <w:tcW w:w="760" w:type="dxa"/>
            <w:vAlign w:val="bottom"/>
            <w:shd w:val="clear" w:color="auto" w:fill="CCEEFF"/>
          </w:tcPr>
          <w:p>
            <w:pPr>
              <w:spacing w:after="0"/>
              <w:rPr>
                <w:sz w:val="21"/>
                <w:szCs w:val="21"/>
                <w:color w:val="auto"/>
              </w:rPr>
            </w:pPr>
          </w:p>
        </w:tc>
        <w:tc>
          <w:tcPr>
            <w:tcW w:w="860" w:type="dxa"/>
            <w:vAlign w:val="bottom"/>
            <w:shd w:val="clear" w:color="auto" w:fill="CCEEFF"/>
          </w:tcPr>
          <w:p>
            <w:pPr>
              <w:ind w:left="1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1.</w:t>
              </w:r>
            </w:hyperlink>
          </w:p>
        </w:tc>
        <w:tc>
          <w:tcPr>
            <w:tcW w:w="6520" w:type="dxa"/>
            <w:vAlign w:val="bottom"/>
            <w:gridSpan w:val="3"/>
            <w:shd w:val="clear" w:color="auto" w:fill="CCEEFF"/>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Legal Proceedings</w:t>
              </w:r>
            </w:hyperlink>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31</w:t>
            </w:r>
          </w:p>
        </w:tc>
        <w:tc>
          <w:tcPr>
            <w:tcW w:w="20" w:type="dxa"/>
            <w:vAlign w:val="bottom"/>
          </w:tcPr>
          <w:p>
            <w:pPr>
              <w:spacing w:after="0"/>
              <w:rPr>
                <w:sz w:val="21"/>
                <w:szCs w:val="21"/>
                <w:color w:val="auto"/>
              </w:rPr>
            </w:pPr>
          </w:p>
        </w:tc>
      </w:tr>
      <w:tr>
        <w:trPr>
          <w:trHeight w:val="243"/>
        </w:trPr>
        <w:tc>
          <w:tcPr>
            <w:tcW w:w="760" w:type="dxa"/>
            <w:vAlign w:val="bottom"/>
          </w:tcPr>
          <w:p>
            <w:pPr>
              <w:spacing w:after="0"/>
              <w:rPr>
                <w:sz w:val="21"/>
                <w:szCs w:val="21"/>
                <w:color w:val="auto"/>
              </w:rPr>
            </w:pPr>
          </w:p>
        </w:tc>
        <w:tc>
          <w:tcPr>
            <w:tcW w:w="860" w:type="dxa"/>
            <w:vAlign w:val="bottom"/>
          </w:tcPr>
          <w:p>
            <w:pPr>
              <w:ind w:left="1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1A.</w:t>
              </w:r>
            </w:hyperlink>
          </w:p>
        </w:tc>
        <w:tc>
          <w:tcPr>
            <w:tcW w:w="6520" w:type="dxa"/>
            <w:vAlign w:val="bottom"/>
            <w:gridSpan w:val="3"/>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Risk Factors</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31</w:t>
            </w:r>
          </w:p>
        </w:tc>
        <w:tc>
          <w:tcPr>
            <w:tcW w:w="20" w:type="dxa"/>
            <w:vAlign w:val="bottom"/>
          </w:tcPr>
          <w:p>
            <w:pPr>
              <w:spacing w:after="0"/>
              <w:rPr>
                <w:sz w:val="21"/>
                <w:szCs w:val="21"/>
                <w:color w:val="auto"/>
              </w:rPr>
            </w:pPr>
          </w:p>
        </w:tc>
      </w:tr>
      <w:tr>
        <w:trPr>
          <w:trHeight w:val="243"/>
        </w:trPr>
        <w:tc>
          <w:tcPr>
            <w:tcW w:w="760" w:type="dxa"/>
            <w:vAlign w:val="bottom"/>
            <w:shd w:val="clear" w:color="auto" w:fill="CCEEFF"/>
          </w:tcPr>
          <w:p>
            <w:pPr>
              <w:spacing w:after="0"/>
              <w:rPr>
                <w:sz w:val="21"/>
                <w:szCs w:val="21"/>
                <w:color w:val="auto"/>
              </w:rPr>
            </w:pPr>
          </w:p>
        </w:tc>
        <w:tc>
          <w:tcPr>
            <w:tcW w:w="860" w:type="dxa"/>
            <w:vAlign w:val="bottom"/>
            <w:shd w:val="clear" w:color="auto" w:fill="CCEEFF"/>
          </w:tcPr>
          <w:p>
            <w:pPr>
              <w:ind w:left="1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2.</w:t>
              </w:r>
            </w:hyperlink>
          </w:p>
        </w:tc>
        <w:tc>
          <w:tcPr>
            <w:tcW w:w="6520" w:type="dxa"/>
            <w:vAlign w:val="bottom"/>
            <w:gridSpan w:val="3"/>
            <w:shd w:val="clear" w:color="auto" w:fill="CCEEFF"/>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Unregistered Sales of Equity Securities and Use of Proceeds</w:t>
              </w:r>
            </w:hyperlink>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31</w:t>
            </w:r>
          </w:p>
        </w:tc>
        <w:tc>
          <w:tcPr>
            <w:tcW w:w="20" w:type="dxa"/>
            <w:vAlign w:val="bottom"/>
          </w:tcPr>
          <w:p>
            <w:pPr>
              <w:spacing w:after="0"/>
              <w:rPr>
                <w:sz w:val="21"/>
                <w:szCs w:val="21"/>
                <w:color w:val="auto"/>
              </w:rPr>
            </w:pPr>
          </w:p>
        </w:tc>
      </w:tr>
      <w:tr>
        <w:trPr>
          <w:trHeight w:val="243"/>
        </w:trPr>
        <w:tc>
          <w:tcPr>
            <w:tcW w:w="760" w:type="dxa"/>
            <w:vAlign w:val="bottom"/>
          </w:tcPr>
          <w:p>
            <w:pPr>
              <w:spacing w:after="0"/>
              <w:rPr>
                <w:sz w:val="21"/>
                <w:szCs w:val="21"/>
                <w:color w:val="auto"/>
              </w:rPr>
            </w:pPr>
          </w:p>
        </w:tc>
        <w:tc>
          <w:tcPr>
            <w:tcW w:w="860" w:type="dxa"/>
            <w:vAlign w:val="bottom"/>
          </w:tcPr>
          <w:p>
            <w:pPr>
              <w:ind w:left="1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6.</w:t>
              </w:r>
            </w:hyperlink>
          </w:p>
        </w:tc>
        <w:tc>
          <w:tcPr>
            <w:tcW w:w="6520" w:type="dxa"/>
            <w:vAlign w:val="bottom"/>
            <w:gridSpan w:val="3"/>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Exhibits</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32</w:t>
            </w:r>
          </w:p>
        </w:tc>
        <w:tc>
          <w:tcPr>
            <w:tcW w:w="20" w:type="dxa"/>
            <w:vAlign w:val="bottom"/>
          </w:tcPr>
          <w:p>
            <w:pPr>
              <w:spacing w:after="0"/>
              <w:rPr>
                <w:sz w:val="21"/>
                <w:szCs w:val="21"/>
                <w:color w:val="auto"/>
              </w:rPr>
            </w:pPr>
          </w:p>
        </w:tc>
      </w:tr>
      <w:tr>
        <w:trPr>
          <w:trHeight w:val="203"/>
        </w:trPr>
        <w:tc>
          <w:tcPr>
            <w:tcW w:w="1620" w:type="dxa"/>
            <w:vAlign w:val="bottom"/>
            <w:gridSpan w:val="2"/>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1620" w:type="dxa"/>
            <w:vAlign w:val="bottom"/>
            <w:gridSpan w:val="2"/>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SIGNATURE</w:t>
              </w:r>
            </w:hyperlink>
          </w:p>
        </w:tc>
        <w:tc>
          <w:tcPr>
            <w:tcW w:w="88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33</w:t>
            </w:r>
          </w:p>
        </w:tc>
        <w:tc>
          <w:tcPr>
            <w:tcW w:w="20" w:type="dxa"/>
            <w:vAlign w:val="bottom"/>
          </w:tcPr>
          <w:p>
            <w:pPr>
              <w:spacing w:after="0"/>
              <w:rPr>
                <w:sz w:val="21"/>
                <w:szCs w:val="21"/>
                <w:color w:val="auto"/>
              </w:rPr>
            </w:pPr>
          </w:p>
        </w:tc>
      </w:tr>
      <w:tr>
        <w:trPr>
          <w:trHeight w:val="1222"/>
        </w:trPr>
        <w:tc>
          <w:tcPr>
            <w:tcW w:w="7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8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0" w:lineRule="exact"/>
        <w:rPr>
          <w:sz w:val="20"/>
          <w:szCs w:val="20"/>
          <w:color w:val="auto"/>
        </w:rPr>
      </w:pPr>
    </w:p>
    <w:p>
      <w:pPr>
        <w:jc w:val="both"/>
        <w:ind w:left="80" w:right="99"/>
        <w:spacing w:after="0" w:line="237" w:lineRule="auto"/>
        <w:rPr>
          <w:sz w:val="20"/>
          <w:szCs w:val="20"/>
          <w:color w:val="auto"/>
        </w:rPr>
      </w:pPr>
      <w:r>
        <w:rPr>
          <w:rFonts w:ascii="Arial" w:cs="Arial" w:eastAsia="Arial" w:hAnsi="Arial"/>
          <w:sz w:val="18"/>
          <w:szCs w:val="18"/>
          <w:color w:val="auto"/>
        </w:rPr>
        <w:t>This Quarterly Report on Form 10-Q includes “forward-looking” statements within the meaning of the Private Securities Litigation Reform Act of 1995. Forward-looking statements can be identified by the fact that they do not relate strictly to historical or current facts. They often include words such as “believes,” “expects,” “anticipates,” “estimates,” “intends,” “plans,” “seeks,” “continues,” “feels,” “forecasts,” or words of similar meaning, or future or conditional verbs, such as “will,” “should,” “could,” “may,” “aims,” “intends,” or “projects.” These statements include statements relating to trends in or expectations relating to the expected effects of our initiatives, strategies and plans, as well as trends in or expectations regarding our financial results and long-term growth model and drivers, tax rates, business opportunities and expansion, strategic acquisitions or investments, expenses, dividends, share repurchases, and our mitigation strategies, liquidity, cash flow from operations, use of cash and cash requirements, investments, borrowing capacity and use of proceeds, repatriation of cash to the U.S., and the effects of the coronavirus pandemic (COVID-19) and recent social unrest on our financial results. A forward-looking statement is neither a prediction nor a guarantee of future events or circumstances, and those future events or circumstances may not occur. You should not place undue reliance on forward-looking statements, which speak to our views only as of the date of this filing. These forward-looking statements are all based on currently available operating, financial, and competitive information and are subject to various risks and uncertainties, many of which are unforeseeable and beyond our control, such as the ongoing uncertainty caused by the COVID-19 pandemic and social unrest. Additional risks and uncertainties that we do not presently know about or that we currently consider to be insignificant may also affect our business operations and financial performance.</w:t>
      </w:r>
    </w:p>
    <w:p>
      <w:pPr>
        <w:spacing w:after="0" w:line="166" w:lineRule="exact"/>
        <w:rPr>
          <w:sz w:val="20"/>
          <w:szCs w:val="20"/>
          <w:color w:val="auto"/>
        </w:rPr>
      </w:pPr>
    </w:p>
    <w:p>
      <w:pPr>
        <w:jc w:val="both"/>
        <w:ind w:left="80" w:right="99"/>
        <w:spacing w:after="0"/>
        <w:rPr>
          <w:sz w:val="20"/>
          <w:szCs w:val="20"/>
          <w:color w:val="auto"/>
        </w:rPr>
      </w:pPr>
      <w:r>
        <w:rPr>
          <w:rFonts w:ascii="Arial" w:cs="Arial" w:eastAsia="Arial" w:hAnsi="Arial"/>
          <w:sz w:val="18"/>
          <w:szCs w:val="18"/>
          <w:color w:val="auto"/>
        </w:rPr>
        <w:t>Please refer to “Item 1A. Risk Factors” of our most recent Annual Report on Form 10-K filed with the Securities and Exchange Commission and “Item 1A Risk Factors” included in this Form 10-Q. Given these risks and uncertainties, you should not rely on forward-looking statements as a prediction of actual results. Any or all of the forward-looking statements contained in this report or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617220</wp:posOffset>
            </wp:positionV>
            <wp:extent cx="56064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148590</wp:posOffset>
            </wp:positionV>
            <wp:extent cx="1834515"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295"/>
              <w:spacing w:after="0"/>
              <w:rPr>
                <w:sz w:val="20"/>
                <w:szCs w:val="20"/>
                <w:color w:val="auto"/>
              </w:rPr>
            </w:pPr>
            <w:r>
              <w:rPr>
                <w:rFonts w:ascii="Arial" w:cs="Arial" w:eastAsia="Arial" w:hAnsi="Arial"/>
                <w:sz w:val="17"/>
                <w:szCs w:val="17"/>
                <w:b w:val="1"/>
                <w:bCs w:val="1"/>
                <w:color w:val="auto"/>
              </w:rPr>
              <w:t>August 1,</w:t>
            </w:r>
          </w:p>
        </w:tc>
        <w:tc>
          <w:tcPr>
            <w:tcW w:w="300" w:type="dxa"/>
            <w:vAlign w:val="bottom"/>
          </w:tcPr>
          <w:p>
            <w:pPr>
              <w:spacing w:after="0"/>
              <w:rPr>
                <w:sz w:val="16"/>
                <w:szCs w:val="16"/>
                <w:color w:val="auto"/>
              </w:rPr>
            </w:pPr>
          </w:p>
        </w:tc>
        <w:tc>
          <w:tcPr>
            <w:tcW w:w="1260" w:type="dxa"/>
            <w:vAlign w:val="bottom"/>
          </w:tcPr>
          <w:p>
            <w:pPr>
              <w:jc w:val="right"/>
              <w:ind w:right="295"/>
              <w:spacing w:after="0"/>
              <w:rPr>
                <w:sz w:val="20"/>
                <w:szCs w:val="20"/>
                <w:color w:val="auto"/>
              </w:rPr>
            </w:pPr>
            <w:r>
              <w:rPr>
                <w:rFonts w:ascii="Arial" w:cs="Arial" w:eastAsia="Arial" w:hAnsi="Arial"/>
                <w:sz w:val="17"/>
                <w:szCs w:val="17"/>
                <w:b w:val="1"/>
                <w:bCs w:val="1"/>
                <w:color w:val="auto"/>
              </w:rPr>
              <w:t>August 3,</w:t>
            </w:r>
          </w:p>
        </w:tc>
        <w:tc>
          <w:tcPr>
            <w:tcW w:w="280" w:type="dxa"/>
            <w:vAlign w:val="bottom"/>
          </w:tcPr>
          <w:p>
            <w:pPr>
              <w:spacing w:after="0"/>
              <w:rPr>
                <w:sz w:val="16"/>
                <w:szCs w:val="16"/>
                <w:color w:val="auto"/>
              </w:rPr>
            </w:pPr>
          </w:p>
        </w:tc>
        <w:tc>
          <w:tcPr>
            <w:tcW w:w="1440" w:type="dxa"/>
            <w:vAlign w:val="bottom"/>
          </w:tcPr>
          <w:p>
            <w:pPr>
              <w:jc w:val="right"/>
              <w:ind w:right="375"/>
              <w:spacing w:after="0"/>
              <w:rPr>
                <w:sz w:val="20"/>
                <w:szCs w:val="20"/>
                <w:color w:val="auto"/>
              </w:rPr>
            </w:pPr>
            <w:r>
              <w:rPr>
                <w:rFonts w:ascii="Arial" w:cs="Arial" w:eastAsia="Arial" w:hAnsi="Arial"/>
                <w:sz w:val="17"/>
                <w:szCs w:val="17"/>
                <w:b w:val="1"/>
                <w:bCs w:val="1"/>
                <w:color w:val="auto"/>
              </w:rPr>
              <w:t>February 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2020</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ind w:right="95"/>
              <w:spacing w:after="0" w:line="154" w:lineRule="exact"/>
              <w:rPr>
                <w:sz w:val="20"/>
                <w:szCs w:val="20"/>
                <w:color w:val="auto"/>
              </w:rPr>
            </w:pPr>
            <w:r>
              <w:rPr>
                <w:rFonts w:ascii="Arial" w:cs="Arial" w:eastAsia="Arial" w:hAnsi="Arial"/>
                <w:sz w:val="17"/>
                <w:szCs w:val="17"/>
                <w:b w:val="1"/>
                <w:bCs w:val="1"/>
                <w:color w:val="auto"/>
              </w:rPr>
              <w:t>(Unaudited)</w:t>
            </w:r>
          </w:p>
        </w:tc>
        <w:tc>
          <w:tcPr>
            <w:tcW w:w="300" w:type="dxa"/>
            <w:vAlign w:val="bottom"/>
          </w:tcPr>
          <w:p>
            <w:pPr>
              <w:spacing w:after="0"/>
              <w:rPr>
                <w:sz w:val="13"/>
                <w:szCs w:val="13"/>
                <w:color w:val="auto"/>
              </w:rPr>
            </w:pPr>
          </w:p>
        </w:tc>
        <w:tc>
          <w:tcPr>
            <w:tcW w:w="1260" w:type="dxa"/>
            <w:vAlign w:val="bottom"/>
          </w:tcPr>
          <w:p>
            <w:pPr>
              <w:jc w:val="right"/>
              <w:ind w:right="95"/>
              <w:spacing w:after="0" w:line="154" w:lineRule="exact"/>
              <w:rPr>
                <w:sz w:val="20"/>
                <w:szCs w:val="20"/>
                <w:color w:val="auto"/>
              </w:rPr>
            </w:pPr>
            <w:r>
              <w:rPr>
                <w:rFonts w:ascii="Arial" w:cs="Arial" w:eastAsia="Arial" w:hAnsi="Arial"/>
                <w:sz w:val="17"/>
                <w:szCs w:val="17"/>
                <w:b w:val="1"/>
                <w:bCs w:val="1"/>
                <w:color w:val="auto"/>
              </w:rPr>
              <w:t>(Unaudited)</w:t>
            </w:r>
          </w:p>
        </w:tc>
        <w:tc>
          <w:tcPr>
            <w:tcW w:w="280" w:type="dxa"/>
            <w:vAlign w:val="bottom"/>
          </w:tcPr>
          <w:p>
            <w:pPr>
              <w:spacing w:after="0"/>
              <w:rPr>
                <w:sz w:val="13"/>
                <w:szCs w:val="13"/>
                <w:color w:val="auto"/>
              </w:rPr>
            </w:pPr>
          </w:p>
        </w:tc>
        <w:tc>
          <w:tcPr>
            <w:tcW w:w="1440" w:type="dxa"/>
            <w:vAlign w:val="bottom"/>
          </w:tcPr>
          <w:p>
            <w:pPr>
              <w:jc w:val="right"/>
              <w:ind w:right="695"/>
              <w:spacing w:after="0" w:line="154"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 in millions)</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 assets: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Pr>
          <w:p>
            <w:pPr>
              <w:ind w:left="80"/>
              <w:spacing w:after="0" w:line="189" w:lineRule="exact"/>
              <w:rPr>
                <w:sz w:val="20"/>
                <w:szCs w:val="20"/>
                <w:color w:val="auto"/>
              </w:rPr>
            </w:pPr>
            <w:r>
              <w:rPr>
                <w:rFonts w:ascii="Arial" w:cs="Arial" w:eastAsia="Arial" w:hAnsi="Arial"/>
                <w:sz w:val="17"/>
                <w:szCs w:val="17"/>
                <w:color w:val="auto"/>
              </w:rPr>
              <w:t>Cash and cash equivalents</w:t>
            </w:r>
          </w:p>
        </w:tc>
        <w:tc>
          <w:tcPr>
            <w:tcW w:w="3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1,373</w:t>
            </w:r>
          </w:p>
        </w:tc>
        <w:tc>
          <w:tcPr>
            <w:tcW w:w="30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939</w:t>
            </w:r>
          </w:p>
        </w:tc>
        <w:tc>
          <w:tcPr>
            <w:tcW w:w="2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440" w:type="dxa"/>
            <w:vAlign w:val="bottom"/>
          </w:tcPr>
          <w:p>
            <w:pPr>
              <w:jc w:val="right"/>
              <w:ind w:right="215"/>
              <w:spacing w:after="0" w:line="189" w:lineRule="exact"/>
              <w:rPr>
                <w:sz w:val="20"/>
                <w:szCs w:val="20"/>
                <w:color w:val="auto"/>
              </w:rPr>
            </w:pPr>
            <w:r>
              <w:rPr>
                <w:rFonts w:ascii="Arial" w:cs="Arial" w:eastAsia="Arial" w:hAnsi="Arial"/>
                <w:sz w:val="17"/>
                <w:szCs w:val="17"/>
                <w:color w:val="auto"/>
              </w:rPr>
              <w:t>907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Merchandise inventories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1,194</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1,227</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1,208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Borders>
              <w:bottom w:val="single" w:sz="8" w:color="auto"/>
            </w:tcBorders>
          </w:tcPr>
          <w:p>
            <w:pPr>
              <w:ind w:left="80"/>
              <w:spacing w:after="0" w:line="189" w:lineRule="exact"/>
              <w:rPr>
                <w:sz w:val="20"/>
                <w:szCs w:val="20"/>
                <w:color w:val="auto"/>
              </w:rPr>
            </w:pPr>
            <w:r>
              <w:rPr>
                <w:rFonts w:ascii="Arial" w:cs="Arial" w:eastAsia="Arial" w:hAnsi="Arial"/>
                <w:sz w:val="17"/>
                <w:szCs w:val="17"/>
                <w:color w:val="auto"/>
              </w:rPr>
              <w:t>Other current assets</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266</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280</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5"/>
              <w:spacing w:after="0" w:line="189" w:lineRule="exact"/>
              <w:rPr>
                <w:sz w:val="20"/>
                <w:szCs w:val="20"/>
                <w:color w:val="auto"/>
              </w:rPr>
            </w:pPr>
            <w:r>
              <w:rPr>
                <w:rFonts w:ascii="Arial" w:cs="Arial" w:eastAsia="Arial" w:hAnsi="Arial"/>
                <w:sz w:val="17"/>
                <w:szCs w:val="17"/>
                <w:color w:val="auto"/>
              </w:rPr>
              <w:t>271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2,833</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2,446</w:t>
            </w: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215"/>
              <w:spacing w:after="0" w:line="183" w:lineRule="exact"/>
              <w:rPr>
                <w:sz w:val="20"/>
                <w:szCs w:val="20"/>
                <w:color w:val="auto"/>
              </w:rPr>
            </w:pPr>
            <w:r>
              <w:rPr>
                <w:rFonts w:ascii="Arial" w:cs="Arial" w:eastAsia="Arial" w:hAnsi="Arial"/>
                <w:sz w:val="17"/>
                <w:szCs w:val="17"/>
                <w:color w:val="auto"/>
              </w:rPr>
              <w:t>2,386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Pr>
          <w:p>
            <w:pPr>
              <w:spacing w:after="0" w:line="189" w:lineRule="exact"/>
              <w:rPr>
                <w:sz w:val="20"/>
                <w:szCs w:val="20"/>
                <w:color w:val="auto"/>
              </w:rPr>
            </w:pPr>
            <w:r>
              <w:rPr>
                <w:rFonts w:ascii="Arial" w:cs="Arial" w:eastAsia="Arial" w:hAnsi="Arial"/>
                <w:sz w:val="17"/>
                <w:szCs w:val="17"/>
                <w:color w:val="auto"/>
              </w:rPr>
              <w:t>Property and equipment, net</w:t>
            </w:r>
          </w:p>
        </w:tc>
        <w:tc>
          <w:tcPr>
            <w:tcW w:w="380" w:type="dxa"/>
            <w:vAlign w:val="bottom"/>
          </w:tcPr>
          <w:p>
            <w:pPr>
              <w:spacing w:after="0"/>
              <w:rPr>
                <w:sz w:val="16"/>
                <w:szCs w:val="16"/>
                <w:color w:val="auto"/>
              </w:rPr>
            </w:pPr>
          </w:p>
        </w:tc>
        <w:tc>
          <w:tcPr>
            <w:tcW w:w="126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782</w:t>
            </w:r>
          </w:p>
        </w:tc>
        <w:tc>
          <w:tcPr>
            <w:tcW w:w="300" w:type="dxa"/>
            <w:vAlign w:val="bottom"/>
          </w:tcPr>
          <w:p>
            <w:pPr>
              <w:spacing w:after="0"/>
              <w:rPr>
                <w:sz w:val="16"/>
                <w:szCs w:val="16"/>
                <w:color w:val="auto"/>
              </w:rPr>
            </w:pP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796</w:t>
            </w:r>
          </w:p>
        </w:tc>
        <w:tc>
          <w:tcPr>
            <w:tcW w:w="280" w:type="dxa"/>
            <w:vAlign w:val="bottom"/>
          </w:tcPr>
          <w:p>
            <w:pPr>
              <w:spacing w:after="0"/>
              <w:rPr>
                <w:sz w:val="16"/>
                <w:szCs w:val="16"/>
                <w:color w:val="auto"/>
              </w:rPr>
            </w:pPr>
          </w:p>
        </w:tc>
        <w:tc>
          <w:tcPr>
            <w:tcW w:w="1440" w:type="dxa"/>
            <w:vAlign w:val="bottom"/>
          </w:tcPr>
          <w:p>
            <w:pPr>
              <w:jc w:val="right"/>
              <w:ind w:right="215"/>
              <w:spacing w:after="0" w:line="189" w:lineRule="exact"/>
              <w:rPr>
                <w:sz w:val="20"/>
                <w:szCs w:val="20"/>
                <w:color w:val="auto"/>
              </w:rPr>
            </w:pPr>
            <w:r>
              <w:rPr>
                <w:rFonts w:ascii="Arial" w:cs="Arial" w:eastAsia="Arial" w:hAnsi="Arial"/>
                <w:sz w:val="17"/>
                <w:szCs w:val="17"/>
                <w:color w:val="auto"/>
              </w:rPr>
              <w:t>824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lease right-of-use assets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2,810</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2,976</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2,899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Pr>
          <w:p>
            <w:pPr>
              <w:spacing w:after="0" w:line="189" w:lineRule="exact"/>
              <w:rPr>
                <w:sz w:val="20"/>
                <w:szCs w:val="20"/>
                <w:color w:val="auto"/>
              </w:rPr>
            </w:pPr>
            <w:r>
              <w:rPr>
                <w:rFonts w:ascii="Arial" w:cs="Arial" w:eastAsia="Arial" w:hAnsi="Arial"/>
                <w:sz w:val="17"/>
                <w:szCs w:val="17"/>
                <w:color w:val="auto"/>
              </w:rPr>
              <w:t>Deferred taxes</w:t>
            </w:r>
          </w:p>
        </w:tc>
        <w:tc>
          <w:tcPr>
            <w:tcW w:w="380" w:type="dxa"/>
            <w:vAlign w:val="bottom"/>
          </w:tcPr>
          <w:p>
            <w:pPr>
              <w:spacing w:after="0"/>
              <w:rPr>
                <w:sz w:val="16"/>
                <w:szCs w:val="16"/>
                <w:color w:val="auto"/>
              </w:rPr>
            </w:pP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70</w:t>
            </w:r>
          </w:p>
        </w:tc>
        <w:tc>
          <w:tcPr>
            <w:tcW w:w="300" w:type="dxa"/>
            <w:vAlign w:val="bottom"/>
          </w:tcPr>
          <w:p>
            <w:pPr>
              <w:spacing w:after="0"/>
              <w:rPr>
                <w:sz w:val="16"/>
                <w:szCs w:val="16"/>
                <w:color w:val="auto"/>
              </w:rPr>
            </w:pP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92</w:t>
            </w:r>
          </w:p>
        </w:tc>
        <w:tc>
          <w:tcPr>
            <w:tcW w:w="280" w:type="dxa"/>
            <w:vAlign w:val="bottom"/>
          </w:tcPr>
          <w:p>
            <w:pPr>
              <w:spacing w:after="0"/>
              <w:rPr>
                <w:sz w:val="16"/>
                <w:szCs w:val="16"/>
                <w:color w:val="auto"/>
              </w:rPr>
            </w:pPr>
          </w:p>
        </w:tc>
        <w:tc>
          <w:tcPr>
            <w:tcW w:w="1440" w:type="dxa"/>
            <w:vAlign w:val="bottom"/>
          </w:tcPr>
          <w:p>
            <w:pPr>
              <w:jc w:val="right"/>
              <w:ind w:right="215"/>
              <w:spacing w:after="0" w:line="189" w:lineRule="exact"/>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Goodwill</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158</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156</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Pr>
          <w:p>
            <w:pPr>
              <w:spacing w:after="0" w:line="189" w:lineRule="exact"/>
              <w:rPr>
                <w:sz w:val="20"/>
                <w:szCs w:val="20"/>
                <w:color w:val="auto"/>
              </w:rPr>
            </w:pPr>
            <w:r>
              <w:rPr>
                <w:rFonts w:ascii="Arial" w:cs="Arial" w:eastAsia="Arial" w:hAnsi="Arial"/>
                <w:sz w:val="17"/>
                <w:szCs w:val="17"/>
                <w:color w:val="auto"/>
              </w:rPr>
              <w:t>Other intangible assets, net</w:t>
            </w:r>
          </w:p>
        </w:tc>
        <w:tc>
          <w:tcPr>
            <w:tcW w:w="380" w:type="dxa"/>
            <w:vAlign w:val="bottom"/>
          </w:tcPr>
          <w:p>
            <w:pPr>
              <w:spacing w:after="0"/>
              <w:rPr>
                <w:sz w:val="16"/>
                <w:szCs w:val="16"/>
                <w:color w:val="auto"/>
              </w:rPr>
            </w:pP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19</w:t>
            </w:r>
          </w:p>
        </w:tc>
        <w:tc>
          <w:tcPr>
            <w:tcW w:w="300" w:type="dxa"/>
            <w:vAlign w:val="bottom"/>
          </w:tcPr>
          <w:p>
            <w:pPr>
              <w:spacing w:after="0"/>
              <w:rPr>
                <w:sz w:val="16"/>
                <w:szCs w:val="16"/>
                <w:color w:val="auto"/>
              </w:rPr>
            </w:pP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21</w:t>
            </w:r>
          </w:p>
        </w:tc>
        <w:tc>
          <w:tcPr>
            <w:tcW w:w="280" w:type="dxa"/>
            <w:vAlign w:val="bottom"/>
          </w:tcPr>
          <w:p>
            <w:pPr>
              <w:spacing w:after="0"/>
              <w:rPr>
                <w:sz w:val="16"/>
                <w:szCs w:val="16"/>
                <w:color w:val="auto"/>
              </w:rPr>
            </w:pPr>
          </w:p>
        </w:tc>
        <w:tc>
          <w:tcPr>
            <w:tcW w:w="1440" w:type="dxa"/>
            <w:vAlign w:val="bottom"/>
          </w:tcPr>
          <w:p>
            <w:pPr>
              <w:jc w:val="right"/>
              <w:ind w:right="215"/>
              <w:spacing w:after="0" w:line="189" w:lineRule="exact"/>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Other assets</w:t>
            </w: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240</w:t>
            </w:r>
          </w:p>
        </w:tc>
        <w:tc>
          <w:tcPr>
            <w:tcW w:w="3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233</w:t>
            </w:r>
          </w:p>
        </w:tc>
        <w:tc>
          <w:tcPr>
            <w:tcW w:w="2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6,912</w:t>
            </w:r>
          </w:p>
        </w:tc>
        <w:tc>
          <w:tcPr>
            <w:tcW w:w="30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6,720</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215"/>
              <w:spacing w:after="0" w:line="183" w:lineRule="exact"/>
              <w:rPr>
                <w:sz w:val="20"/>
                <w:szCs w:val="20"/>
                <w:color w:val="auto"/>
              </w:rPr>
            </w:pPr>
            <w:r>
              <w:rPr>
                <w:rFonts w:ascii="Arial" w:cs="Arial" w:eastAsia="Arial" w:hAnsi="Arial"/>
                <w:sz w:val="17"/>
                <w:szCs w:val="17"/>
                <w:color w:val="auto"/>
              </w:rPr>
              <w:t>6,589</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tcPr>
          <w:p>
            <w:pPr>
              <w:spacing w:after="0" w:line="189" w:lineRule="exact"/>
              <w:rPr>
                <w:sz w:val="20"/>
                <w:szCs w:val="20"/>
                <w:color w:val="auto"/>
              </w:rPr>
            </w:pPr>
            <w:r>
              <w:rPr>
                <w:rFonts w:ascii="Arial" w:cs="Arial" w:eastAsia="Arial" w:hAnsi="Arial"/>
                <w:sz w:val="17"/>
                <w:szCs w:val="17"/>
                <w:b w:val="1"/>
                <w:bCs w:val="1"/>
                <w:color w:val="auto"/>
              </w:rPr>
              <w:t>LIABILITIES AND SHAREHOLDERS’ EQUITY</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9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tcPr>
          <w:p>
            <w:pPr>
              <w:spacing w:after="0" w:line="189" w:lineRule="exact"/>
              <w:rPr>
                <w:sz w:val="20"/>
                <w:szCs w:val="20"/>
                <w:color w:val="auto"/>
              </w:rPr>
            </w:pPr>
            <w:r>
              <w:rPr>
                <w:rFonts w:ascii="Arial" w:cs="Arial" w:eastAsia="Arial" w:hAnsi="Arial"/>
                <w:sz w:val="17"/>
                <w:szCs w:val="17"/>
                <w:color w:val="auto"/>
              </w:rPr>
              <w:t>Current liabilities: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Accounts payable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630</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420</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Pr>
          <w:p>
            <w:pPr>
              <w:ind w:left="80"/>
              <w:spacing w:after="0" w:line="189" w:lineRule="exact"/>
              <w:rPr>
                <w:sz w:val="20"/>
                <w:szCs w:val="20"/>
                <w:color w:val="auto"/>
              </w:rPr>
            </w:pPr>
            <w:r>
              <w:rPr>
                <w:rFonts w:ascii="Arial" w:cs="Arial" w:eastAsia="Arial" w:hAnsi="Arial"/>
                <w:sz w:val="17"/>
                <w:szCs w:val="17"/>
                <w:color w:val="auto"/>
              </w:rPr>
              <w:t>Accrued and other liabilities</w:t>
            </w:r>
          </w:p>
        </w:tc>
        <w:tc>
          <w:tcPr>
            <w:tcW w:w="380" w:type="dxa"/>
            <w:vAlign w:val="bottom"/>
          </w:tcPr>
          <w:p>
            <w:pPr>
              <w:spacing w:after="0"/>
              <w:rPr>
                <w:sz w:val="16"/>
                <w:szCs w:val="16"/>
                <w:color w:val="auto"/>
              </w:rPr>
            </w:pPr>
          </w:p>
        </w:tc>
        <w:tc>
          <w:tcPr>
            <w:tcW w:w="126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455</w:t>
            </w:r>
          </w:p>
        </w:tc>
        <w:tc>
          <w:tcPr>
            <w:tcW w:w="300" w:type="dxa"/>
            <w:vAlign w:val="bottom"/>
          </w:tcPr>
          <w:p>
            <w:pPr>
              <w:spacing w:after="0"/>
              <w:rPr>
                <w:sz w:val="16"/>
                <w:szCs w:val="16"/>
                <w:color w:val="auto"/>
              </w:rPr>
            </w:pP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312</w:t>
            </w:r>
          </w:p>
        </w:tc>
        <w:tc>
          <w:tcPr>
            <w:tcW w:w="280" w:type="dxa"/>
            <w:vAlign w:val="bottom"/>
          </w:tcPr>
          <w:p>
            <w:pPr>
              <w:spacing w:after="0"/>
              <w:rPr>
                <w:sz w:val="16"/>
                <w:szCs w:val="16"/>
                <w:color w:val="auto"/>
              </w:rPr>
            </w:pPr>
          </w:p>
        </w:tc>
        <w:tc>
          <w:tcPr>
            <w:tcW w:w="1440" w:type="dxa"/>
            <w:vAlign w:val="bottom"/>
          </w:tcPr>
          <w:p>
            <w:pPr>
              <w:jc w:val="right"/>
              <w:ind w:right="215"/>
              <w:spacing w:after="0" w:line="189" w:lineRule="exact"/>
              <w:rPr>
                <w:sz w:val="20"/>
                <w:szCs w:val="20"/>
                <w:color w:val="auto"/>
              </w:rPr>
            </w:pPr>
            <w:r>
              <w:rPr>
                <w:rFonts w:ascii="Arial" w:cs="Arial" w:eastAsia="Arial" w:hAnsi="Arial"/>
                <w:sz w:val="17"/>
                <w:szCs w:val="17"/>
                <w:color w:val="auto"/>
              </w:rPr>
              <w:t>343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Borders>
              <w:bottom w:val="single" w:sz="8" w:color="auto"/>
            </w:tcBorders>
            <w:shd w:val="clear" w:color="auto" w:fill="CCEEFF"/>
          </w:tcPr>
          <w:p>
            <w:pPr>
              <w:ind w:left="80"/>
              <w:spacing w:after="0" w:line="189" w:lineRule="exact"/>
              <w:rPr>
                <w:sz w:val="20"/>
                <w:szCs w:val="20"/>
                <w:color w:val="auto"/>
              </w:rPr>
            </w:pPr>
            <w:r>
              <w:rPr>
                <w:rFonts w:ascii="Arial" w:cs="Arial" w:eastAsia="Arial" w:hAnsi="Arial"/>
                <w:sz w:val="17"/>
                <w:szCs w:val="17"/>
                <w:color w:val="auto"/>
              </w:rPr>
              <w:t>Current portion of operating lease obligations</w:t>
            </w: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587</w:t>
            </w:r>
          </w:p>
        </w:tc>
        <w:tc>
          <w:tcPr>
            <w:tcW w:w="3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497</w:t>
            </w:r>
          </w:p>
        </w:tc>
        <w:tc>
          <w:tcPr>
            <w:tcW w:w="2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518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75"/>
              <w:spacing w:after="0" w:line="183" w:lineRule="exact"/>
              <w:rPr>
                <w:sz w:val="20"/>
                <w:szCs w:val="20"/>
                <w:color w:val="auto"/>
              </w:rPr>
            </w:pPr>
            <w:r>
              <w:rPr>
                <w:rFonts w:ascii="Arial" w:cs="Arial" w:eastAsia="Arial" w:hAnsi="Arial"/>
                <w:sz w:val="17"/>
                <w:szCs w:val="17"/>
                <w:b w:val="1"/>
                <w:bCs w:val="1"/>
                <w:color w:val="auto"/>
              </w:rPr>
              <w:t>1,672</w:t>
            </w:r>
          </w:p>
        </w:tc>
        <w:tc>
          <w:tcPr>
            <w:tcW w:w="300" w:type="dxa"/>
            <w:vAlign w:val="bottom"/>
          </w:tcPr>
          <w:p>
            <w:pPr>
              <w:spacing w:after="0"/>
              <w:rPr>
                <w:sz w:val="15"/>
                <w:szCs w:val="15"/>
                <w:color w:val="auto"/>
              </w:rPr>
            </w:pPr>
          </w:p>
        </w:tc>
        <w:tc>
          <w:tcPr>
            <w:tcW w:w="1260" w:type="dxa"/>
            <w:vAlign w:val="bottom"/>
          </w:tcPr>
          <w:p>
            <w:pPr>
              <w:jc w:val="right"/>
              <w:ind w:right="75"/>
              <w:spacing w:after="0" w:line="183" w:lineRule="exact"/>
              <w:rPr>
                <w:sz w:val="20"/>
                <w:szCs w:val="20"/>
                <w:color w:val="auto"/>
              </w:rPr>
            </w:pPr>
            <w:r>
              <w:rPr>
                <w:rFonts w:ascii="Arial" w:cs="Arial" w:eastAsia="Arial" w:hAnsi="Arial"/>
                <w:sz w:val="17"/>
                <w:szCs w:val="17"/>
                <w:color w:val="auto"/>
              </w:rPr>
              <w:t>1,229</w:t>
            </w:r>
          </w:p>
        </w:tc>
        <w:tc>
          <w:tcPr>
            <w:tcW w:w="280" w:type="dxa"/>
            <w:vAlign w:val="bottom"/>
          </w:tcPr>
          <w:p>
            <w:pPr>
              <w:spacing w:after="0"/>
              <w:rPr>
                <w:sz w:val="15"/>
                <w:szCs w:val="15"/>
                <w:color w:val="auto"/>
              </w:rPr>
            </w:pPr>
          </w:p>
        </w:tc>
        <w:tc>
          <w:tcPr>
            <w:tcW w:w="1440" w:type="dxa"/>
            <w:vAlign w:val="bottom"/>
          </w:tcPr>
          <w:p>
            <w:pPr>
              <w:jc w:val="right"/>
              <w:ind w:right="215"/>
              <w:spacing w:after="0" w:line="183" w:lineRule="exact"/>
              <w:rPr>
                <w:sz w:val="20"/>
                <w:szCs w:val="20"/>
                <w:color w:val="auto"/>
              </w:rPr>
            </w:pPr>
            <w:r>
              <w:rPr>
                <w:rFonts w:ascii="Arial" w:cs="Arial" w:eastAsia="Arial" w:hAnsi="Arial"/>
                <w:sz w:val="17"/>
                <w:szCs w:val="17"/>
                <w:color w:val="auto"/>
              </w:rPr>
              <w:t>1,194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96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Long-term debt and obligations under finance</w:t>
            </w:r>
          </w:p>
        </w:tc>
        <w:tc>
          <w:tcPr>
            <w:tcW w:w="3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124</w:t>
            </w:r>
          </w:p>
        </w:tc>
        <w:tc>
          <w:tcPr>
            <w:tcW w:w="3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leases</w:t>
            </w: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123</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Pr>
          <w:p>
            <w:pPr>
              <w:spacing w:after="0" w:line="189" w:lineRule="exact"/>
              <w:rPr>
                <w:sz w:val="20"/>
                <w:szCs w:val="20"/>
                <w:color w:val="auto"/>
              </w:rPr>
            </w:pPr>
            <w:r>
              <w:rPr>
                <w:rFonts w:ascii="Arial" w:cs="Arial" w:eastAsia="Arial" w:hAnsi="Arial"/>
                <w:sz w:val="17"/>
                <w:szCs w:val="17"/>
                <w:color w:val="auto"/>
              </w:rPr>
              <w:t>Long-term operating lease obligations</w:t>
            </w:r>
          </w:p>
        </w:tc>
        <w:tc>
          <w:tcPr>
            <w:tcW w:w="380" w:type="dxa"/>
            <w:vAlign w:val="bottom"/>
          </w:tcPr>
          <w:p>
            <w:pPr>
              <w:spacing w:after="0"/>
              <w:rPr>
                <w:sz w:val="16"/>
                <w:szCs w:val="16"/>
                <w:color w:val="auto"/>
              </w:rPr>
            </w:pP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2,579</w:t>
            </w:r>
          </w:p>
        </w:tc>
        <w:tc>
          <w:tcPr>
            <w:tcW w:w="300" w:type="dxa"/>
            <w:vAlign w:val="bottom"/>
          </w:tcPr>
          <w:p>
            <w:pPr>
              <w:spacing w:after="0"/>
              <w:rPr>
                <w:sz w:val="16"/>
                <w:szCs w:val="16"/>
                <w:color w:val="auto"/>
              </w:rPr>
            </w:pP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2,750</w:t>
            </w:r>
          </w:p>
        </w:tc>
        <w:tc>
          <w:tcPr>
            <w:tcW w:w="280" w:type="dxa"/>
            <w:vAlign w:val="bottom"/>
          </w:tcPr>
          <w:p>
            <w:pPr>
              <w:spacing w:after="0"/>
              <w:rPr>
                <w:sz w:val="16"/>
                <w:szCs w:val="16"/>
                <w:color w:val="auto"/>
              </w:rPr>
            </w:pPr>
          </w:p>
        </w:tc>
        <w:tc>
          <w:tcPr>
            <w:tcW w:w="1440" w:type="dxa"/>
            <w:vAlign w:val="bottom"/>
          </w:tcPr>
          <w:p>
            <w:pPr>
              <w:jc w:val="right"/>
              <w:ind w:right="215"/>
              <w:spacing w:after="0" w:line="189" w:lineRule="exact"/>
              <w:rPr>
                <w:sz w:val="20"/>
                <w:szCs w:val="20"/>
                <w:color w:val="auto"/>
              </w:rPr>
            </w:pPr>
            <w:r>
              <w:rPr>
                <w:rFonts w:ascii="Arial" w:cs="Arial" w:eastAsia="Arial" w:hAnsi="Arial"/>
                <w:sz w:val="17"/>
                <w:szCs w:val="17"/>
                <w:color w:val="auto"/>
              </w:rPr>
              <w:t>2,678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Other liabilities</w:t>
            </w: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134</w:t>
            </w:r>
          </w:p>
        </w:tc>
        <w:tc>
          <w:tcPr>
            <w:tcW w:w="3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106</w:t>
            </w:r>
          </w:p>
        </w:tc>
        <w:tc>
          <w:tcPr>
            <w:tcW w:w="2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tcPr>
          <w:p>
            <w:pPr>
              <w:spacing w:after="0" w:line="183" w:lineRule="exact"/>
              <w:rPr>
                <w:sz w:val="20"/>
                <w:szCs w:val="20"/>
                <w:color w:val="auto"/>
              </w:rPr>
            </w:pPr>
            <w:r>
              <w:rPr>
                <w:rFonts w:ascii="Arial" w:cs="Arial" w:eastAsia="Arial" w:hAnsi="Arial"/>
                <w:sz w:val="17"/>
                <w:szCs w:val="17"/>
                <w:color w:val="auto"/>
              </w:rPr>
              <w:t>Total liabilities</w:t>
            </w:r>
          </w:p>
        </w:tc>
        <w:tc>
          <w:tcPr>
            <w:tcW w:w="380" w:type="dxa"/>
            <w:vAlign w:val="bottom"/>
          </w:tcPr>
          <w:p>
            <w:pPr>
              <w:spacing w:after="0"/>
              <w:rPr>
                <w:sz w:val="15"/>
                <w:szCs w:val="15"/>
                <w:color w:val="auto"/>
              </w:rPr>
            </w:pPr>
          </w:p>
        </w:tc>
        <w:tc>
          <w:tcPr>
            <w:tcW w:w="1260" w:type="dxa"/>
            <w:vAlign w:val="bottom"/>
          </w:tcPr>
          <w:p>
            <w:pPr>
              <w:jc w:val="right"/>
              <w:ind w:right="75"/>
              <w:spacing w:after="0" w:line="183" w:lineRule="exact"/>
              <w:rPr>
                <w:sz w:val="20"/>
                <w:szCs w:val="20"/>
                <w:color w:val="auto"/>
              </w:rPr>
            </w:pPr>
            <w:r>
              <w:rPr>
                <w:rFonts w:ascii="Arial" w:cs="Arial" w:eastAsia="Arial" w:hAnsi="Arial"/>
                <w:sz w:val="17"/>
                <w:szCs w:val="17"/>
                <w:b w:val="1"/>
                <w:bCs w:val="1"/>
                <w:color w:val="auto"/>
              </w:rPr>
              <w:t>4,509</w:t>
            </w:r>
          </w:p>
        </w:tc>
        <w:tc>
          <w:tcPr>
            <w:tcW w:w="300" w:type="dxa"/>
            <w:vAlign w:val="bottom"/>
          </w:tcPr>
          <w:p>
            <w:pPr>
              <w:spacing w:after="0"/>
              <w:rPr>
                <w:sz w:val="15"/>
                <w:szCs w:val="15"/>
                <w:color w:val="auto"/>
              </w:rPr>
            </w:pPr>
          </w:p>
        </w:tc>
        <w:tc>
          <w:tcPr>
            <w:tcW w:w="1260" w:type="dxa"/>
            <w:vAlign w:val="bottom"/>
          </w:tcPr>
          <w:p>
            <w:pPr>
              <w:jc w:val="right"/>
              <w:ind w:right="75"/>
              <w:spacing w:after="0" w:line="183" w:lineRule="exact"/>
              <w:rPr>
                <w:sz w:val="20"/>
                <w:szCs w:val="20"/>
                <w:color w:val="auto"/>
              </w:rPr>
            </w:pPr>
            <w:r>
              <w:rPr>
                <w:rFonts w:ascii="Arial" w:cs="Arial" w:eastAsia="Arial" w:hAnsi="Arial"/>
                <w:sz w:val="17"/>
                <w:szCs w:val="17"/>
                <w:color w:val="auto"/>
              </w:rPr>
              <w:t>4,208</w:t>
            </w:r>
          </w:p>
        </w:tc>
        <w:tc>
          <w:tcPr>
            <w:tcW w:w="280" w:type="dxa"/>
            <w:vAlign w:val="bottom"/>
          </w:tcPr>
          <w:p>
            <w:pPr>
              <w:spacing w:after="0"/>
              <w:rPr>
                <w:sz w:val="15"/>
                <w:szCs w:val="15"/>
                <w:color w:val="auto"/>
              </w:rPr>
            </w:pPr>
          </w:p>
        </w:tc>
        <w:tc>
          <w:tcPr>
            <w:tcW w:w="1440" w:type="dxa"/>
            <w:vAlign w:val="bottom"/>
          </w:tcPr>
          <w:p>
            <w:pPr>
              <w:jc w:val="right"/>
              <w:ind w:right="215"/>
              <w:spacing w:after="0" w:line="183" w:lineRule="exact"/>
              <w:rPr>
                <w:sz w:val="20"/>
                <w:szCs w:val="20"/>
                <w:color w:val="auto"/>
              </w:rPr>
            </w:pPr>
            <w:r>
              <w:rPr>
                <w:rFonts w:ascii="Arial" w:cs="Arial" w:eastAsia="Arial" w:hAnsi="Arial"/>
                <w:sz w:val="17"/>
                <w:szCs w:val="17"/>
                <w:color w:val="auto"/>
              </w:rPr>
              <w:t>4,116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Shareholders’ equity</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Pr>
          <w:p>
            <w:pPr>
              <w:ind w:left="80"/>
              <w:spacing w:after="0" w:line="189" w:lineRule="exact"/>
              <w:rPr>
                <w:sz w:val="20"/>
                <w:szCs w:val="20"/>
                <w:color w:val="auto"/>
              </w:rPr>
            </w:pPr>
            <w:r>
              <w:rPr>
                <w:rFonts w:ascii="Arial" w:cs="Arial" w:eastAsia="Arial" w:hAnsi="Arial"/>
                <w:sz w:val="17"/>
                <w:szCs w:val="17"/>
                <w:color w:val="auto"/>
              </w:rPr>
              <w:t>Common stock and paid-in capital: 104,391,691;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960" w:type="dxa"/>
            <w:vAlign w:val="bottom"/>
            <w:shd w:val="clear" w:color="auto" w:fill="CCEEFF"/>
          </w:tcPr>
          <w:p>
            <w:pPr>
              <w:ind w:left="200"/>
              <w:spacing w:after="0" w:line="161" w:lineRule="exact"/>
              <w:rPr>
                <w:sz w:val="20"/>
                <w:szCs w:val="20"/>
                <w:color w:val="auto"/>
              </w:rPr>
            </w:pPr>
            <w:r>
              <w:rPr>
                <w:rFonts w:ascii="Arial" w:cs="Arial" w:eastAsia="Arial" w:hAnsi="Arial"/>
                <w:sz w:val="17"/>
                <w:szCs w:val="17"/>
                <w:color w:val="auto"/>
              </w:rPr>
              <w:t>113,119,460; and 104,187,310 shares</w:t>
            </w:r>
          </w:p>
        </w:tc>
        <w:tc>
          <w:tcPr>
            <w:tcW w:w="3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774</w:t>
            </w:r>
          </w:p>
        </w:tc>
        <w:tc>
          <w:tcPr>
            <w:tcW w:w="3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outstanding, respectively</w:t>
            </w: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825</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764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Pr>
          <w:p>
            <w:pPr>
              <w:ind w:left="80"/>
              <w:spacing w:after="0" w:line="189" w:lineRule="exact"/>
              <w:rPr>
                <w:sz w:val="20"/>
                <w:szCs w:val="20"/>
                <w:color w:val="auto"/>
              </w:rPr>
            </w:pPr>
            <w:r>
              <w:rPr>
                <w:rFonts w:ascii="Arial" w:cs="Arial" w:eastAsia="Arial" w:hAnsi="Arial"/>
                <w:sz w:val="17"/>
                <w:szCs w:val="17"/>
                <w:color w:val="auto"/>
              </w:rPr>
              <w:t>Retained earnings</w:t>
            </w:r>
          </w:p>
        </w:tc>
        <w:tc>
          <w:tcPr>
            <w:tcW w:w="380" w:type="dxa"/>
            <w:vAlign w:val="bottom"/>
          </w:tcPr>
          <w:p>
            <w:pPr>
              <w:spacing w:after="0"/>
              <w:rPr>
                <w:sz w:val="16"/>
                <w:szCs w:val="16"/>
                <w:color w:val="auto"/>
              </w:rPr>
            </w:pP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1,996</w:t>
            </w:r>
          </w:p>
        </w:tc>
        <w:tc>
          <w:tcPr>
            <w:tcW w:w="300" w:type="dxa"/>
            <w:vAlign w:val="bottom"/>
          </w:tcPr>
          <w:p>
            <w:pPr>
              <w:spacing w:after="0"/>
              <w:rPr>
                <w:sz w:val="16"/>
                <w:szCs w:val="16"/>
                <w:color w:val="auto"/>
              </w:rPr>
            </w:pP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2,226</w:t>
            </w:r>
          </w:p>
        </w:tc>
        <w:tc>
          <w:tcPr>
            <w:tcW w:w="280" w:type="dxa"/>
            <w:vAlign w:val="bottom"/>
          </w:tcPr>
          <w:p>
            <w:pPr>
              <w:spacing w:after="0"/>
              <w:rPr>
                <w:sz w:val="16"/>
                <w:szCs w:val="16"/>
                <w:color w:val="auto"/>
              </w:rPr>
            </w:pPr>
          </w:p>
        </w:tc>
        <w:tc>
          <w:tcPr>
            <w:tcW w:w="1440" w:type="dxa"/>
            <w:vAlign w:val="bottom"/>
          </w:tcPr>
          <w:p>
            <w:pPr>
              <w:jc w:val="right"/>
              <w:ind w:right="215"/>
              <w:spacing w:after="0" w:line="189" w:lineRule="exact"/>
              <w:rPr>
                <w:sz w:val="20"/>
                <w:szCs w:val="20"/>
                <w:color w:val="auto"/>
              </w:rPr>
            </w:pPr>
            <w:r>
              <w:rPr>
                <w:rFonts w:ascii="Arial" w:cs="Arial" w:eastAsia="Arial" w:hAnsi="Arial"/>
                <w:sz w:val="17"/>
                <w:szCs w:val="17"/>
                <w:color w:val="auto"/>
              </w:rPr>
              <w:t>2,103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Accumulated other comprehensive loss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(367)</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(384)</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Pr>
          <w:p>
            <w:pPr>
              <w:ind w:left="80"/>
              <w:spacing w:after="0" w:line="189" w:lineRule="exact"/>
              <w:rPr>
                <w:sz w:val="20"/>
                <w:szCs w:val="20"/>
                <w:color w:val="auto"/>
              </w:rPr>
            </w:pPr>
            <w:r>
              <w:rPr>
                <w:rFonts w:ascii="Arial" w:cs="Arial" w:eastAsia="Arial" w:hAnsi="Arial"/>
                <w:sz w:val="17"/>
                <w:szCs w:val="17"/>
                <w:color w:val="auto"/>
              </w:rPr>
              <w:t>Less: Treasury stock at cost: 426; 3,578,395;</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Borders>
              <w:bottom w:val="single" w:sz="8" w:color="auto"/>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and -- shares, respectively</w:t>
            </w: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(155)</w:t>
            </w:r>
          </w:p>
        </w:tc>
        <w:tc>
          <w:tcPr>
            <w:tcW w:w="2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shareholders' equity</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2,403</w:t>
            </w: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2,512</w:t>
            </w: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15"/>
              <w:spacing w:after="0" w:line="183" w:lineRule="exact"/>
              <w:rPr>
                <w:sz w:val="20"/>
                <w:szCs w:val="20"/>
                <w:color w:val="auto"/>
              </w:rPr>
            </w:pPr>
            <w:r>
              <w:rPr>
                <w:rFonts w:ascii="Arial" w:cs="Arial" w:eastAsia="Arial" w:hAnsi="Arial"/>
                <w:sz w:val="17"/>
                <w:szCs w:val="17"/>
                <w:color w:val="auto"/>
              </w:rPr>
              <w:t>2,473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6,912</w:t>
            </w:r>
          </w:p>
        </w:tc>
        <w:tc>
          <w:tcPr>
            <w:tcW w:w="3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6,720</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215"/>
              <w:spacing w:after="0" w:line="183" w:lineRule="exact"/>
              <w:rPr>
                <w:sz w:val="20"/>
                <w:szCs w:val="20"/>
                <w:color w:val="auto"/>
              </w:rPr>
            </w:pPr>
            <w:r>
              <w:rPr>
                <w:rFonts w:ascii="Arial" w:cs="Arial" w:eastAsia="Arial" w:hAnsi="Arial"/>
                <w:sz w:val="17"/>
                <w:szCs w:val="17"/>
                <w:color w:val="auto"/>
              </w:rPr>
              <w:t>6,589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left="380" w:right="79" w:hanging="330"/>
        <w:spacing w:after="0" w:line="230" w:lineRule="auto"/>
        <w:tabs>
          <w:tab w:leader="none" w:pos="3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balance sheet at February 1, 2020 has been derived from the previously reported audited consolidated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Foot Locker, Inc.’s Annual Report on Form 10-K for the year ended February 1, 2020.</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Unaudited Condensed Consolidated Financial Statements.</w:t>
      </w:r>
    </w:p>
    <w:p>
      <w:pPr>
        <w:spacing w:after="0" w:line="200" w:lineRule="exact"/>
        <w:rPr>
          <w:sz w:val="20"/>
          <w:szCs w:val="20"/>
          <w:color w:val="auto"/>
        </w:rPr>
      </w:pPr>
    </w:p>
    <w:p>
      <w:pPr>
        <w:spacing w:after="0" w:line="231"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Second Quarter 2020 Form 10-Q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361950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694690</wp:posOffset>
            </wp:positionV>
            <wp:extent cx="1834515"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gridSpan w:val="3"/>
          </w:tcPr>
          <w:p>
            <w:pPr>
              <w:jc w:val="right"/>
              <w:ind w:right="195"/>
              <w:spacing w:after="0"/>
              <w:rPr>
                <w:sz w:val="20"/>
                <w:szCs w:val="20"/>
                <w:color w:val="auto"/>
              </w:rPr>
            </w:pPr>
            <w:r>
              <w:rPr>
                <w:rFonts w:ascii="Arial" w:cs="Arial" w:eastAsia="Arial" w:hAnsi="Arial"/>
                <w:sz w:val="17"/>
                <w:szCs w:val="17"/>
                <w:b w:val="1"/>
                <w:bCs w:val="1"/>
                <w:color w:val="auto"/>
              </w:rPr>
              <w:t>Thirteen weeks ended</w:t>
            </w:r>
          </w:p>
        </w:tc>
        <w:tc>
          <w:tcPr>
            <w:tcW w:w="220" w:type="dxa"/>
            <w:vAlign w:val="bottom"/>
          </w:tcPr>
          <w:p>
            <w:pPr>
              <w:spacing w:after="0"/>
              <w:rPr>
                <w:sz w:val="19"/>
                <w:szCs w:val="19"/>
                <w:color w:val="auto"/>
              </w:rPr>
            </w:pPr>
          </w:p>
        </w:tc>
        <w:tc>
          <w:tcPr>
            <w:tcW w:w="2340" w:type="dxa"/>
            <w:vAlign w:val="bottom"/>
            <w:gridSpan w:val="4"/>
          </w:tcPr>
          <w:p>
            <w:pPr>
              <w:ind w:left="20"/>
              <w:spacing w:after="0"/>
              <w:rPr>
                <w:sz w:val="20"/>
                <w:szCs w:val="20"/>
                <w:color w:val="auto"/>
              </w:rPr>
            </w:pPr>
            <w:r>
              <w:rPr>
                <w:rFonts w:ascii="Arial" w:cs="Arial" w:eastAsia="Arial" w:hAnsi="Arial"/>
                <w:sz w:val="17"/>
                <w:szCs w:val="17"/>
                <w:b w:val="1"/>
                <w:bCs w:val="1"/>
                <w:color w:val="auto"/>
              </w:rPr>
              <w:t>Twenty-six weeks ended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135"/>
              <w:spacing w:after="0" w:line="153" w:lineRule="exact"/>
              <w:rPr>
                <w:sz w:val="20"/>
                <w:szCs w:val="20"/>
                <w:color w:val="auto"/>
              </w:rPr>
            </w:pPr>
            <w:r>
              <w:rPr>
                <w:rFonts w:ascii="Arial" w:cs="Arial" w:eastAsia="Arial" w:hAnsi="Arial"/>
                <w:sz w:val="17"/>
                <w:szCs w:val="17"/>
                <w:b w:val="1"/>
                <w:bCs w:val="1"/>
                <w:color w:val="auto"/>
                <w:w w:val="98"/>
              </w:rPr>
              <w:t>August 1,</w:t>
            </w: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115"/>
              <w:spacing w:after="0" w:line="153" w:lineRule="exact"/>
              <w:rPr>
                <w:sz w:val="20"/>
                <w:szCs w:val="20"/>
                <w:color w:val="auto"/>
              </w:rPr>
            </w:pPr>
            <w:r>
              <w:rPr>
                <w:rFonts w:ascii="Arial" w:cs="Arial" w:eastAsia="Arial" w:hAnsi="Arial"/>
                <w:sz w:val="17"/>
                <w:szCs w:val="17"/>
                <w:b w:val="1"/>
                <w:bCs w:val="1"/>
                <w:color w:val="auto"/>
                <w:w w:val="98"/>
              </w:rPr>
              <w:t>August 3,</w:t>
            </w: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ind w:left="20"/>
              <w:spacing w:after="0" w:line="153" w:lineRule="exact"/>
              <w:rPr>
                <w:sz w:val="20"/>
                <w:szCs w:val="20"/>
                <w:color w:val="auto"/>
              </w:rPr>
            </w:pPr>
            <w:r>
              <w:rPr>
                <w:rFonts w:ascii="Arial" w:cs="Arial" w:eastAsia="Arial" w:hAnsi="Arial"/>
                <w:sz w:val="17"/>
                <w:szCs w:val="17"/>
                <w:b w:val="1"/>
                <w:bCs w:val="1"/>
                <w:color w:val="auto"/>
              </w:rPr>
              <w:t>August 1,</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5"/>
              <w:spacing w:after="0" w:line="153" w:lineRule="exact"/>
              <w:rPr>
                <w:sz w:val="20"/>
                <w:szCs w:val="20"/>
                <w:color w:val="auto"/>
              </w:rPr>
            </w:pPr>
            <w:r>
              <w:rPr>
                <w:rFonts w:ascii="Arial" w:cs="Arial" w:eastAsia="Arial" w:hAnsi="Arial"/>
                <w:sz w:val="17"/>
                <w:szCs w:val="17"/>
                <w:b w:val="1"/>
                <w:bCs w:val="1"/>
                <w:color w:val="auto"/>
              </w:rPr>
              <w:t>August 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2020</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2020</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2019</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40" w:type="dxa"/>
            <w:vAlign w:val="bottom"/>
            <w:gridSpan w:val="8"/>
          </w:tcPr>
          <w:p>
            <w:pPr>
              <w:ind w:left="820"/>
              <w:spacing w:after="0" w:line="183" w:lineRule="exact"/>
              <w:rPr>
                <w:sz w:val="20"/>
                <w:szCs w:val="20"/>
                <w:color w:val="auto"/>
              </w:rPr>
            </w:pPr>
            <w:r>
              <w:rPr>
                <w:rFonts w:ascii="Arial" w:cs="Arial" w:eastAsia="Arial" w:hAnsi="Arial"/>
                <w:sz w:val="17"/>
                <w:szCs w:val="17"/>
                <w:color w:val="auto"/>
              </w:rPr>
              <w:t>(in millions, expect per share amounts)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Sales</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2,077</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1,774</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3,253</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3,852</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sales</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1,539</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1,240</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2,444</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2,629</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Pr>
          <w:p>
            <w:pPr>
              <w:spacing w:after="0" w:line="189" w:lineRule="exact"/>
              <w:rPr>
                <w:sz w:val="20"/>
                <w:szCs w:val="20"/>
                <w:color w:val="auto"/>
              </w:rPr>
            </w:pPr>
            <w:r>
              <w:rPr>
                <w:rFonts w:ascii="Arial" w:cs="Arial" w:eastAsia="Arial" w:hAnsi="Arial"/>
                <w:sz w:val="17"/>
                <w:szCs w:val="17"/>
                <w:color w:val="auto"/>
              </w:rPr>
              <w:t>Selling, general and administrative expenses</w:t>
            </w:r>
          </w:p>
        </w:tc>
        <w:tc>
          <w:tcPr>
            <w:tcW w:w="220" w:type="dxa"/>
            <w:vAlign w:val="bottom"/>
          </w:tcPr>
          <w:p>
            <w:pPr>
              <w:spacing w:after="0"/>
              <w:rPr>
                <w:sz w:val="16"/>
                <w:szCs w:val="16"/>
                <w:color w:val="auto"/>
              </w:rPr>
            </w:pPr>
          </w:p>
        </w:tc>
        <w:tc>
          <w:tcPr>
            <w:tcW w:w="10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387</w:t>
            </w:r>
          </w:p>
        </w:tc>
        <w:tc>
          <w:tcPr>
            <w:tcW w:w="200" w:type="dxa"/>
            <w:vAlign w:val="bottom"/>
          </w:tcPr>
          <w:p>
            <w:pPr>
              <w:spacing w:after="0"/>
              <w:rPr>
                <w:sz w:val="16"/>
                <w:szCs w:val="16"/>
                <w:color w:val="auto"/>
              </w:rPr>
            </w:pPr>
          </w:p>
        </w:tc>
        <w:tc>
          <w:tcPr>
            <w:tcW w:w="9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393</w:t>
            </w:r>
          </w:p>
        </w:tc>
        <w:tc>
          <w:tcPr>
            <w:tcW w:w="220" w:type="dxa"/>
            <w:vAlign w:val="bottom"/>
          </w:tcPr>
          <w:p>
            <w:pPr>
              <w:spacing w:after="0"/>
              <w:rPr>
                <w:sz w:val="16"/>
                <w:szCs w:val="16"/>
                <w:color w:val="auto"/>
              </w:rPr>
            </w:pPr>
          </w:p>
        </w:tc>
        <w:tc>
          <w:tcPr>
            <w:tcW w:w="10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703</w:t>
            </w:r>
          </w:p>
        </w:tc>
        <w:tc>
          <w:tcPr>
            <w:tcW w:w="20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809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Depreciation and amortization</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44</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46</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88</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90</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Impairment and other charges</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38</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14</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54</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15</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(loss) from operations</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69</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81</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(36)</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309</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Interest (expense) income, net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(2)</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2</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(3)</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Other income, net</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2</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4</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(loss) before income taxes</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70</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85</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(35)</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319</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Income tax expense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25</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25</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30</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87</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Net income (loss)</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45</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60</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(65)</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232</w:t>
            </w:r>
          </w:p>
        </w:tc>
        <w:tc>
          <w:tcPr>
            <w:tcW w:w="2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Basic earnings (loss) per share</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0.43</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0.55</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(0.62)</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2.09</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Pr>
          <w:p>
            <w:pPr>
              <w:ind w:left="80"/>
              <w:spacing w:after="0" w:line="189" w:lineRule="exact"/>
              <w:rPr>
                <w:sz w:val="20"/>
                <w:szCs w:val="20"/>
                <w:color w:val="auto"/>
              </w:rPr>
            </w:pPr>
            <w:r>
              <w:rPr>
                <w:rFonts w:ascii="Arial" w:cs="Arial" w:eastAsia="Arial" w:hAnsi="Arial"/>
                <w:sz w:val="17"/>
                <w:szCs w:val="17"/>
                <w:color w:val="auto"/>
              </w:rPr>
              <w:t>Weighted-average shares outstanding</w:t>
            </w:r>
          </w:p>
        </w:tc>
        <w:tc>
          <w:tcPr>
            <w:tcW w:w="220" w:type="dxa"/>
            <w:vAlign w:val="bottom"/>
          </w:tcPr>
          <w:p>
            <w:pPr>
              <w:spacing w:after="0"/>
              <w:rPr>
                <w:sz w:val="16"/>
                <w:szCs w:val="16"/>
                <w:color w:val="auto"/>
              </w:rPr>
            </w:pPr>
          </w:p>
        </w:tc>
        <w:tc>
          <w:tcPr>
            <w:tcW w:w="10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104.5</w:t>
            </w:r>
          </w:p>
        </w:tc>
        <w:tc>
          <w:tcPr>
            <w:tcW w:w="200" w:type="dxa"/>
            <w:vAlign w:val="bottom"/>
          </w:tcPr>
          <w:p>
            <w:pPr>
              <w:spacing w:after="0"/>
              <w:rPr>
                <w:sz w:val="16"/>
                <w:szCs w:val="16"/>
                <w:color w:val="auto"/>
              </w:rPr>
            </w:pPr>
          </w:p>
        </w:tc>
        <w:tc>
          <w:tcPr>
            <w:tcW w:w="9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110.8</w:t>
            </w:r>
          </w:p>
        </w:tc>
        <w:tc>
          <w:tcPr>
            <w:tcW w:w="220" w:type="dxa"/>
            <w:vAlign w:val="bottom"/>
          </w:tcPr>
          <w:p>
            <w:pPr>
              <w:spacing w:after="0"/>
              <w:rPr>
                <w:sz w:val="16"/>
                <w:szCs w:val="16"/>
                <w:color w:val="auto"/>
              </w:rPr>
            </w:pPr>
          </w:p>
        </w:tc>
        <w:tc>
          <w:tcPr>
            <w:tcW w:w="10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104.4</w:t>
            </w:r>
          </w:p>
        </w:tc>
        <w:tc>
          <w:tcPr>
            <w:tcW w:w="20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111.6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Pr>
          <w:p>
            <w:pPr>
              <w:ind w:left="80"/>
              <w:spacing w:after="0" w:line="189" w:lineRule="exact"/>
              <w:rPr>
                <w:sz w:val="20"/>
                <w:szCs w:val="20"/>
                <w:color w:val="auto"/>
              </w:rPr>
            </w:pPr>
            <w:r>
              <w:rPr>
                <w:rFonts w:ascii="Arial" w:cs="Arial" w:eastAsia="Arial" w:hAnsi="Arial"/>
                <w:sz w:val="17"/>
                <w:szCs w:val="17"/>
                <w:color w:val="auto"/>
              </w:rPr>
              <w:t>Diluted earnings (loss) per share</w:t>
            </w:r>
          </w:p>
        </w:tc>
        <w:tc>
          <w:tcPr>
            <w:tcW w:w="2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0.43</w:t>
            </w:r>
          </w:p>
        </w:tc>
        <w:tc>
          <w:tcPr>
            <w:tcW w:w="2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0.55</w:t>
            </w:r>
          </w:p>
        </w:tc>
        <w:tc>
          <w:tcPr>
            <w:tcW w:w="2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(0.62)</w:t>
            </w:r>
          </w:p>
        </w:tc>
        <w:tc>
          <w:tcPr>
            <w:tcW w:w="2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2.08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920" w:type="dxa"/>
            <w:vAlign w:val="bottom"/>
            <w:shd w:val="clear" w:color="auto" w:fill="CCEEFF"/>
          </w:tcPr>
          <w:p>
            <w:pPr>
              <w:ind w:left="80"/>
              <w:spacing w:after="0" w:line="161" w:lineRule="exact"/>
              <w:rPr>
                <w:sz w:val="20"/>
                <w:szCs w:val="20"/>
                <w:color w:val="auto"/>
              </w:rPr>
            </w:pPr>
            <w:r>
              <w:rPr>
                <w:rFonts w:ascii="Arial" w:cs="Arial" w:eastAsia="Arial" w:hAnsi="Arial"/>
                <w:sz w:val="17"/>
                <w:szCs w:val="17"/>
                <w:color w:val="auto"/>
              </w:rPr>
              <w:t>Weighted-average shares outstanding, assuming</w:t>
            </w:r>
          </w:p>
        </w:tc>
        <w:tc>
          <w:tcPr>
            <w:tcW w:w="2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105.1</w:t>
            </w: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104.4</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rPr>
              <w:t>dilution</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111.1</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112.1</w:t>
            </w:r>
          </w:p>
        </w:tc>
        <w:tc>
          <w:tcPr>
            <w:tcW w:w="2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Accompanying Notes to the </w:t>
      </w:r>
      <w:r>
        <w:rPr>
          <w:rFonts w:ascii="Arial" w:cs="Arial" w:eastAsia="Arial" w:hAnsi="Arial"/>
          <w:sz w:val="17"/>
          <w:szCs w:val="17"/>
          <w:color w:val="auto"/>
        </w:rPr>
        <w:t>Unaudited</w:t>
      </w:r>
      <w:r>
        <w:rPr>
          <w:rFonts w:ascii="Arial" w:cs="Arial" w:eastAsia="Arial" w:hAnsi="Arial"/>
          <w:sz w:val="18"/>
          <w:szCs w:val="18"/>
          <w:color w:val="auto"/>
        </w:rPr>
        <w:t xml:space="preserv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Second Quarter 2020 Form 10-Q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361950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694690</wp:posOffset>
            </wp:positionV>
            <wp:extent cx="1834515"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60" w:right="59"/>
        <w:spacing w:after="0" w:line="278" w:lineRule="auto"/>
        <w:rPr>
          <w:sz w:val="20"/>
          <w:szCs w:val="20"/>
          <w:color w:val="auto"/>
        </w:rPr>
      </w:pPr>
      <w:r>
        <w:rPr>
          <w:rFonts w:ascii="Arial" w:cs="Arial" w:eastAsia="Arial" w:hAnsi="Arial"/>
          <w:sz w:val="18"/>
          <w:szCs w:val="18"/>
          <w:b w:val="1"/>
          <w:bCs w:val="1"/>
          <w:color w:val="auto"/>
        </w:rPr>
        <w:t xml:space="preserve">CONDENSED CONSOLIDATED STATEMENTS OF COMPREHENSIVE (LOSS) INCOME </w:t>
      </w: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3"/>
          </w:tcPr>
          <w:p>
            <w:pPr>
              <w:jc w:val="right"/>
              <w:ind w:right="55"/>
              <w:spacing w:after="0"/>
              <w:rPr>
                <w:sz w:val="20"/>
                <w:szCs w:val="20"/>
                <w:color w:val="auto"/>
              </w:rPr>
            </w:pPr>
            <w:r>
              <w:rPr>
                <w:rFonts w:ascii="Arial" w:cs="Arial" w:eastAsia="Arial" w:hAnsi="Arial"/>
                <w:sz w:val="17"/>
                <w:szCs w:val="17"/>
                <w:b w:val="1"/>
                <w:bCs w:val="1"/>
                <w:color w:val="auto"/>
              </w:rPr>
              <w:t>Thirteen weeks ended</w:t>
            </w:r>
          </w:p>
        </w:tc>
        <w:tc>
          <w:tcPr>
            <w:tcW w:w="220" w:type="dxa"/>
            <w:vAlign w:val="bottom"/>
          </w:tcPr>
          <w:p>
            <w:pPr>
              <w:spacing w:after="0"/>
              <w:rPr>
                <w:sz w:val="19"/>
                <w:szCs w:val="19"/>
                <w:color w:val="auto"/>
              </w:rPr>
            </w:pPr>
          </w:p>
        </w:tc>
        <w:tc>
          <w:tcPr>
            <w:tcW w:w="2260" w:type="dxa"/>
            <w:vAlign w:val="bottom"/>
            <w:gridSpan w:val="4"/>
          </w:tcPr>
          <w:p>
            <w:pPr>
              <w:ind w:left="20"/>
              <w:spacing w:after="0"/>
              <w:rPr>
                <w:sz w:val="20"/>
                <w:szCs w:val="20"/>
                <w:color w:val="auto"/>
              </w:rPr>
            </w:pPr>
            <w:r>
              <w:rPr>
                <w:rFonts w:ascii="Arial" w:cs="Arial" w:eastAsia="Arial" w:hAnsi="Arial"/>
                <w:sz w:val="17"/>
                <w:szCs w:val="17"/>
                <w:b w:val="1"/>
                <w:bCs w:val="1"/>
                <w:color w:val="auto"/>
              </w:rPr>
              <w:t>Twenty-six weeks ended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ind w:right="35"/>
              <w:spacing w:after="0" w:line="153" w:lineRule="exact"/>
              <w:rPr>
                <w:sz w:val="20"/>
                <w:szCs w:val="20"/>
                <w:color w:val="auto"/>
              </w:rPr>
            </w:pPr>
            <w:r>
              <w:rPr>
                <w:rFonts w:ascii="Arial" w:cs="Arial" w:eastAsia="Arial" w:hAnsi="Arial"/>
                <w:sz w:val="17"/>
                <w:szCs w:val="17"/>
                <w:b w:val="1"/>
                <w:bCs w:val="1"/>
                <w:color w:val="auto"/>
              </w:rPr>
              <w:t>August 1,</w:t>
            </w:r>
          </w:p>
        </w:tc>
        <w:tc>
          <w:tcPr>
            <w:tcW w:w="1120" w:type="dxa"/>
            <w:vAlign w:val="bottom"/>
            <w:tcBorders>
              <w:top w:val="single" w:sz="8" w:color="auto"/>
            </w:tcBorders>
            <w:gridSpan w:val="2"/>
          </w:tcPr>
          <w:p>
            <w:pPr>
              <w:jc w:val="right"/>
              <w:ind w:right="75"/>
              <w:spacing w:after="0" w:line="153" w:lineRule="exact"/>
              <w:rPr>
                <w:sz w:val="20"/>
                <w:szCs w:val="20"/>
                <w:color w:val="auto"/>
              </w:rPr>
            </w:pPr>
            <w:r>
              <w:rPr>
                <w:rFonts w:ascii="Arial" w:cs="Arial" w:eastAsia="Arial" w:hAnsi="Arial"/>
                <w:sz w:val="17"/>
                <w:szCs w:val="17"/>
                <w:b w:val="1"/>
                <w:bCs w:val="1"/>
                <w:color w:val="auto"/>
              </w:rPr>
              <w:t>August 3,</w:t>
            </w:r>
          </w:p>
        </w:tc>
        <w:tc>
          <w:tcPr>
            <w:tcW w:w="1140" w:type="dxa"/>
            <w:vAlign w:val="bottom"/>
            <w:tcBorders>
              <w:top w:val="single" w:sz="8" w:color="auto"/>
            </w:tcBorders>
            <w:gridSpan w:val="2"/>
          </w:tcPr>
          <w:p>
            <w:pPr>
              <w:jc w:val="right"/>
              <w:ind w:right="95"/>
              <w:spacing w:after="0" w:line="153" w:lineRule="exact"/>
              <w:rPr>
                <w:sz w:val="20"/>
                <w:szCs w:val="20"/>
                <w:color w:val="auto"/>
              </w:rPr>
            </w:pPr>
            <w:r>
              <w:rPr>
                <w:rFonts w:ascii="Arial" w:cs="Arial" w:eastAsia="Arial" w:hAnsi="Arial"/>
                <w:sz w:val="17"/>
                <w:szCs w:val="17"/>
                <w:b w:val="1"/>
                <w:bCs w:val="1"/>
                <w:color w:val="auto"/>
              </w:rPr>
              <w:t>August 1,</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5"/>
              <w:spacing w:after="0" w:line="153" w:lineRule="exact"/>
              <w:rPr>
                <w:sz w:val="20"/>
                <w:szCs w:val="20"/>
                <w:color w:val="auto"/>
              </w:rPr>
            </w:pPr>
            <w:r>
              <w:rPr>
                <w:rFonts w:ascii="Arial" w:cs="Arial" w:eastAsia="Arial" w:hAnsi="Arial"/>
                <w:sz w:val="17"/>
                <w:szCs w:val="17"/>
                <w:b w:val="1"/>
                <w:bCs w:val="1"/>
                <w:color w:val="auto"/>
              </w:rPr>
              <w:t>August 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2020</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gridSpan w:val="3"/>
          </w:tcPr>
          <w:p>
            <w:pPr>
              <w:jc w:val="center"/>
              <w:spacing w:after="0" w:line="183" w:lineRule="exact"/>
              <w:rPr>
                <w:sz w:val="20"/>
                <w:szCs w:val="20"/>
                <w:color w:val="auto"/>
              </w:rPr>
            </w:pPr>
            <w:r>
              <w:rPr>
                <w:rFonts w:ascii="Arial" w:cs="Arial" w:eastAsia="Arial" w:hAnsi="Arial"/>
                <w:sz w:val="17"/>
                <w:szCs w:val="17"/>
                <w:color w:val="auto"/>
                <w:w w:val="99"/>
              </w:rPr>
              <w:t>($ in millions)</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Net income (loss)</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45</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60</w:t>
            </w:r>
          </w:p>
        </w:tc>
        <w:tc>
          <w:tcPr>
            <w:tcW w:w="22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(65)</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232</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tcPr>
          <w:p>
            <w:pPr>
              <w:spacing w:after="0" w:line="189" w:lineRule="exact"/>
              <w:rPr>
                <w:sz w:val="20"/>
                <w:szCs w:val="20"/>
                <w:color w:val="auto"/>
              </w:rPr>
            </w:pPr>
            <w:r>
              <w:rPr>
                <w:rFonts w:ascii="Arial" w:cs="Arial" w:eastAsia="Arial" w:hAnsi="Arial"/>
                <w:sz w:val="17"/>
                <w:szCs w:val="17"/>
                <w:color w:val="auto"/>
              </w:rPr>
              <w:t>Other comprehensive income (loss), net of income tax</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20" w:type="dxa"/>
            <w:vAlign w:val="bottom"/>
          </w:tcPr>
          <w:p>
            <w:pPr>
              <w:spacing w:after="0" w:line="189" w:lineRule="exact"/>
              <w:rPr>
                <w:sz w:val="20"/>
                <w:szCs w:val="20"/>
                <w:color w:val="auto"/>
              </w:rPr>
            </w:pPr>
            <w:r>
              <w:rPr>
                <w:rFonts w:ascii="Arial" w:cs="Arial" w:eastAsia="Arial" w:hAnsi="Arial"/>
                <w:sz w:val="17"/>
                <w:szCs w:val="17"/>
                <w:i w:val="1"/>
                <w:iCs w:val="1"/>
                <w:color w:val="auto"/>
              </w:rPr>
              <w:t>Foreign currency translation adjustment: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20" w:type="dxa"/>
            <w:vAlign w:val="bottom"/>
            <w:shd w:val="clear" w:color="auto" w:fill="CCEEFF"/>
          </w:tcPr>
          <w:p>
            <w:pPr>
              <w:ind w:left="80"/>
              <w:spacing w:after="0" w:line="161" w:lineRule="exact"/>
              <w:rPr>
                <w:sz w:val="20"/>
                <w:szCs w:val="20"/>
                <w:color w:val="auto"/>
              </w:rPr>
            </w:pPr>
            <w:r>
              <w:rPr>
                <w:rFonts w:ascii="Arial" w:cs="Arial" w:eastAsia="Arial" w:hAnsi="Arial"/>
                <w:sz w:val="17"/>
                <w:szCs w:val="17"/>
                <w:color w:val="auto"/>
              </w:rPr>
              <w:t>Translation adjustment arising during the period, net</w:t>
            </w: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36</w:t>
            </w: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20</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CCEEFF"/>
          </w:tcPr>
          <w:p>
            <w:pPr>
              <w:ind w:left="80"/>
              <w:spacing w:after="0"/>
              <w:rPr>
                <w:sz w:val="20"/>
                <w:szCs w:val="20"/>
                <w:color w:val="auto"/>
              </w:rPr>
            </w:pPr>
            <w:r>
              <w:rPr>
                <w:rFonts w:ascii="Arial" w:cs="Arial" w:eastAsia="Arial" w:hAnsi="Arial"/>
                <w:sz w:val="17"/>
                <w:szCs w:val="17"/>
                <w:color w:val="auto"/>
              </w:rPr>
              <w:t>of income tax of $4, $-, $2, and $1, respectively</w:t>
            </w: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w:t>
            </w: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20" w:type="dxa"/>
            <w:vAlign w:val="bottom"/>
            <w:shd w:val="clear" w:color="auto" w:fill="CCEEFF"/>
          </w:tcPr>
          <w:p>
            <w:pPr>
              <w:spacing w:after="0" w:line="189" w:lineRule="exact"/>
              <w:rPr>
                <w:sz w:val="20"/>
                <w:szCs w:val="20"/>
                <w:color w:val="auto"/>
              </w:rPr>
            </w:pPr>
            <w:r>
              <w:rPr>
                <w:rFonts w:ascii="Arial" w:cs="Arial" w:eastAsia="Arial" w:hAnsi="Arial"/>
                <w:sz w:val="17"/>
                <w:szCs w:val="17"/>
                <w:i w:val="1"/>
                <w:iCs w:val="1"/>
                <w:color w:val="auto"/>
              </w:rPr>
              <w:t>Cash flow hedges: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20" w:type="dxa"/>
            <w:vAlign w:val="bottom"/>
          </w:tcPr>
          <w:p>
            <w:pPr>
              <w:ind w:left="80"/>
              <w:spacing w:after="0" w:line="161" w:lineRule="exact"/>
              <w:rPr>
                <w:sz w:val="20"/>
                <w:szCs w:val="20"/>
                <w:color w:val="auto"/>
              </w:rPr>
            </w:pPr>
            <w:r>
              <w:rPr>
                <w:rFonts w:ascii="Arial" w:cs="Arial" w:eastAsia="Arial" w:hAnsi="Arial"/>
                <w:sz w:val="17"/>
                <w:szCs w:val="17"/>
                <w:color w:val="auto"/>
              </w:rPr>
              <w:t>Change in fair value of derivatives, net of income tax</w:t>
            </w:r>
          </w:p>
        </w:tc>
        <w:tc>
          <w:tcPr>
            <w:tcW w:w="24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3</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tcPr>
          <w:p>
            <w:pPr>
              <w:ind w:left="80"/>
              <w:spacing w:after="0"/>
              <w:rPr>
                <w:sz w:val="20"/>
                <w:szCs w:val="20"/>
                <w:color w:val="auto"/>
              </w:rPr>
            </w:pPr>
            <w:r>
              <w:rPr>
                <w:rFonts w:ascii="Arial" w:cs="Arial" w:eastAsia="Arial" w:hAnsi="Arial"/>
                <w:sz w:val="17"/>
                <w:szCs w:val="17"/>
                <w:color w:val="auto"/>
              </w:rPr>
              <w:t>benefit of $-, $-, $1, and $- respectively</w:t>
            </w: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5</w:t>
            </w: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20" w:type="dxa"/>
            <w:vAlign w:val="bottom"/>
          </w:tcPr>
          <w:p>
            <w:pPr>
              <w:spacing w:after="0" w:line="189" w:lineRule="exact"/>
              <w:rPr>
                <w:sz w:val="20"/>
                <w:szCs w:val="20"/>
                <w:color w:val="auto"/>
              </w:rPr>
            </w:pPr>
            <w:r>
              <w:rPr>
                <w:rFonts w:ascii="Arial" w:cs="Arial" w:eastAsia="Arial" w:hAnsi="Arial"/>
                <w:sz w:val="17"/>
                <w:szCs w:val="17"/>
                <w:i w:val="1"/>
                <w:iCs w:val="1"/>
                <w:color w:val="auto"/>
              </w:rPr>
              <w:t>Pension and postretirement adjustments: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20" w:type="dxa"/>
            <w:vAlign w:val="bottom"/>
            <w:shd w:val="clear" w:color="auto" w:fill="CCEEFF"/>
          </w:tcPr>
          <w:p>
            <w:pPr>
              <w:ind w:left="80"/>
              <w:spacing w:after="0" w:line="161" w:lineRule="exact"/>
              <w:rPr>
                <w:sz w:val="20"/>
                <w:szCs w:val="20"/>
                <w:color w:val="auto"/>
              </w:rPr>
            </w:pPr>
            <w:r>
              <w:rPr>
                <w:rFonts w:ascii="Arial" w:cs="Arial" w:eastAsia="Arial" w:hAnsi="Arial"/>
                <w:sz w:val="17"/>
                <w:szCs w:val="17"/>
                <w:color w:val="auto"/>
              </w:rPr>
              <w:t>Amortization of net actuarial gain/loss and prior</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service cost included in net periodic benefit costs, net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of income tax expense of $1, $-, $2 and $-,</w:t>
            </w:r>
          </w:p>
        </w:tc>
        <w:tc>
          <w:tcPr>
            <w:tcW w:w="24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4</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respectively</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42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Comprehensive income (loss)</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82</w:t>
            </w: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60</w:t>
            </w:r>
          </w:p>
        </w:tc>
        <w:tc>
          <w:tcPr>
            <w:tcW w:w="2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(38)</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218</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Accompanying Notes to the </w:t>
      </w:r>
      <w:r>
        <w:rPr>
          <w:rFonts w:ascii="Arial" w:cs="Arial" w:eastAsia="Arial" w:hAnsi="Arial"/>
          <w:sz w:val="17"/>
          <w:szCs w:val="17"/>
          <w:color w:val="auto"/>
        </w:rPr>
        <w:t>Unaudited</w:t>
      </w:r>
      <w:r>
        <w:rPr>
          <w:rFonts w:ascii="Arial" w:cs="Arial" w:eastAsia="Arial" w:hAnsi="Arial"/>
          <w:sz w:val="18"/>
          <w:szCs w:val="18"/>
          <w:color w:val="auto"/>
        </w:rPr>
        <w:t xml:space="preserv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Second Quarter 2020 Form 10-Q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361950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694690</wp:posOffset>
            </wp:positionV>
            <wp:extent cx="1834515"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CHANGES IN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13"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1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5"/>
              </w:rPr>
              <w:t>Additional Paid-In</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117"/>
              <w:spacing w:after="0"/>
              <w:rPr>
                <w:sz w:val="20"/>
                <w:szCs w:val="20"/>
                <w:color w:val="auto"/>
              </w:rPr>
            </w:pPr>
            <w:r>
              <w:rPr>
                <w:rFonts w:ascii="Arial" w:cs="Arial" w:eastAsia="Arial" w:hAnsi="Arial"/>
                <w:sz w:val="13"/>
                <w:szCs w:val="13"/>
                <w:b w:val="1"/>
                <w:bCs w:val="1"/>
                <w:color w:val="auto"/>
                <w:w w:val="95"/>
              </w:rPr>
              <w:t>Accumulated</w:t>
            </w:r>
          </w:p>
        </w:tc>
        <w:tc>
          <w:tcPr>
            <w:tcW w:w="240" w:type="dxa"/>
            <w:vAlign w:val="bottom"/>
          </w:tcPr>
          <w:p>
            <w:pPr>
              <w:spacing w:after="0"/>
              <w:rPr>
                <w:sz w:val="13"/>
                <w:szCs w:val="13"/>
                <w:color w:val="auto"/>
              </w:rPr>
            </w:pPr>
          </w:p>
        </w:tc>
        <w:tc>
          <w:tcPr>
            <w:tcW w:w="700" w:type="dxa"/>
            <w:vAlign w:val="bottom"/>
            <w:vMerge w:val="restart"/>
          </w:tcPr>
          <w:p>
            <w:pPr>
              <w:jc w:val="center"/>
              <w:ind w:right="11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Thirteen weeks ended</w:t>
            </w:r>
          </w:p>
        </w:tc>
        <w:tc>
          <w:tcPr>
            <w:tcW w:w="900" w:type="dxa"/>
            <w:vAlign w:val="bottom"/>
            <w:gridSpan w:val="2"/>
          </w:tcPr>
          <w:p>
            <w:pPr>
              <w:jc w:val="center"/>
              <w:ind w:left="217"/>
              <w:spacing w:after="0" w:line="135" w:lineRule="exact"/>
              <w:rPr>
                <w:sz w:val="20"/>
                <w:szCs w:val="20"/>
                <w:color w:val="auto"/>
              </w:rPr>
            </w:pPr>
            <w:r>
              <w:rPr>
                <w:rFonts w:ascii="Arial" w:cs="Arial" w:eastAsia="Arial" w:hAnsi="Arial"/>
                <w:sz w:val="13"/>
                <w:szCs w:val="13"/>
                <w:b w:val="1"/>
                <w:bCs w:val="1"/>
                <w:color w:val="auto"/>
                <w:w w:val="95"/>
              </w:rPr>
              <w:t>Capital &amp;</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vMerge w:val="restart"/>
          </w:tcPr>
          <w:p>
            <w:pPr>
              <w:jc w:val="right"/>
              <w:ind w:right="37"/>
              <w:spacing w:after="0"/>
              <w:rPr>
                <w:sz w:val="20"/>
                <w:szCs w:val="20"/>
                <w:color w:val="auto"/>
              </w:rPr>
            </w:pPr>
            <w:r>
              <w:rPr>
                <w:rFonts w:ascii="Arial" w:cs="Arial" w:eastAsia="Arial" w:hAnsi="Arial"/>
                <w:sz w:val="13"/>
                <w:szCs w:val="13"/>
                <w:b w:val="1"/>
                <w:bCs w:val="1"/>
                <w:color w:val="auto"/>
              </w:rPr>
              <w:t>Treasury Stock</w:t>
            </w: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96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97"/>
              </w:rPr>
              <w:t>Other</w:t>
            </w: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40" w:type="dxa"/>
            <w:vAlign w:val="bottom"/>
            <w:gridSpan w:val="2"/>
            <w:vMerge w:val="continue"/>
          </w:tcPr>
          <w:p>
            <w:pPr>
              <w:spacing w:after="0"/>
              <w:rPr>
                <w:sz w:val="13"/>
                <w:szCs w:val="13"/>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Common Stock</w:t>
            </w:r>
          </w:p>
        </w:tc>
        <w:tc>
          <w:tcPr>
            <w:tcW w:w="160" w:type="dxa"/>
            <w:vAlign w:val="bottom"/>
          </w:tcPr>
          <w:p>
            <w:pPr>
              <w:spacing w:after="0"/>
              <w:rPr>
                <w:sz w:val="13"/>
                <w:szCs w:val="13"/>
                <w:color w:val="auto"/>
              </w:rPr>
            </w:pPr>
          </w:p>
        </w:tc>
        <w:tc>
          <w:tcPr>
            <w:tcW w:w="1080" w:type="dxa"/>
            <w:vAlign w:val="bottom"/>
            <w:tcBorders>
              <w:bottom w:val="single" w:sz="8" w:color="auto"/>
            </w:tcBorders>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3"/>
                <w:szCs w:val="13"/>
                <w:b w:val="1"/>
                <w:bCs w:val="1"/>
                <w:color w:val="auto"/>
              </w:rPr>
              <w:t>Comprehensive</w:t>
            </w: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Shareholders'</w:t>
            </w:r>
          </w:p>
        </w:tc>
        <w:tc>
          <w:tcPr>
            <w:tcW w:w="0" w:type="dxa"/>
            <w:vAlign w:val="bottom"/>
          </w:tcPr>
          <w:p>
            <w:pPr>
              <w:spacing w:after="0"/>
              <w:rPr>
                <w:sz w:val="1"/>
                <w:szCs w:val="1"/>
                <w:color w:val="auto"/>
              </w:rPr>
            </w:pPr>
          </w:p>
        </w:tc>
      </w:tr>
      <w:tr>
        <w:trPr>
          <w:trHeight w:val="128"/>
        </w:trPr>
        <w:tc>
          <w:tcPr>
            <w:tcW w:w="3640" w:type="dxa"/>
            <w:vAlign w:val="bottom"/>
            <w:gridSpan w:val="2"/>
          </w:tcPr>
          <w:p>
            <w:pPr>
              <w:spacing w:after="0" w:line="129" w:lineRule="exact"/>
              <w:rPr>
                <w:sz w:val="20"/>
                <w:szCs w:val="20"/>
                <w:color w:val="auto"/>
              </w:rPr>
            </w:pPr>
            <w:r>
              <w:rPr>
                <w:rFonts w:ascii="Arial" w:cs="Arial" w:eastAsia="Arial" w:hAnsi="Arial"/>
                <w:sz w:val="13"/>
                <w:szCs w:val="13"/>
                <w:color w:val="auto"/>
              </w:rPr>
              <w:t>(shares in thousands, amounts in millions)</w:t>
            </w:r>
          </w:p>
        </w:tc>
        <w:tc>
          <w:tcPr>
            <w:tcW w:w="560" w:type="dxa"/>
            <w:vAlign w:val="bottom"/>
          </w:tcPr>
          <w:p>
            <w:pPr>
              <w:jc w:val="right"/>
              <w:ind w:right="17"/>
              <w:spacing w:after="0" w:line="129" w:lineRule="exact"/>
              <w:rPr>
                <w:sz w:val="20"/>
                <w:szCs w:val="20"/>
                <w:color w:val="auto"/>
              </w:rPr>
            </w:pPr>
            <w:r>
              <w:rPr>
                <w:rFonts w:ascii="Arial" w:cs="Arial" w:eastAsia="Arial" w:hAnsi="Arial"/>
                <w:sz w:val="13"/>
                <w:szCs w:val="13"/>
                <w:b w:val="1"/>
                <w:bCs w:val="1"/>
                <w:color w:val="auto"/>
              </w:rPr>
              <w:t>Shares</w:t>
            </w:r>
          </w:p>
        </w:tc>
        <w:tc>
          <w:tcPr>
            <w:tcW w:w="62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1"/>
                <w:szCs w:val="11"/>
                <w:color w:val="auto"/>
              </w:rPr>
            </w:pPr>
          </w:p>
        </w:tc>
        <w:tc>
          <w:tcPr>
            <w:tcW w:w="500" w:type="dxa"/>
            <w:vAlign w:val="bottom"/>
          </w:tcPr>
          <w:p>
            <w:pPr>
              <w:jc w:val="right"/>
              <w:ind w:right="37"/>
              <w:spacing w:after="0" w:line="129" w:lineRule="exact"/>
              <w:rPr>
                <w:sz w:val="20"/>
                <w:szCs w:val="20"/>
                <w:color w:val="auto"/>
              </w:rPr>
            </w:pPr>
            <w:r>
              <w:rPr>
                <w:rFonts w:ascii="Arial" w:cs="Arial" w:eastAsia="Arial" w:hAnsi="Arial"/>
                <w:sz w:val="13"/>
                <w:szCs w:val="13"/>
                <w:b w:val="1"/>
                <w:bCs w:val="1"/>
                <w:color w:val="auto"/>
                <w:w w:val="87"/>
              </w:rPr>
              <w:t>Shares</w:t>
            </w:r>
          </w:p>
        </w:tc>
        <w:tc>
          <w:tcPr>
            <w:tcW w:w="580" w:type="dxa"/>
            <w:vAlign w:val="bottom"/>
            <w:gridSpan w:val="2"/>
          </w:tcPr>
          <w:p>
            <w:pPr>
              <w:ind w:left="80"/>
              <w:spacing w:after="0" w:line="129" w:lineRule="exact"/>
              <w:rPr>
                <w:sz w:val="20"/>
                <w:szCs w:val="20"/>
                <w:color w:val="auto"/>
              </w:rPr>
            </w:pPr>
            <w:r>
              <w:rPr>
                <w:rFonts w:ascii="Arial" w:cs="Arial" w:eastAsia="Arial" w:hAnsi="Arial"/>
                <w:sz w:val="13"/>
                <w:szCs w:val="13"/>
                <w:b w:val="1"/>
                <w:bCs w:val="1"/>
                <w:color w:val="auto"/>
                <w:w w:val="97"/>
              </w:rPr>
              <w:t>Amount</w:t>
            </w:r>
          </w:p>
        </w:tc>
        <w:tc>
          <w:tcPr>
            <w:tcW w:w="780" w:type="dxa"/>
            <w:vAlign w:val="bottom"/>
            <w:gridSpan w:val="2"/>
          </w:tcPr>
          <w:p>
            <w:pPr>
              <w:ind w:left="160"/>
              <w:spacing w:after="0" w:line="129" w:lineRule="exact"/>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1"/>
                <w:szCs w:val="11"/>
                <w:color w:val="auto"/>
              </w:rPr>
            </w:pPr>
          </w:p>
        </w:tc>
        <w:tc>
          <w:tcPr>
            <w:tcW w:w="960" w:type="dxa"/>
            <w:vAlign w:val="bottom"/>
          </w:tcPr>
          <w:p>
            <w:pPr>
              <w:jc w:val="center"/>
              <w:ind w:right="117"/>
              <w:spacing w:after="0" w:line="129" w:lineRule="exact"/>
              <w:rPr>
                <w:sz w:val="20"/>
                <w:szCs w:val="20"/>
                <w:color w:val="auto"/>
              </w:rPr>
            </w:pPr>
            <w:r>
              <w:rPr>
                <w:rFonts w:ascii="Arial" w:cs="Arial" w:eastAsia="Arial" w:hAnsi="Arial"/>
                <w:sz w:val="13"/>
                <w:szCs w:val="13"/>
                <w:b w:val="1"/>
                <w:bCs w:val="1"/>
                <w:color w:val="auto"/>
                <w:w w:val="98"/>
              </w:rPr>
              <w:t>Loss</w:t>
            </w:r>
          </w:p>
        </w:tc>
        <w:tc>
          <w:tcPr>
            <w:tcW w:w="240" w:type="dxa"/>
            <w:vAlign w:val="bottom"/>
          </w:tcPr>
          <w:p>
            <w:pPr>
              <w:spacing w:after="0"/>
              <w:rPr>
                <w:sz w:val="11"/>
                <w:szCs w:val="11"/>
                <w:color w:val="auto"/>
              </w:rPr>
            </w:pPr>
          </w:p>
        </w:tc>
        <w:tc>
          <w:tcPr>
            <w:tcW w:w="700" w:type="dxa"/>
            <w:vAlign w:val="bottom"/>
          </w:tcPr>
          <w:p>
            <w:pPr>
              <w:jc w:val="center"/>
              <w:ind w:right="117"/>
              <w:spacing w:after="0" w:line="12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6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at May 2, 2020</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104,245</w:t>
            </w:r>
          </w:p>
        </w:tc>
        <w:tc>
          <w:tcPr>
            <w:tcW w:w="340" w:type="dxa"/>
            <w:vAlign w:val="bottom"/>
            <w:tcBorders>
              <w:top w:val="single" w:sz="8" w:color="auto"/>
            </w:tcBorders>
            <w:shd w:val="clear" w:color="auto" w:fill="CCEEFF"/>
          </w:tcPr>
          <w:p>
            <w:pPr>
              <w:jc w:val="right"/>
              <w:ind w:right="157"/>
              <w:spacing w:after="0" w:line="129" w:lineRule="exact"/>
              <w:rPr>
                <w:sz w:val="20"/>
                <w:szCs w:val="20"/>
                <w:color w:val="auto"/>
              </w:rPr>
            </w:pPr>
            <w:r>
              <w:rPr>
                <w:rFonts w:ascii="Arial" w:cs="Arial" w:eastAsia="Arial" w:hAnsi="Arial"/>
                <w:sz w:val="13"/>
                <w:szCs w:val="13"/>
                <w:b w:val="1"/>
                <w:bCs w:val="1"/>
                <w:color w:val="auto"/>
              </w:rPr>
              <w:t>$</w:t>
            </w: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767</w:t>
            </w:r>
          </w:p>
        </w:tc>
        <w:tc>
          <w:tcPr>
            <w:tcW w:w="660" w:type="dxa"/>
            <w:vAlign w:val="bottom"/>
            <w:tcBorders>
              <w:top w:val="single" w:sz="8" w:color="auto"/>
            </w:tcBorders>
            <w:gridSpan w:val="2"/>
            <w:shd w:val="clear" w:color="auto" w:fill="CCEEFF"/>
          </w:tcPr>
          <w:p>
            <w:pPr>
              <w:jc w:val="right"/>
              <w:ind w:right="17"/>
              <w:spacing w:after="0" w:line="129" w:lineRule="exact"/>
              <w:rPr>
                <w:sz w:val="20"/>
                <w:szCs w:val="20"/>
                <w:color w:val="auto"/>
              </w:rPr>
            </w:pPr>
            <w:r>
              <w:rPr>
                <w:rFonts w:ascii="Arial" w:cs="Arial" w:eastAsia="Arial" w:hAnsi="Arial"/>
                <w:sz w:val="13"/>
                <w:szCs w:val="13"/>
                <w:b w:val="1"/>
                <w:bCs w:val="1"/>
                <w:color w:val="auto"/>
              </w:rPr>
              <w:t>(23)</w:t>
            </w:r>
          </w:p>
        </w:tc>
        <w:tc>
          <w:tcPr>
            <w:tcW w:w="220" w:type="dxa"/>
            <w:vAlign w:val="bottom"/>
            <w:tcBorders>
              <w:top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280" w:type="dxa"/>
            <w:vAlign w:val="bottom"/>
            <w:tcBorders>
              <w:top w:val="single" w:sz="8" w:color="auto"/>
            </w:tcBorders>
            <w:shd w:val="clear" w:color="auto" w:fill="CCEEFF"/>
          </w:tcPr>
          <w:p>
            <w:pPr>
              <w:ind w:left="160"/>
              <w:spacing w:after="0" w:line="129" w:lineRule="exact"/>
              <w:rPr>
                <w:sz w:val="20"/>
                <w:szCs w:val="20"/>
                <w:color w:val="auto"/>
              </w:rPr>
            </w:pPr>
            <w:r>
              <w:rPr>
                <w:rFonts w:ascii="Arial" w:cs="Arial" w:eastAsia="Arial" w:hAnsi="Arial"/>
                <w:sz w:val="13"/>
                <w:szCs w:val="13"/>
                <w:b w:val="1"/>
                <w:bCs w:val="1"/>
                <w:color w:val="auto"/>
              </w:rPr>
              <w:t>$</w:t>
            </w:r>
          </w:p>
        </w:tc>
        <w:tc>
          <w:tcPr>
            <w:tcW w:w="500" w:type="dxa"/>
            <w:vAlign w:val="bottom"/>
            <w:tcBorders>
              <w:top w:val="single" w:sz="8" w:color="auto"/>
            </w:tcBorders>
            <w:shd w:val="clear" w:color="auto" w:fill="CCEEFF"/>
          </w:tcPr>
          <w:p>
            <w:pPr>
              <w:jc w:val="right"/>
              <w:ind w:right="57"/>
              <w:spacing w:after="0" w:line="129" w:lineRule="exact"/>
              <w:rPr>
                <w:sz w:val="20"/>
                <w:szCs w:val="20"/>
                <w:color w:val="auto"/>
              </w:rPr>
            </w:pPr>
            <w:r>
              <w:rPr>
                <w:rFonts w:ascii="Arial" w:cs="Arial" w:eastAsia="Arial" w:hAnsi="Arial"/>
                <w:sz w:val="13"/>
                <w:szCs w:val="13"/>
                <w:b w:val="1"/>
                <w:bCs w:val="1"/>
                <w:color w:val="auto"/>
              </w:rPr>
              <w:t>1,951</w:t>
            </w:r>
          </w:p>
        </w:tc>
        <w:tc>
          <w:tcPr>
            <w:tcW w:w="160" w:type="dxa"/>
            <w:vAlign w:val="bottom"/>
            <w:tcBorders>
              <w:top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b w:val="1"/>
                <w:bCs w:val="1"/>
                <w:color w:val="auto"/>
              </w:rPr>
              <w:t>(404)</w:t>
            </w:r>
          </w:p>
        </w:tc>
        <w:tc>
          <w:tcPr>
            <w:tcW w:w="2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2,314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rPr>
              <w:t>Restricted stock issued</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Issued under director and stock plans</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134</w:t>
            </w: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rPr>
              <w:t>Share-based compensation expense</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Reissued - Employee Stock Purchase Plan ("ESPP")</w:t>
            </w: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23</w:t>
            </w: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45</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Translation adjustment, net of tax</w:t>
            </w: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36</w:t>
            </w: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Borders>
              <w:bottom w:val="single" w:sz="8" w:color="auto"/>
            </w:tcBorders>
          </w:tcPr>
          <w:p>
            <w:pPr>
              <w:spacing w:after="0" w:line="135" w:lineRule="exact"/>
              <w:rPr>
                <w:sz w:val="20"/>
                <w:szCs w:val="20"/>
                <w:color w:val="auto"/>
              </w:rPr>
            </w:pPr>
            <w:r>
              <w:rPr>
                <w:rFonts w:ascii="Arial" w:cs="Arial" w:eastAsia="Arial" w:hAnsi="Arial"/>
                <w:sz w:val="13"/>
                <w:szCs w:val="13"/>
                <w:color w:val="auto"/>
              </w:rPr>
              <w:t>Pension and postretirement adjustments, net of tax</w:t>
            </w:r>
          </w:p>
        </w:tc>
        <w:tc>
          <w:tcPr>
            <w:tcW w:w="5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1</w:t>
            </w: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62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at August 1, 2020</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104,392</w:t>
            </w:r>
          </w:p>
        </w:tc>
        <w:tc>
          <w:tcPr>
            <w:tcW w:w="340" w:type="dxa"/>
            <w:vAlign w:val="bottom"/>
            <w:tcBorders>
              <w:bottom w:val="single" w:sz="8" w:color="auto"/>
            </w:tcBorders>
            <w:shd w:val="clear" w:color="auto" w:fill="CCEEFF"/>
          </w:tcPr>
          <w:p>
            <w:pPr>
              <w:jc w:val="right"/>
              <w:ind w:right="157"/>
              <w:spacing w:after="0" w:line="129" w:lineRule="exact"/>
              <w:rPr>
                <w:sz w:val="20"/>
                <w:szCs w:val="20"/>
                <w:color w:val="auto"/>
              </w:rPr>
            </w:pPr>
            <w:r>
              <w:rPr>
                <w:rFonts w:ascii="Arial" w:cs="Arial" w:eastAsia="Arial" w:hAnsi="Arial"/>
                <w:sz w:val="13"/>
                <w:szCs w:val="13"/>
                <w:b w:val="1"/>
                <w:bCs w:val="1"/>
                <w:color w:val="auto"/>
              </w:rPr>
              <w:t>$</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774</w:t>
            </w:r>
          </w:p>
        </w:tc>
        <w:tc>
          <w:tcPr>
            <w:tcW w:w="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ind w:right="57"/>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b w:val="1"/>
                <w:bCs w:val="1"/>
                <w:color w:val="auto"/>
              </w:rPr>
              <w:t>$</w:t>
            </w:r>
          </w:p>
        </w:tc>
        <w:tc>
          <w:tcPr>
            <w:tcW w:w="3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280" w:type="dxa"/>
            <w:vAlign w:val="bottom"/>
            <w:tcBorders>
              <w:bottom w:val="single" w:sz="8" w:color="auto"/>
            </w:tcBorders>
            <w:shd w:val="clear" w:color="auto" w:fill="CCEEFF"/>
          </w:tcPr>
          <w:p>
            <w:pPr>
              <w:ind w:left="160"/>
              <w:spacing w:after="0" w:line="129" w:lineRule="exact"/>
              <w:rPr>
                <w:sz w:val="20"/>
                <w:szCs w:val="20"/>
                <w:color w:val="auto"/>
              </w:rPr>
            </w:pPr>
            <w:r>
              <w:rPr>
                <w:rFonts w:ascii="Arial" w:cs="Arial" w:eastAsia="Arial" w:hAnsi="Arial"/>
                <w:sz w:val="13"/>
                <w:szCs w:val="13"/>
                <w:b w:val="1"/>
                <w:bCs w:val="1"/>
                <w:color w:val="auto"/>
              </w:rPr>
              <w:t>$</w:t>
            </w:r>
          </w:p>
        </w:tc>
        <w:tc>
          <w:tcPr>
            <w:tcW w:w="500" w:type="dxa"/>
            <w:vAlign w:val="bottom"/>
            <w:tcBorders>
              <w:bottom w:val="single" w:sz="8" w:color="auto"/>
            </w:tcBorders>
            <w:shd w:val="clear" w:color="auto" w:fill="CCEEFF"/>
          </w:tcPr>
          <w:p>
            <w:pPr>
              <w:jc w:val="right"/>
              <w:ind w:right="57"/>
              <w:spacing w:after="0" w:line="129" w:lineRule="exact"/>
              <w:rPr>
                <w:sz w:val="20"/>
                <w:szCs w:val="20"/>
                <w:color w:val="auto"/>
              </w:rPr>
            </w:pPr>
            <w:r>
              <w:rPr>
                <w:rFonts w:ascii="Arial" w:cs="Arial" w:eastAsia="Arial" w:hAnsi="Arial"/>
                <w:sz w:val="13"/>
                <w:szCs w:val="13"/>
                <w:b w:val="1"/>
                <w:bCs w:val="1"/>
                <w:color w:val="auto"/>
              </w:rPr>
              <w:t>1,996</w:t>
            </w:r>
          </w:p>
        </w:tc>
        <w:tc>
          <w:tcPr>
            <w:tcW w:w="160" w:type="dxa"/>
            <w:vAlign w:val="bottom"/>
            <w:tcBorders>
              <w:bottom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b w:val="1"/>
                <w:bCs w:val="1"/>
                <w:color w:val="auto"/>
                <w:w w:val="82"/>
              </w:rPr>
              <w:t>$</w:t>
            </w:r>
          </w:p>
        </w:tc>
        <w:tc>
          <w:tcPr>
            <w:tcW w:w="96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b w:val="1"/>
                <w:bCs w:val="1"/>
                <w:color w:val="auto"/>
              </w:rPr>
              <w:t>(367)</w:t>
            </w:r>
          </w:p>
        </w:tc>
        <w:tc>
          <w:tcPr>
            <w:tcW w:w="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2,403</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May 4, 2019</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113,161</w:t>
            </w:r>
          </w:p>
        </w:tc>
        <w:tc>
          <w:tcPr>
            <w:tcW w:w="3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b w:val="1"/>
                <w:bCs w:val="1"/>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820</w:t>
            </w:r>
          </w:p>
        </w:tc>
        <w:tc>
          <w:tcPr>
            <w:tcW w:w="660" w:type="dxa"/>
            <w:vAlign w:val="bottom"/>
            <w:gridSpan w:val="2"/>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(774)</w:t>
            </w:r>
          </w:p>
        </w:tc>
        <w:tc>
          <w:tcPr>
            <w:tcW w:w="2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(41)</w:t>
            </w:r>
          </w:p>
        </w:tc>
        <w:tc>
          <w:tcPr>
            <w:tcW w:w="2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b w:val="1"/>
                <w:bCs w:val="1"/>
                <w:color w:val="auto"/>
              </w:rPr>
              <w:t>$</w:t>
            </w:r>
          </w:p>
        </w:tc>
        <w:tc>
          <w:tcPr>
            <w:tcW w:w="5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2,207</w:t>
            </w:r>
          </w:p>
        </w:tc>
        <w:tc>
          <w:tcPr>
            <w:tcW w:w="1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w w:val="82"/>
              </w:rPr>
              <w:t>$</w:t>
            </w:r>
          </w:p>
        </w:tc>
        <w:tc>
          <w:tcPr>
            <w:tcW w:w="9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(384)</w:t>
            </w: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2,602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rPr>
              <w:t>Restricted stock issued</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Issued under director and stock plans</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w:t>
            </w: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rPr>
              <w:t>Share-based compensation expense</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620" w:type="dxa"/>
            <w:vAlign w:val="bottom"/>
            <w:shd w:val="clear" w:color="auto" w:fill="CCEEFF"/>
          </w:tcPr>
          <w:p>
            <w:pPr>
              <w:spacing w:after="0" w:line="113" w:lineRule="exact"/>
              <w:rPr>
                <w:sz w:val="20"/>
                <w:szCs w:val="20"/>
                <w:color w:val="auto"/>
              </w:rPr>
            </w:pPr>
            <w:r>
              <w:rPr>
                <w:rFonts w:ascii="Arial" w:cs="Arial" w:eastAsia="Arial" w:hAnsi="Arial"/>
                <w:sz w:val="13"/>
                <w:szCs w:val="13"/>
                <w:color w:val="auto"/>
              </w:rPr>
              <w:t>Shares of common stock used to satisfy tax withholding</w:t>
            </w:r>
          </w:p>
        </w:tc>
        <w:tc>
          <w:tcPr>
            <w:tcW w:w="5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22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obligations</w:t>
            </w:r>
          </w:p>
        </w:tc>
        <w:tc>
          <w:tcPr>
            <w:tcW w:w="5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rPr>
              <w:t>Share repurchases</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(2,900)</w:t>
            </w:r>
          </w:p>
        </w:tc>
        <w:tc>
          <w:tcPr>
            <w:tcW w:w="22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(120)</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Reissued - ESPP</w:t>
            </w: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96</w:t>
            </w: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60</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dividends declared on common stock ($0.38 per share)</w:t>
            </w: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(41)</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rPr>
              <w:t>Translation adjustment, net of tax</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w:t>
            </w: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Change in cash flow hedges, net of tax</w:t>
            </w: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w:t>
            </w: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Borders>
              <w:bottom w:val="single" w:sz="8" w:color="auto"/>
            </w:tcBorders>
          </w:tcPr>
          <w:p>
            <w:pPr>
              <w:spacing w:after="0" w:line="135" w:lineRule="exact"/>
              <w:rPr>
                <w:sz w:val="20"/>
                <w:szCs w:val="20"/>
                <w:color w:val="auto"/>
              </w:rPr>
            </w:pPr>
            <w:r>
              <w:rPr>
                <w:rFonts w:ascii="Arial" w:cs="Arial" w:eastAsia="Arial" w:hAnsi="Arial"/>
                <w:sz w:val="13"/>
                <w:szCs w:val="13"/>
                <w:color w:val="auto"/>
              </w:rPr>
              <w:t>Pension and postretirement adjustments, net of tax</w:t>
            </w:r>
          </w:p>
        </w:tc>
        <w:tc>
          <w:tcPr>
            <w:tcW w:w="5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1</w:t>
            </w: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62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at August 3, 2019</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113,200</w:t>
            </w:r>
          </w:p>
        </w:tc>
        <w:tc>
          <w:tcPr>
            <w:tcW w:w="340" w:type="dxa"/>
            <w:vAlign w:val="bottom"/>
            <w:tcBorders>
              <w:bottom w:val="single" w:sz="8" w:color="auto"/>
            </w:tcBorders>
            <w:shd w:val="clear" w:color="auto" w:fill="CCEEFF"/>
          </w:tcPr>
          <w:p>
            <w:pPr>
              <w:jc w:val="right"/>
              <w:ind w:right="157"/>
              <w:spacing w:after="0" w:line="129" w:lineRule="exact"/>
              <w:rPr>
                <w:sz w:val="20"/>
                <w:szCs w:val="20"/>
                <w:color w:val="auto"/>
              </w:rPr>
            </w:pPr>
            <w:r>
              <w:rPr>
                <w:rFonts w:ascii="Arial" w:cs="Arial" w:eastAsia="Arial" w:hAnsi="Arial"/>
                <w:sz w:val="13"/>
                <w:szCs w:val="13"/>
                <w:b w:val="1"/>
                <w:bCs w:val="1"/>
                <w:color w:val="auto"/>
              </w:rPr>
              <w:t>$</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825</w:t>
            </w:r>
          </w:p>
        </w:tc>
        <w:tc>
          <w:tcPr>
            <w:tcW w:w="660" w:type="dxa"/>
            <w:vAlign w:val="bottom"/>
            <w:tcBorders>
              <w:bottom w:val="single" w:sz="8" w:color="auto"/>
            </w:tcBorders>
            <w:gridSpan w:val="2"/>
            <w:shd w:val="clear" w:color="auto" w:fill="CCEEFF"/>
          </w:tcPr>
          <w:p>
            <w:pPr>
              <w:jc w:val="right"/>
              <w:ind w:right="17"/>
              <w:spacing w:after="0" w:line="129" w:lineRule="exact"/>
              <w:rPr>
                <w:sz w:val="20"/>
                <w:szCs w:val="20"/>
                <w:color w:val="auto"/>
              </w:rPr>
            </w:pPr>
            <w:r>
              <w:rPr>
                <w:rFonts w:ascii="Arial" w:cs="Arial" w:eastAsia="Arial" w:hAnsi="Arial"/>
                <w:sz w:val="13"/>
                <w:szCs w:val="13"/>
                <w:b w:val="1"/>
                <w:bCs w:val="1"/>
                <w:color w:val="auto"/>
              </w:rPr>
              <w:t>(3,579)</w:t>
            </w:r>
          </w:p>
        </w:tc>
        <w:tc>
          <w:tcPr>
            <w:tcW w:w="220" w:type="dxa"/>
            <w:vAlign w:val="bottom"/>
            <w:tcBorders>
              <w:bottom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b w:val="1"/>
                <w:bCs w:val="1"/>
                <w:color w:val="auto"/>
              </w:rPr>
              <w:t>$</w:t>
            </w:r>
          </w:p>
        </w:tc>
        <w:tc>
          <w:tcPr>
            <w:tcW w:w="3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(155)</w:t>
            </w:r>
          </w:p>
        </w:tc>
        <w:tc>
          <w:tcPr>
            <w:tcW w:w="280" w:type="dxa"/>
            <w:vAlign w:val="bottom"/>
            <w:tcBorders>
              <w:bottom w:val="single" w:sz="8" w:color="auto"/>
            </w:tcBorders>
            <w:shd w:val="clear" w:color="auto" w:fill="CCEEFF"/>
          </w:tcPr>
          <w:p>
            <w:pPr>
              <w:ind w:left="160"/>
              <w:spacing w:after="0" w:line="129" w:lineRule="exact"/>
              <w:rPr>
                <w:sz w:val="20"/>
                <w:szCs w:val="20"/>
                <w:color w:val="auto"/>
              </w:rPr>
            </w:pPr>
            <w:r>
              <w:rPr>
                <w:rFonts w:ascii="Arial" w:cs="Arial" w:eastAsia="Arial" w:hAnsi="Arial"/>
                <w:sz w:val="13"/>
                <w:szCs w:val="13"/>
                <w:b w:val="1"/>
                <w:bCs w:val="1"/>
                <w:color w:val="auto"/>
              </w:rPr>
              <w:t>$</w:t>
            </w:r>
          </w:p>
        </w:tc>
        <w:tc>
          <w:tcPr>
            <w:tcW w:w="500" w:type="dxa"/>
            <w:vAlign w:val="bottom"/>
            <w:tcBorders>
              <w:bottom w:val="single" w:sz="8" w:color="auto"/>
            </w:tcBorders>
            <w:shd w:val="clear" w:color="auto" w:fill="CCEEFF"/>
          </w:tcPr>
          <w:p>
            <w:pPr>
              <w:jc w:val="right"/>
              <w:ind w:right="57"/>
              <w:spacing w:after="0" w:line="129" w:lineRule="exact"/>
              <w:rPr>
                <w:sz w:val="20"/>
                <w:szCs w:val="20"/>
                <w:color w:val="auto"/>
              </w:rPr>
            </w:pPr>
            <w:r>
              <w:rPr>
                <w:rFonts w:ascii="Arial" w:cs="Arial" w:eastAsia="Arial" w:hAnsi="Arial"/>
                <w:sz w:val="13"/>
                <w:szCs w:val="13"/>
                <w:b w:val="1"/>
                <w:bCs w:val="1"/>
                <w:color w:val="auto"/>
              </w:rPr>
              <w:t>2,226</w:t>
            </w:r>
          </w:p>
        </w:tc>
        <w:tc>
          <w:tcPr>
            <w:tcW w:w="160" w:type="dxa"/>
            <w:vAlign w:val="bottom"/>
            <w:tcBorders>
              <w:bottom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b w:val="1"/>
                <w:bCs w:val="1"/>
                <w:color w:val="auto"/>
                <w:w w:val="82"/>
              </w:rPr>
              <w:t>$</w:t>
            </w:r>
          </w:p>
        </w:tc>
        <w:tc>
          <w:tcPr>
            <w:tcW w:w="96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b w:val="1"/>
                <w:bCs w:val="1"/>
                <w:color w:val="auto"/>
              </w:rPr>
              <w:t>(384)</w:t>
            </w:r>
          </w:p>
        </w:tc>
        <w:tc>
          <w:tcPr>
            <w:tcW w:w="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2,512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180" w:type="dxa"/>
            <w:vAlign w:val="bottom"/>
            <w:gridSpan w:val="3"/>
          </w:tcPr>
          <w:p>
            <w:pPr>
              <w:jc w:val="center"/>
              <w:spacing w:after="0" w:line="132" w:lineRule="exact"/>
              <w:rPr>
                <w:sz w:val="20"/>
                <w:szCs w:val="20"/>
                <w:color w:val="auto"/>
              </w:rPr>
            </w:pPr>
            <w:r>
              <w:rPr>
                <w:rFonts w:ascii="Arial" w:cs="Arial" w:eastAsia="Arial" w:hAnsi="Arial"/>
                <w:sz w:val="13"/>
                <w:szCs w:val="13"/>
                <w:b w:val="1"/>
                <w:bCs w:val="1"/>
                <w:color w:val="auto"/>
                <w:w w:val="95"/>
              </w:rPr>
              <w:t>Additional Paid-In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117"/>
              <w:spacing w:after="0" w:line="132" w:lineRule="exact"/>
              <w:rPr>
                <w:sz w:val="20"/>
                <w:szCs w:val="20"/>
                <w:color w:val="auto"/>
              </w:rPr>
            </w:pPr>
            <w:r>
              <w:rPr>
                <w:rFonts w:ascii="Arial" w:cs="Arial" w:eastAsia="Arial" w:hAnsi="Arial"/>
                <w:sz w:val="13"/>
                <w:szCs w:val="13"/>
                <w:b w:val="1"/>
                <w:bCs w:val="1"/>
                <w:color w:val="auto"/>
                <w:w w:val="95"/>
              </w:rPr>
              <w:t>Accumulated</w:t>
            </w:r>
          </w:p>
        </w:tc>
        <w:tc>
          <w:tcPr>
            <w:tcW w:w="240" w:type="dxa"/>
            <w:vAlign w:val="bottom"/>
          </w:tcPr>
          <w:p>
            <w:pPr>
              <w:spacing w:after="0"/>
              <w:rPr>
                <w:sz w:val="11"/>
                <w:szCs w:val="11"/>
                <w:color w:val="auto"/>
              </w:rPr>
            </w:pPr>
          </w:p>
        </w:tc>
        <w:tc>
          <w:tcPr>
            <w:tcW w:w="700" w:type="dxa"/>
            <w:vAlign w:val="bottom"/>
            <w:vMerge w:val="restart"/>
          </w:tcPr>
          <w:p>
            <w:pPr>
              <w:jc w:val="center"/>
              <w:ind w:right="11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Twenty-six weeks ended</w:t>
            </w:r>
          </w:p>
        </w:tc>
        <w:tc>
          <w:tcPr>
            <w:tcW w:w="900" w:type="dxa"/>
            <w:vAlign w:val="bottom"/>
            <w:gridSpan w:val="2"/>
          </w:tcPr>
          <w:p>
            <w:pPr>
              <w:jc w:val="center"/>
              <w:ind w:left="217"/>
              <w:spacing w:after="0" w:line="135" w:lineRule="exact"/>
              <w:rPr>
                <w:sz w:val="20"/>
                <w:szCs w:val="20"/>
                <w:color w:val="auto"/>
              </w:rPr>
            </w:pPr>
            <w:r>
              <w:rPr>
                <w:rFonts w:ascii="Arial" w:cs="Arial" w:eastAsia="Arial" w:hAnsi="Arial"/>
                <w:sz w:val="13"/>
                <w:szCs w:val="13"/>
                <w:b w:val="1"/>
                <w:bCs w:val="1"/>
                <w:color w:val="auto"/>
                <w:w w:val="95"/>
              </w:rPr>
              <w:t>Capital &amp;</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vMerge w:val="restart"/>
          </w:tcPr>
          <w:p>
            <w:pPr>
              <w:jc w:val="right"/>
              <w:ind w:right="37"/>
              <w:spacing w:after="0"/>
              <w:rPr>
                <w:sz w:val="20"/>
                <w:szCs w:val="20"/>
                <w:color w:val="auto"/>
              </w:rPr>
            </w:pPr>
            <w:r>
              <w:rPr>
                <w:rFonts w:ascii="Arial" w:cs="Arial" w:eastAsia="Arial" w:hAnsi="Arial"/>
                <w:sz w:val="13"/>
                <w:szCs w:val="13"/>
                <w:b w:val="1"/>
                <w:bCs w:val="1"/>
                <w:color w:val="auto"/>
              </w:rPr>
              <w:t>Treasury Stock</w:t>
            </w: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96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97"/>
              </w:rPr>
              <w:t>Other</w:t>
            </w: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40" w:type="dxa"/>
            <w:vAlign w:val="bottom"/>
            <w:gridSpan w:val="2"/>
            <w:vMerge w:val="continue"/>
          </w:tcPr>
          <w:p>
            <w:pPr>
              <w:spacing w:after="0"/>
              <w:rPr>
                <w:sz w:val="13"/>
                <w:szCs w:val="13"/>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Common Stock</w:t>
            </w:r>
          </w:p>
        </w:tc>
        <w:tc>
          <w:tcPr>
            <w:tcW w:w="160" w:type="dxa"/>
            <w:vAlign w:val="bottom"/>
          </w:tcPr>
          <w:p>
            <w:pPr>
              <w:spacing w:after="0"/>
              <w:rPr>
                <w:sz w:val="13"/>
                <w:szCs w:val="13"/>
                <w:color w:val="auto"/>
              </w:rPr>
            </w:pPr>
          </w:p>
        </w:tc>
        <w:tc>
          <w:tcPr>
            <w:tcW w:w="1080" w:type="dxa"/>
            <w:vAlign w:val="bottom"/>
            <w:tcBorders>
              <w:bottom w:val="single" w:sz="8" w:color="auto"/>
            </w:tcBorders>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3"/>
                <w:szCs w:val="13"/>
                <w:b w:val="1"/>
                <w:bCs w:val="1"/>
                <w:color w:val="auto"/>
              </w:rPr>
              <w:t>Comprehensive</w:t>
            </w: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Shareholders'</w:t>
            </w:r>
          </w:p>
        </w:tc>
        <w:tc>
          <w:tcPr>
            <w:tcW w:w="0" w:type="dxa"/>
            <w:vAlign w:val="bottom"/>
          </w:tcPr>
          <w:p>
            <w:pPr>
              <w:spacing w:after="0"/>
              <w:rPr>
                <w:sz w:val="1"/>
                <w:szCs w:val="1"/>
                <w:color w:val="auto"/>
              </w:rPr>
            </w:pPr>
          </w:p>
        </w:tc>
      </w:tr>
      <w:tr>
        <w:trPr>
          <w:trHeight w:val="129"/>
        </w:trPr>
        <w:tc>
          <w:tcPr>
            <w:tcW w:w="3640" w:type="dxa"/>
            <w:vAlign w:val="bottom"/>
            <w:gridSpan w:val="2"/>
          </w:tcPr>
          <w:p>
            <w:pPr>
              <w:spacing w:after="0" w:line="129" w:lineRule="exact"/>
              <w:rPr>
                <w:sz w:val="20"/>
                <w:szCs w:val="20"/>
                <w:color w:val="auto"/>
              </w:rPr>
            </w:pPr>
            <w:r>
              <w:rPr>
                <w:rFonts w:ascii="Arial" w:cs="Arial" w:eastAsia="Arial" w:hAnsi="Arial"/>
                <w:sz w:val="13"/>
                <w:szCs w:val="13"/>
                <w:color w:val="auto"/>
              </w:rPr>
              <w:t>(shares in thousands, amounts in millions)</w:t>
            </w:r>
          </w:p>
        </w:tc>
        <w:tc>
          <w:tcPr>
            <w:tcW w:w="560" w:type="dxa"/>
            <w:vAlign w:val="bottom"/>
          </w:tcPr>
          <w:p>
            <w:pPr>
              <w:jc w:val="right"/>
              <w:ind w:right="17"/>
              <w:spacing w:after="0" w:line="129" w:lineRule="exact"/>
              <w:rPr>
                <w:sz w:val="20"/>
                <w:szCs w:val="20"/>
                <w:color w:val="auto"/>
              </w:rPr>
            </w:pPr>
            <w:r>
              <w:rPr>
                <w:rFonts w:ascii="Arial" w:cs="Arial" w:eastAsia="Arial" w:hAnsi="Arial"/>
                <w:sz w:val="13"/>
                <w:szCs w:val="13"/>
                <w:b w:val="1"/>
                <w:bCs w:val="1"/>
                <w:color w:val="auto"/>
              </w:rPr>
              <w:t>Shares</w:t>
            </w:r>
          </w:p>
        </w:tc>
        <w:tc>
          <w:tcPr>
            <w:tcW w:w="62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1"/>
                <w:szCs w:val="11"/>
                <w:color w:val="auto"/>
              </w:rPr>
            </w:pPr>
          </w:p>
        </w:tc>
        <w:tc>
          <w:tcPr>
            <w:tcW w:w="500" w:type="dxa"/>
            <w:vAlign w:val="bottom"/>
          </w:tcPr>
          <w:p>
            <w:pPr>
              <w:jc w:val="right"/>
              <w:ind w:right="37"/>
              <w:spacing w:after="0" w:line="129" w:lineRule="exact"/>
              <w:rPr>
                <w:sz w:val="20"/>
                <w:szCs w:val="20"/>
                <w:color w:val="auto"/>
              </w:rPr>
            </w:pPr>
            <w:r>
              <w:rPr>
                <w:rFonts w:ascii="Arial" w:cs="Arial" w:eastAsia="Arial" w:hAnsi="Arial"/>
                <w:sz w:val="13"/>
                <w:szCs w:val="13"/>
                <w:b w:val="1"/>
                <w:bCs w:val="1"/>
                <w:color w:val="auto"/>
                <w:w w:val="87"/>
              </w:rPr>
              <w:t>Shares</w:t>
            </w:r>
          </w:p>
        </w:tc>
        <w:tc>
          <w:tcPr>
            <w:tcW w:w="580" w:type="dxa"/>
            <w:vAlign w:val="bottom"/>
            <w:gridSpan w:val="2"/>
          </w:tcPr>
          <w:p>
            <w:pPr>
              <w:ind w:left="80"/>
              <w:spacing w:after="0" w:line="129" w:lineRule="exact"/>
              <w:rPr>
                <w:sz w:val="20"/>
                <w:szCs w:val="20"/>
                <w:color w:val="auto"/>
              </w:rPr>
            </w:pPr>
            <w:r>
              <w:rPr>
                <w:rFonts w:ascii="Arial" w:cs="Arial" w:eastAsia="Arial" w:hAnsi="Arial"/>
                <w:sz w:val="13"/>
                <w:szCs w:val="13"/>
                <w:b w:val="1"/>
                <w:bCs w:val="1"/>
                <w:color w:val="auto"/>
                <w:w w:val="97"/>
              </w:rPr>
              <w:t>Amount</w:t>
            </w:r>
          </w:p>
        </w:tc>
        <w:tc>
          <w:tcPr>
            <w:tcW w:w="780" w:type="dxa"/>
            <w:vAlign w:val="bottom"/>
            <w:gridSpan w:val="2"/>
          </w:tcPr>
          <w:p>
            <w:pPr>
              <w:ind w:left="160"/>
              <w:spacing w:after="0" w:line="129" w:lineRule="exact"/>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1"/>
                <w:szCs w:val="11"/>
                <w:color w:val="auto"/>
              </w:rPr>
            </w:pPr>
          </w:p>
        </w:tc>
        <w:tc>
          <w:tcPr>
            <w:tcW w:w="960" w:type="dxa"/>
            <w:vAlign w:val="bottom"/>
          </w:tcPr>
          <w:p>
            <w:pPr>
              <w:jc w:val="center"/>
              <w:ind w:right="117"/>
              <w:spacing w:after="0" w:line="129" w:lineRule="exact"/>
              <w:rPr>
                <w:sz w:val="20"/>
                <w:szCs w:val="20"/>
                <w:color w:val="auto"/>
              </w:rPr>
            </w:pPr>
            <w:r>
              <w:rPr>
                <w:rFonts w:ascii="Arial" w:cs="Arial" w:eastAsia="Arial" w:hAnsi="Arial"/>
                <w:sz w:val="13"/>
                <w:szCs w:val="13"/>
                <w:b w:val="1"/>
                <w:bCs w:val="1"/>
                <w:color w:val="auto"/>
                <w:w w:val="98"/>
              </w:rPr>
              <w:t>Loss</w:t>
            </w:r>
          </w:p>
        </w:tc>
        <w:tc>
          <w:tcPr>
            <w:tcW w:w="240" w:type="dxa"/>
            <w:vAlign w:val="bottom"/>
          </w:tcPr>
          <w:p>
            <w:pPr>
              <w:spacing w:after="0"/>
              <w:rPr>
                <w:sz w:val="11"/>
                <w:szCs w:val="11"/>
                <w:color w:val="auto"/>
              </w:rPr>
            </w:pPr>
          </w:p>
        </w:tc>
        <w:tc>
          <w:tcPr>
            <w:tcW w:w="700" w:type="dxa"/>
            <w:vAlign w:val="bottom"/>
          </w:tcPr>
          <w:p>
            <w:pPr>
              <w:jc w:val="center"/>
              <w:ind w:right="117"/>
              <w:spacing w:after="0" w:line="12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6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at February 1, 2020</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104,188</w:t>
            </w:r>
          </w:p>
        </w:tc>
        <w:tc>
          <w:tcPr>
            <w:tcW w:w="340" w:type="dxa"/>
            <w:vAlign w:val="bottom"/>
            <w:tcBorders>
              <w:top w:val="single" w:sz="8" w:color="auto"/>
            </w:tcBorders>
            <w:shd w:val="clear" w:color="auto" w:fill="CCEEFF"/>
          </w:tcPr>
          <w:p>
            <w:pPr>
              <w:jc w:val="right"/>
              <w:ind w:right="157"/>
              <w:spacing w:after="0" w:line="129" w:lineRule="exact"/>
              <w:rPr>
                <w:sz w:val="20"/>
                <w:szCs w:val="20"/>
                <w:color w:val="auto"/>
              </w:rPr>
            </w:pPr>
            <w:r>
              <w:rPr>
                <w:rFonts w:ascii="Arial" w:cs="Arial" w:eastAsia="Arial" w:hAnsi="Arial"/>
                <w:sz w:val="13"/>
                <w:szCs w:val="13"/>
                <w:b w:val="1"/>
                <w:bCs w:val="1"/>
                <w:color w:val="auto"/>
              </w:rPr>
              <w:t>$</w:t>
            </w: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764</w:t>
            </w:r>
          </w:p>
        </w:tc>
        <w:tc>
          <w:tcPr>
            <w:tcW w:w="1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ind w:right="57"/>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280" w:type="dxa"/>
            <w:vAlign w:val="bottom"/>
            <w:tcBorders>
              <w:top w:val="single" w:sz="8" w:color="auto"/>
            </w:tcBorders>
            <w:shd w:val="clear" w:color="auto" w:fill="CCEEFF"/>
          </w:tcPr>
          <w:p>
            <w:pPr>
              <w:ind w:left="160"/>
              <w:spacing w:after="0" w:line="129" w:lineRule="exact"/>
              <w:rPr>
                <w:sz w:val="20"/>
                <w:szCs w:val="20"/>
                <w:color w:val="auto"/>
              </w:rPr>
            </w:pPr>
            <w:r>
              <w:rPr>
                <w:rFonts w:ascii="Arial" w:cs="Arial" w:eastAsia="Arial" w:hAnsi="Arial"/>
                <w:sz w:val="13"/>
                <w:szCs w:val="13"/>
                <w:b w:val="1"/>
                <w:bCs w:val="1"/>
                <w:color w:val="auto"/>
              </w:rPr>
              <w:t>$</w:t>
            </w:r>
          </w:p>
        </w:tc>
        <w:tc>
          <w:tcPr>
            <w:tcW w:w="500" w:type="dxa"/>
            <w:vAlign w:val="bottom"/>
            <w:tcBorders>
              <w:top w:val="single" w:sz="8" w:color="auto"/>
            </w:tcBorders>
            <w:shd w:val="clear" w:color="auto" w:fill="CCEEFF"/>
          </w:tcPr>
          <w:p>
            <w:pPr>
              <w:jc w:val="right"/>
              <w:ind w:right="57"/>
              <w:spacing w:after="0" w:line="129" w:lineRule="exact"/>
              <w:rPr>
                <w:sz w:val="20"/>
                <w:szCs w:val="20"/>
                <w:color w:val="auto"/>
              </w:rPr>
            </w:pPr>
            <w:r>
              <w:rPr>
                <w:rFonts w:ascii="Arial" w:cs="Arial" w:eastAsia="Arial" w:hAnsi="Arial"/>
                <w:sz w:val="13"/>
                <w:szCs w:val="13"/>
                <w:b w:val="1"/>
                <w:bCs w:val="1"/>
                <w:color w:val="auto"/>
              </w:rPr>
              <w:t>2,103</w:t>
            </w:r>
          </w:p>
        </w:tc>
        <w:tc>
          <w:tcPr>
            <w:tcW w:w="160" w:type="dxa"/>
            <w:vAlign w:val="bottom"/>
            <w:tcBorders>
              <w:top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b w:val="1"/>
                <w:bCs w:val="1"/>
                <w:color w:val="auto"/>
              </w:rPr>
              <w:t>(394)</w:t>
            </w:r>
          </w:p>
        </w:tc>
        <w:tc>
          <w:tcPr>
            <w:tcW w:w="2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2,473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rPr>
              <w:t>Restricted stock issued</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67</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Issued under director and stock plans</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137</w:t>
            </w: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rPr>
              <w:t>Share-based compensation expense</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620" w:type="dxa"/>
            <w:vAlign w:val="bottom"/>
            <w:shd w:val="clear" w:color="auto" w:fill="CCEEFF"/>
          </w:tcPr>
          <w:p>
            <w:pPr>
              <w:spacing w:after="0" w:line="113" w:lineRule="exact"/>
              <w:rPr>
                <w:sz w:val="20"/>
                <w:szCs w:val="20"/>
                <w:color w:val="auto"/>
              </w:rPr>
            </w:pPr>
            <w:r>
              <w:rPr>
                <w:rFonts w:ascii="Arial" w:cs="Arial" w:eastAsia="Arial" w:hAnsi="Arial"/>
                <w:sz w:val="13"/>
                <w:szCs w:val="13"/>
                <w:color w:val="auto"/>
              </w:rPr>
              <w:t>Shares of common stock used to satisfy tax withholding</w:t>
            </w:r>
          </w:p>
        </w:tc>
        <w:tc>
          <w:tcPr>
            <w:tcW w:w="5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(23)</w:t>
            </w:r>
          </w:p>
        </w:tc>
        <w:tc>
          <w:tcPr>
            <w:tcW w:w="22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obligations</w:t>
            </w:r>
          </w:p>
        </w:tc>
        <w:tc>
          <w:tcPr>
            <w:tcW w:w="5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rPr>
              <w:t>Reissued - ESPP</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23</w:t>
            </w:r>
          </w:p>
        </w:tc>
        <w:tc>
          <w:tcPr>
            <w:tcW w:w="22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(65)</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rPr>
              <w:t>Cash dividends declared on common stock ($0.40 per share)</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(42)</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Translation adjustment, net of tax</w:t>
            </w: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20</w:t>
            </w: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rPr>
              <w:t>Change in cash flow hedges, net of tax</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w:t>
            </w: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Pension and postretirement adjustments, net of tax</w:t>
            </w:r>
          </w:p>
        </w:tc>
        <w:tc>
          <w:tcPr>
            <w:tcW w:w="56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w:t>
            </w:r>
          </w:p>
        </w:tc>
        <w:tc>
          <w:tcPr>
            <w:tcW w:w="2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62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Balance at August 1, 2020</w:t>
            </w: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104,392</w:t>
            </w:r>
          </w:p>
        </w:tc>
        <w:tc>
          <w:tcPr>
            <w:tcW w:w="340" w:type="dxa"/>
            <w:vAlign w:val="bottom"/>
            <w:tcBorders>
              <w:bottom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auto"/>
              </w:rPr>
              <w:t>$</w:t>
            </w: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774</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tcPr>
          <w:p>
            <w:pPr>
              <w:ind w:left="80"/>
              <w:spacing w:after="0" w:line="129" w:lineRule="exact"/>
              <w:rPr>
                <w:sz w:val="20"/>
                <w:szCs w:val="20"/>
                <w:color w:val="auto"/>
              </w:rPr>
            </w:pPr>
            <w:r>
              <w:rPr>
                <w:rFonts w:ascii="Arial" w:cs="Arial" w:eastAsia="Arial" w:hAnsi="Arial"/>
                <w:sz w:val="13"/>
                <w:szCs w:val="13"/>
                <w:b w:val="1"/>
                <w:bCs w:val="1"/>
                <w:color w:val="auto"/>
              </w:rPr>
              <w:t>$</w:t>
            </w:r>
          </w:p>
        </w:tc>
        <w:tc>
          <w:tcPr>
            <w:tcW w:w="3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280" w:type="dxa"/>
            <w:vAlign w:val="bottom"/>
            <w:tcBorders>
              <w:bottom w:val="single" w:sz="8" w:color="auto"/>
            </w:tcBorders>
          </w:tcPr>
          <w:p>
            <w:pPr>
              <w:ind w:left="160"/>
              <w:spacing w:after="0" w:line="129" w:lineRule="exact"/>
              <w:rPr>
                <w:sz w:val="20"/>
                <w:szCs w:val="20"/>
                <w:color w:val="auto"/>
              </w:rPr>
            </w:pPr>
            <w:r>
              <w:rPr>
                <w:rFonts w:ascii="Arial" w:cs="Arial" w:eastAsia="Arial" w:hAnsi="Arial"/>
                <w:sz w:val="13"/>
                <w:szCs w:val="13"/>
                <w:b w:val="1"/>
                <w:bCs w:val="1"/>
                <w:color w:val="auto"/>
              </w:rPr>
              <w:t>$</w:t>
            </w:r>
          </w:p>
        </w:tc>
        <w:tc>
          <w:tcPr>
            <w:tcW w:w="50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1,996</w:t>
            </w:r>
          </w:p>
        </w:tc>
        <w:tc>
          <w:tcPr>
            <w:tcW w:w="160" w:type="dxa"/>
            <w:vAlign w:val="bottom"/>
            <w:tcBorders>
              <w:bottom w:val="single" w:sz="8" w:color="auto"/>
            </w:tcBorders>
          </w:tcPr>
          <w:p>
            <w:pPr>
              <w:ind w:left="80"/>
              <w:spacing w:after="0" w:line="129" w:lineRule="exact"/>
              <w:rPr>
                <w:sz w:val="20"/>
                <w:szCs w:val="20"/>
                <w:color w:val="auto"/>
              </w:rPr>
            </w:pPr>
            <w:r>
              <w:rPr>
                <w:rFonts w:ascii="Arial" w:cs="Arial" w:eastAsia="Arial" w:hAnsi="Arial"/>
                <w:sz w:val="13"/>
                <w:szCs w:val="13"/>
                <w:b w:val="1"/>
                <w:bCs w:val="1"/>
                <w:color w:val="auto"/>
                <w:w w:val="82"/>
              </w:rPr>
              <w:t>$</w:t>
            </w:r>
          </w:p>
        </w:tc>
        <w:tc>
          <w:tcPr>
            <w:tcW w:w="96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rPr>
              <w:t>(367)</w:t>
            </w:r>
          </w:p>
        </w:tc>
        <w:tc>
          <w:tcPr>
            <w:tcW w:w="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2,403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620" w:type="dxa"/>
            <w:vAlign w:val="bottom"/>
          </w:tcPr>
          <w:p>
            <w:pPr>
              <w:spacing w:after="0" w:line="129" w:lineRule="exact"/>
              <w:rPr>
                <w:sz w:val="20"/>
                <w:szCs w:val="20"/>
                <w:color w:val="auto"/>
              </w:rPr>
            </w:pPr>
            <w:r>
              <w:rPr>
                <w:rFonts w:ascii="Arial" w:cs="Arial" w:eastAsia="Arial" w:hAnsi="Arial"/>
                <w:sz w:val="13"/>
                <w:szCs w:val="13"/>
                <w:b w:val="1"/>
                <w:bCs w:val="1"/>
                <w:color w:val="auto"/>
              </w:rPr>
              <w:t>Balance at February 2, 2019</w:t>
            </w:r>
          </w:p>
        </w:tc>
        <w:tc>
          <w:tcPr>
            <w:tcW w:w="5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112,933</w:t>
            </w:r>
          </w:p>
        </w:tc>
        <w:tc>
          <w:tcPr>
            <w:tcW w:w="340" w:type="dxa"/>
            <w:vAlign w:val="bottom"/>
          </w:tcPr>
          <w:p>
            <w:pPr>
              <w:jc w:val="right"/>
              <w:ind w:right="157"/>
              <w:spacing w:after="0" w:line="12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809</w:t>
            </w:r>
          </w:p>
        </w:tc>
        <w:tc>
          <w:tcPr>
            <w:tcW w:w="660" w:type="dxa"/>
            <w:vAlign w:val="bottom"/>
            <w:gridSpan w:val="2"/>
          </w:tcPr>
          <w:p>
            <w:pPr>
              <w:jc w:val="right"/>
              <w:ind w:right="17"/>
              <w:spacing w:after="0" w:line="129" w:lineRule="exact"/>
              <w:rPr>
                <w:sz w:val="20"/>
                <w:szCs w:val="20"/>
                <w:color w:val="auto"/>
              </w:rPr>
            </w:pPr>
            <w:r>
              <w:rPr>
                <w:rFonts w:ascii="Arial" w:cs="Arial" w:eastAsia="Arial" w:hAnsi="Arial"/>
                <w:sz w:val="13"/>
                <w:szCs w:val="13"/>
                <w:b w:val="1"/>
                <w:bCs w:val="1"/>
                <w:color w:val="auto"/>
              </w:rPr>
              <w:t>(711)</w:t>
            </w:r>
          </w:p>
        </w:tc>
        <w:tc>
          <w:tcPr>
            <w:tcW w:w="220" w:type="dxa"/>
            <w:vAlign w:val="bottom"/>
          </w:tcPr>
          <w:p>
            <w:pPr>
              <w:ind w:left="80"/>
              <w:spacing w:after="0" w:line="12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(37)</w:t>
            </w:r>
          </w:p>
        </w:tc>
        <w:tc>
          <w:tcPr>
            <w:tcW w:w="280" w:type="dxa"/>
            <w:vAlign w:val="bottom"/>
          </w:tcPr>
          <w:p>
            <w:pPr>
              <w:ind w:left="160"/>
              <w:spacing w:after="0" w:line="129" w:lineRule="exact"/>
              <w:rPr>
                <w:sz w:val="20"/>
                <w:szCs w:val="20"/>
                <w:color w:val="auto"/>
              </w:rPr>
            </w:pPr>
            <w:r>
              <w:rPr>
                <w:rFonts w:ascii="Arial" w:cs="Arial" w:eastAsia="Arial" w:hAnsi="Arial"/>
                <w:sz w:val="13"/>
                <w:szCs w:val="13"/>
                <w:b w:val="1"/>
                <w:bCs w:val="1"/>
                <w:color w:val="auto"/>
              </w:rPr>
              <w:t>$</w:t>
            </w:r>
          </w:p>
        </w:tc>
        <w:tc>
          <w:tcPr>
            <w:tcW w:w="500" w:type="dxa"/>
            <w:vAlign w:val="bottom"/>
          </w:tcPr>
          <w:p>
            <w:pPr>
              <w:jc w:val="right"/>
              <w:ind w:right="57"/>
              <w:spacing w:after="0" w:line="129" w:lineRule="exact"/>
              <w:rPr>
                <w:sz w:val="20"/>
                <w:szCs w:val="20"/>
                <w:color w:val="auto"/>
              </w:rPr>
            </w:pPr>
            <w:r>
              <w:rPr>
                <w:rFonts w:ascii="Arial" w:cs="Arial" w:eastAsia="Arial" w:hAnsi="Arial"/>
                <w:sz w:val="13"/>
                <w:szCs w:val="13"/>
                <w:b w:val="1"/>
                <w:bCs w:val="1"/>
                <w:color w:val="auto"/>
              </w:rPr>
              <w:t>2,104</w:t>
            </w:r>
          </w:p>
        </w:tc>
        <w:tc>
          <w:tcPr>
            <w:tcW w:w="160" w:type="dxa"/>
            <w:vAlign w:val="bottom"/>
          </w:tcPr>
          <w:p>
            <w:pPr>
              <w:ind w:left="80"/>
              <w:spacing w:after="0" w:line="129" w:lineRule="exact"/>
              <w:rPr>
                <w:sz w:val="20"/>
                <w:szCs w:val="20"/>
                <w:color w:val="auto"/>
              </w:rPr>
            </w:pPr>
            <w:r>
              <w:rPr>
                <w:rFonts w:ascii="Arial" w:cs="Arial" w:eastAsia="Arial" w:hAnsi="Arial"/>
                <w:sz w:val="13"/>
                <w:szCs w:val="13"/>
                <w:b w:val="1"/>
                <w:bCs w:val="1"/>
                <w:color w:val="auto"/>
                <w:w w:val="82"/>
              </w:rPr>
              <w:t>$</w:t>
            </w:r>
          </w:p>
        </w:tc>
        <w:tc>
          <w:tcPr>
            <w:tcW w:w="960" w:type="dxa"/>
            <w:vAlign w:val="bottom"/>
          </w:tcPr>
          <w:p>
            <w:pPr>
              <w:jc w:val="right"/>
              <w:ind w:right="17"/>
              <w:spacing w:after="0" w:line="129" w:lineRule="exact"/>
              <w:rPr>
                <w:sz w:val="20"/>
                <w:szCs w:val="20"/>
                <w:color w:val="auto"/>
              </w:rPr>
            </w:pPr>
            <w:r>
              <w:rPr>
                <w:rFonts w:ascii="Arial" w:cs="Arial" w:eastAsia="Arial" w:hAnsi="Arial"/>
                <w:sz w:val="13"/>
                <w:szCs w:val="13"/>
                <w:b w:val="1"/>
                <w:bCs w:val="1"/>
                <w:color w:val="auto"/>
              </w:rPr>
              <w:t>(370)</w:t>
            </w:r>
          </w:p>
        </w:tc>
        <w:tc>
          <w:tcPr>
            <w:tcW w:w="2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2,506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Restricted stock issued</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w:t>
            </w: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rPr>
              <w:t>Issued under director and stock plans</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179</w:t>
            </w:r>
          </w:p>
        </w:tc>
        <w:tc>
          <w:tcPr>
            <w:tcW w:w="34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Share-based compensation expense</w:t>
            </w: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620" w:type="dxa"/>
            <w:vAlign w:val="bottom"/>
          </w:tcPr>
          <w:p>
            <w:pPr>
              <w:spacing w:after="0" w:line="113" w:lineRule="exact"/>
              <w:rPr>
                <w:sz w:val="20"/>
                <w:szCs w:val="20"/>
                <w:color w:val="auto"/>
              </w:rPr>
            </w:pPr>
            <w:r>
              <w:rPr>
                <w:rFonts w:ascii="Arial" w:cs="Arial" w:eastAsia="Arial" w:hAnsi="Arial"/>
                <w:sz w:val="13"/>
                <w:szCs w:val="13"/>
                <w:color w:val="auto"/>
              </w:rPr>
              <w:t>Shares of common stock used to satisfy tax withholding</w:t>
            </w: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gridSpan w:val="2"/>
            <w:vMerge w:val="restart"/>
          </w:tcPr>
          <w:p>
            <w:pPr>
              <w:jc w:val="right"/>
              <w:ind w:right="17"/>
              <w:spacing w:after="0"/>
              <w:rPr>
                <w:sz w:val="20"/>
                <w:szCs w:val="20"/>
                <w:color w:val="auto"/>
              </w:rPr>
            </w:pPr>
            <w:r>
              <w:rPr>
                <w:rFonts w:ascii="Arial" w:cs="Arial" w:eastAsia="Arial" w:hAnsi="Arial"/>
                <w:sz w:val="13"/>
                <w:szCs w:val="13"/>
                <w:color w:val="auto"/>
              </w:rPr>
              <w:t>(32)</w:t>
            </w:r>
          </w:p>
        </w:tc>
        <w:tc>
          <w:tcPr>
            <w:tcW w:w="22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3640" w:type="dxa"/>
            <w:vAlign w:val="bottom"/>
            <w:gridSpan w:val="2"/>
          </w:tcPr>
          <w:p>
            <w:pPr>
              <w:spacing w:after="0"/>
              <w:rPr>
                <w:sz w:val="20"/>
                <w:szCs w:val="20"/>
                <w:color w:val="auto"/>
              </w:rPr>
            </w:pPr>
            <w:r>
              <w:rPr>
                <w:rFonts w:ascii="Arial" w:cs="Arial" w:eastAsia="Arial" w:hAnsi="Arial"/>
                <w:sz w:val="13"/>
                <w:szCs w:val="13"/>
                <w:color w:val="auto"/>
              </w:rPr>
              <w:t>obligations</w:t>
            </w: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 repurchases</w:t>
            </w: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(2,932)</w:t>
            </w: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(122)</w:t>
            </w: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rPr>
              <w:t>Reissued - ESPP</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96</w:t>
            </w:r>
          </w:p>
        </w:tc>
        <w:tc>
          <w:tcPr>
            <w:tcW w:w="22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232</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rPr>
              <w:t>Cash dividends declared on common stock ($0.76 per share)</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(84)</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Translation adjustment, net of tax</w:t>
            </w: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(21)</w:t>
            </w: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rPr>
              <w:t>Change in cash flow hedges, net of tax</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w:t>
            </w: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Pension and postretirement adjustments, net of tax</w:t>
            </w: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w:t>
            </w: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Borders>
              <w:bottom w:val="single" w:sz="8" w:color="auto"/>
            </w:tcBorders>
          </w:tcPr>
          <w:p>
            <w:pPr>
              <w:spacing w:after="0" w:line="135" w:lineRule="exact"/>
              <w:rPr>
                <w:sz w:val="20"/>
                <w:szCs w:val="20"/>
                <w:color w:val="auto"/>
              </w:rPr>
            </w:pPr>
            <w:r>
              <w:rPr>
                <w:rFonts w:ascii="Arial" w:cs="Arial" w:eastAsia="Arial" w:hAnsi="Arial"/>
                <w:sz w:val="13"/>
                <w:szCs w:val="13"/>
                <w:color w:val="auto"/>
              </w:rPr>
              <w:t>Cumulative effect of the adoption of Topic 842</w:t>
            </w:r>
          </w:p>
        </w:tc>
        <w:tc>
          <w:tcPr>
            <w:tcW w:w="5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7"/>
              <w:spacing w:after="0" w:line="135" w:lineRule="exact"/>
              <w:rPr>
                <w:sz w:val="20"/>
                <w:szCs w:val="20"/>
                <w:color w:val="auto"/>
              </w:rPr>
            </w:pPr>
            <w:r>
              <w:rPr>
                <w:rFonts w:ascii="Arial" w:cs="Arial" w:eastAsia="Arial" w:hAnsi="Arial"/>
                <w:sz w:val="13"/>
                <w:szCs w:val="13"/>
                <w:color w:val="auto"/>
              </w:rPr>
              <w:t>(26)</w:t>
            </w: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62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at August 3, 2019</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113,200</w:t>
            </w:r>
          </w:p>
        </w:tc>
        <w:tc>
          <w:tcPr>
            <w:tcW w:w="340" w:type="dxa"/>
            <w:vAlign w:val="bottom"/>
            <w:tcBorders>
              <w:bottom w:val="single" w:sz="8" w:color="auto"/>
            </w:tcBorders>
            <w:shd w:val="clear" w:color="auto" w:fill="CCEEFF"/>
          </w:tcPr>
          <w:p>
            <w:pPr>
              <w:jc w:val="right"/>
              <w:ind w:right="157"/>
              <w:spacing w:after="0" w:line="129" w:lineRule="exact"/>
              <w:rPr>
                <w:sz w:val="20"/>
                <w:szCs w:val="20"/>
                <w:color w:val="auto"/>
              </w:rPr>
            </w:pPr>
            <w:r>
              <w:rPr>
                <w:rFonts w:ascii="Arial" w:cs="Arial" w:eastAsia="Arial" w:hAnsi="Arial"/>
                <w:sz w:val="13"/>
                <w:szCs w:val="13"/>
                <w:b w:val="1"/>
                <w:bCs w:val="1"/>
                <w:color w:val="auto"/>
              </w:rPr>
              <w:t>$</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825</w:t>
            </w:r>
          </w:p>
        </w:tc>
        <w:tc>
          <w:tcPr>
            <w:tcW w:w="660" w:type="dxa"/>
            <w:vAlign w:val="bottom"/>
            <w:tcBorders>
              <w:bottom w:val="single" w:sz="8" w:color="auto"/>
            </w:tcBorders>
            <w:gridSpan w:val="2"/>
            <w:shd w:val="clear" w:color="auto" w:fill="CCEEFF"/>
          </w:tcPr>
          <w:p>
            <w:pPr>
              <w:jc w:val="right"/>
              <w:ind w:right="17"/>
              <w:spacing w:after="0" w:line="129" w:lineRule="exact"/>
              <w:rPr>
                <w:sz w:val="20"/>
                <w:szCs w:val="20"/>
                <w:color w:val="auto"/>
              </w:rPr>
            </w:pPr>
            <w:r>
              <w:rPr>
                <w:rFonts w:ascii="Arial" w:cs="Arial" w:eastAsia="Arial" w:hAnsi="Arial"/>
                <w:sz w:val="13"/>
                <w:szCs w:val="13"/>
                <w:b w:val="1"/>
                <w:bCs w:val="1"/>
                <w:color w:val="auto"/>
              </w:rPr>
              <w:t>(3,579)</w:t>
            </w:r>
          </w:p>
        </w:tc>
        <w:tc>
          <w:tcPr>
            <w:tcW w:w="220" w:type="dxa"/>
            <w:vAlign w:val="bottom"/>
            <w:tcBorders>
              <w:bottom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b w:val="1"/>
                <w:bCs w:val="1"/>
                <w:color w:val="auto"/>
              </w:rPr>
              <w:t>$</w:t>
            </w:r>
          </w:p>
        </w:tc>
        <w:tc>
          <w:tcPr>
            <w:tcW w:w="3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(155)</w:t>
            </w:r>
          </w:p>
        </w:tc>
        <w:tc>
          <w:tcPr>
            <w:tcW w:w="280" w:type="dxa"/>
            <w:vAlign w:val="bottom"/>
            <w:tcBorders>
              <w:bottom w:val="single" w:sz="8" w:color="auto"/>
            </w:tcBorders>
            <w:shd w:val="clear" w:color="auto" w:fill="CCEEFF"/>
          </w:tcPr>
          <w:p>
            <w:pPr>
              <w:ind w:left="160"/>
              <w:spacing w:after="0" w:line="129" w:lineRule="exact"/>
              <w:rPr>
                <w:sz w:val="20"/>
                <w:szCs w:val="20"/>
                <w:color w:val="auto"/>
              </w:rPr>
            </w:pPr>
            <w:r>
              <w:rPr>
                <w:rFonts w:ascii="Arial" w:cs="Arial" w:eastAsia="Arial" w:hAnsi="Arial"/>
                <w:sz w:val="13"/>
                <w:szCs w:val="13"/>
                <w:b w:val="1"/>
                <w:bCs w:val="1"/>
                <w:color w:val="auto"/>
              </w:rPr>
              <w:t>$</w:t>
            </w:r>
          </w:p>
        </w:tc>
        <w:tc>
          <w:tcPr>
            <w:tcW w:w="500" w:type="dxa"/>
            <w:vAlign w:val="bottom"/>
            <w:tcBorders>
              <w:bottom w:val="single" w:sz="8" w:color="auto"/>
            </w:tcBorders>
            <w:shd w:val="clear" w:color="auto" w:fill="CCEEFF"/>
          </w:tcPr>
          <w:p>
            <w:pPr>
              <w:jc w:val="right"/>
              <w:ind w:right="57"/>
              <w:spacing w:after="0" w:line="129" w:lineRule="exact"/>
              <w:rPr>
                <w:sz w:val="20"/>
                <w:szCs w:val="20"/>
                <w:color w:val="auto"/>
              </w:rPr>
            </w:pPr>
            <w:r>
              <w:rPr>
                <w:rFonts w:ascii="Arial" w:cs="Arial" w:eastAsia="Arial" w:hAnsi="Arial"/>
                <w:sz w:val="13"/>
                <w:szCs w:val="13"/>
                <w:b w:val="1"/>
                <w:bCs w:val="1"/>
                <w:color w:val="auto"/>
              </w:rPr>
              <w:t>2,226</w:t>
            </w:r>
          </w:p>
        </w:tc>
        <w:tc>
          <w:tcPr>
            <w:tcW w:w="160" w:type="dxa"/>
            <w:vAlign w:val="bottom"/>
            <w:tcBorders>
              <w:bottom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b w:val="1"/>
                <w:bCs w:val="1"/>
                <w:color w:val="auto"/>
                <w:w w:val="82"/>
              </w:rPr>
              <w:t>$</w:t>
            </w:r>
          </w:p>
        </w:tc>
        <w:tc>
          <w:tcPr>
            <w:tcW w:w="96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b w:val="1"/>
                <w:bCs w:val="1"/>
                <w:color w:val="auto"/>
              </w:rPr>
              <w:t>(384)</w:t>
            </w:r>
          </w:p>
        </w:tc>
        <w:tc>
          <w:tcPr>
            <w:tcW w:w="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2,512</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Accompanying Notes to the </w:t>
      </w:r>
      <w:r>
        <w:rPr>
          <w:rFonts w:ascii="Arial" w:cs="Arial" w:eastAsia="Arial" w:hAnsi="Arial"/>
          <w:sz w:val="17"/>
          <w:szCs w:val="17"/>
          <w:color w:val="auto"/>
        </w:rPr>
        <w:t>Unaudited</w:t>
      </w:r>
      <w:r>
        <w:rPr>
          <w:rFonts w:ascii="Arial" w:cs="Arial" w:eastAsia="Arial" w:hAnsi="Arial"/>
          <w:sz w:val="18"/>
          <w:szCs w:val="18"/>
          <w:color w:val="auto"/>
        </w:rPr>
        <w:t xml:space="preserv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Second Quarter 2020 Form 10-Q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361950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720090</wp:posOffset>
            </wp:positionV>
            <wp:extent cx="1834515"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82" w:lineRule="exact"/>
        <w:rPr>
          <w:sz w:val="20"/>
          <w:szCs w:val="20"/>
          <w:color w:val="auto"/>
        </w:rPr>
      </w:pPr>
    </w:p>
    <w:p>
      <w:pPr>
        <w:ind w:left="6560"/>
        <w:spacing w:after="0"/>
        <w:rPr>
          <w:sz w:val="20"/>
          <w:szCs w:val="20"/>
          <w:color w:val="auto"/>
        </w:rPr>
      </w:pPr>
      <w:r>
        <w:rPr>
          <w:rFonts w:ascii="Arial" w:cs="Arial" w:eastAsia="Arial" w:hAnsi="Arial"/>
          <w:sz w:val="16"/>
          <w:szCs w:val="16"/>
          <w:b w:val="1"/>
          <w:bCs w:val="1"/>
          <w:color w:val="auto"/>
        </w:rPr>
        <w:t>Twenty-six weeks ended</w:t>
      </w:r>
    </w:p>
    <w:p>
      <w:pPr>
        <w:spacing w:after="0" w:line="2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19"/>
              <w:spacing w:after="0" w:line="162" w:lineRule="exact"/>
              <w:rPr>
                <w:sz w:val="20"/>
                <w:szCs w:val="20"/>
                <w:color w:val="auto"/>
              </w:rPr>
            </w:pPr>
            <w:r>
              <w:rPr>
                <w:rFonts w:ascii="Arial" w:cs="Arial" w:eastAsia="Arial" w:hAnsi="Arial"/>
                <w:sz w:val="16"/>
                <w:szCs w:val="16"/>
                <w:b w:val="1"/>
                <w:bCs w:val="1"/>
                <w:color w:val="auto"/>
              </w:rPr>
              <w:t>August 1,</w:t>
            </w: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19"/>
              <w:spacing w:after="0" w:line="162" w:lineRule="exact"/>
              <w:rPr>
                <w:sz w:val="20"/>
                <w:szCs w:val="20"/>
                <w:color w:val="auto"/>
              </w:rPr>
            </w:pPr>
            <w:r>
              <w:rPr>
                <w:rFonts w:ascii="Arial" w:cs="Arial" w:eastAsia="Arial" w:hAnsi="Arial"/>
                <w:sz w:val="16"/>
                <w:szCs w:val="16"/>
                <w:b w:val="1"/>
                <w:bCs w:val="1"/>
                <w:color w:val="auto"/>
              </w:rPr>
              <w:t>August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gridSpan w:val="3"/>
          </w:tcPr>
          <w:p>
            <w:pPr>
              <w:jc w:val="right"/>
              <w:ind w:right="779"/>
              <w:spacing w:after="0" w:line="183" w:lineRule="exact"/>
              <w:rPr>
                <w:sz w:val="20"/>
                <w:szCs w:val="20"/>
                <w:color w:val="auto"/>
              </w:rPr>
            </w:pPr>
            <w:r>
              <w:rPr>
                <w:rFonts w:ascii="Arial" w:cs="Arial" w:eastAsia="Arial" w:hAnsi="Arial"/>
                <w:sz w:val="16"/>
                <w:szCs w:val="16"/>
                <w:color w:val="auto"/>
              </w:rPr>
              <w:t>($ in millions)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From operating activities:</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tcPr>
          <w:p>
            <w:pPr>
              <w:ind w:left="80"/>
              <w:spacing w:after="0"/>
              <w:rPr>
                <w:sz w:val="20"/>
                <w:szCs w:val="20"/>
                <w:color w:val="auto"/>
              </w:rPr>
            </w:pPr>
            <w:r>
              <w:rPr>
                <w:rFonts w:ascii="Arial" w:cs="Arial" w:eastAsia="Arial" w:hAnsi="Arial"/>
                <w:sz w:val="16"/>
                <w:szCs w:val="16"/>
                <w:color w:val="auto"/>
              </w:rPr>
              <w:t>Net (loss) income</w:t>
            </w:r>
          </w:p>
        </w:tc>
        <w:tc>
          <w:tcPr>
            <w:tcW w:w="4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(65)</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shd w:val="clear" w:color="auto" w:fill="CCEEFF"/>
          </w:tcPr>
          <w:p>
            <w:pPr>
              <w:ind w:left="80"/>
              <w:spacing w:after="0" w:line="171" w:lineRule="exact"/>
              <w:rPr>
                <w:sz w:val="20"/>
                <w:szCs w:val="20"/>
                <w:color w:val="auto"/>
              </w:rPr>
            </w:pPr>
            <w:r>
              <w:rPr>
                <w:rFonts w:ascii="Arial" w:cs="Arial" w:eastAsia="Arial" w:hAnsi="Arial"/>
                <w:sz w:val="16"/>
                <w:szCs w:val="16"/>
                <w:color w:val="auto"/>
              </w:rPr>
              <w:t>Adjustments to reconcile net (loss) income to net cash provided by operating</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7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activities: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tcPr>
          <w:p>
            <w:pPr>
              <w:ind w:left="200"/>
              <w:spacing w:after="0"/>
              <w:rPr>
                <w:sz w:val="20"/>
                <w:szCs w:val="20"/>
                <w:color w:val="auto"/>
              </w:rPr>
            </w:pPr>
            <w:r>
              <w:rPr>
                <w:rFonts w:ascii="Arial" w:cs="Arial" w:eastAsia="Arial" w:hAnsi="Arial"/>
                <w:sz w:val="16"/>
                <w:szCs w:val="16"/>
                <w:color w:val="auto"/>
              </w:rPr>
              <w:t>Non-cash impairment and other charges</w:t>
            </w:r>
          </w:p>
        </w:tc>
        <w:tc>
          <w:tcPr>
            <w:tcW w:w="400" w:type="dxa"/>
            <w:vAlign w:val="bottom"/>
          </w:tcPr>
          <w:p>
            <w:pPr>
              <w:spacing w:after="0"/>
              <w:rPr>
                <w:sz w:val="16"/>
                <w:szCs w:val="16"/>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31</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88</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400" w:type="dxa"/>
            <w:vAlign w:val="bottom"/>
          </w:tcPr>
          <w:p>
            <w:pPr>
              <w:spacing w:after="0"/>
              <w:rPr>
                <w:sz w:val="16"/>
                <w:szCs w:val="16"/>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22</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Share-based compensation expense</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tcPr>
          <w:p>
            <w:pPr>
              <w:ind w:left="200"/>
              <w:spacing w:after="0"/>
              <w:rPr>
                <w:sz w:val="20"/>
                <w:szCs w:val="20"/>
                <w:color w:val="auto"/>
              </w:rPr>
            </w:pPr>
            <w:r>
              <w:rPr>
                <w:rFonts w:ascii="Arial" w:cs="Arial" w:eastAsia="Arial" w:hAnsi="Arial"/>
                <w:sz w:val="16"/>
                <w:szCs w:val="16"/>
                <w:color w:val="auto"/>
              </w:rPr>
              <w:t>Qualified pension plan contributions</w:t>
            </w:r>
          </w:p>
        </w:tc>
        <w:tc>
          <w:tcPr>
            <w:tcW w:w="400" w:type="dxa"/>
            <w:vAlign w:val="bottom"/>
          </w:tcPr>
          <w:p>
            <w:pPr>
              <w:spacing w:after="0"/>
              <w:rPr>
                <w:sz w:val="16"/>
                <w:szCs w:val="16"/>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 in assets and liabilities:</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tcPr>
          <w:p>
            <w:pPr>
              <w:ind w:left="300"/>
              <w:spacing w:after="0"/>
              <w:rPr>
                <w:sz w:val="20"/>
                <w:szCs w:val="20"/>
                <w:color w:val="auto"/>
              </w:rPr>
            </w:pPr>
            <w:r>
              <w:rPr>
                <w:rFonts w:ascii="Arial" w:cs="Arial" w:eastAsia="Arial" w:hAnsi="Arial"/>
                <w:sz w:val="16"/>
                <w:szCs w:val="16"/>
                <w:color w:val="auto"/>
              </w:rPr>
              <w:t>Merchandise inventories</w:t>
            </w:r>
          </w:p>
        </w:tc>
        <w:tc>
          <w:tcPr>
            <w:tcW w:w="400" w:type="dxa"/>
            <w:vAlign w:val="bottom"/>
          </w:tcPr>
          <w:p>
            <w:pPr>
              <w:spacing w:after="0"/>
              <w:rPr>
                <w:sz w:val="16"/>
                <w:szCs w:val="16"/>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12</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291</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tcPr>
          <w:p>
            <w:pPr>
              <w:ind w:left="300"/>
              <w:spacing w:after="0"/>
              <w:rPr>
                <w:sz w:val="20"/>
                <w:szCs w:val="20"/>
                <w:color w:val="auto"/>
              </w:rPr>
            </w:pPr>
            <w:r>
              <w:rPr>
                <w:rFonts w:ascii="Arial" w:cs="Arial" w:eastAsia="Arial" w:hAnsi="Arial"/>
                <w:sz w:val="16"/>
                <w:szCs w:val="16"/>
                <w:color w:val="auto"/>
              </w:rPr>
              <w:t>Accrued and other liabilities</w:t>
            </w:r>
          </w:p>
        </w:tc>
        <w:tc>
          <w:tcPr>
            <w:tcW w:w="400" w:type="dxa"/>
            <w:vAlign w:val="bottom"/>
          </w:tcPr>
          <w:p>
            <w:pPr>
              <w:spacing w:after="0"/>
              <w:rPr>
                <w:sz w:val="16"/>
                <w:szCs w:val="16"/>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142</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Other, net</w:t>
            </w:r>
          </w:p>
        </w:tc>
        <w:tc>
          <w:tcPr>
            <w:tcW w:w="4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78</w:t>
            </w: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Net cash provided by operating activities</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606</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7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780" w:type="dxa"/>
            <w:vAlign w:val="bottom"/>
          </w:tcPr>
          <w:p>
            <w:pPr>
              <w:spacing w:after="0"/>
              <w:rPr>
                <w:sz w:val="20"/>
                <w:szCs w:val="20"/>
                <w:color w:val="auto"/>
              </w:rPr>
            </w:pPr>
            <w:r>
              <w:rPr>
                <w:rFonts w:ascii="Arial" w:cs="Arial" w:eastAsia="Arial" w:hAnsi="Arial"/>
                <w:sz w:val="16"/>
                <w:szCs w:val="16"/>
                <w:b w:val="1"/>
                <w:bCs w:val="1"/>
                <w:color w:val="auto"/>
              </w:rPr>
              <w:t>From investing activities:</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Capital expenditures</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(83)</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Minority investments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Net cash used in investing activities</w:t>
            </w: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b w:val="1"/>
                <w:bCs w:val="1"/>
                <w:color w:val="auto"/>
              </w:rPr>
              <w:t>(91)</w:t>
            </w: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From financing activities:</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tcPr>
          <w:p>
            <w:pPr>
              <w:ind w:left="80"/>
              <w:spacing w:after="0"/>
              <w:rPr>
                <w:sz w:val="20"/>
                <w:szCs w:val="20"/>
                <w:color w:val="auto"/>
              </w:rPr>
            </w:pPr>
            <w:r>
              <w:rPr>
                <w:rFonts w:ascii="Arial" w:cs="Arial" w:eastAsia="Arial" w:hAnsi="Arial"/>
                <w:sz w:val="16"/>
                <w:szCs w:val="16"/>
                <w:color w:val="auto"/>
              </w:rPr>
              <w:t>Proceeds from the revolving credit facility</w:t>
            </w:r>
          </w:p>
        </w:tc>
        <w:tc>
          <w:tcPr>
            <w:tcW w:w="400" w:type="dxa"/>
            <w:vAlign w:val="bottom"/>
          </w:tcPr>
          <w:p>
            <w:pPr>
              <w:spacing w:after="0"/>
              <w:rPr>
                <w:sz w:val="16"/>
                <w:szCs w:val="16"/>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330</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Repayment of the revolving credit facility</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(330)</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tcPr>
          <w:p>
            <w:pPr>
              <w:ind w:left="80"/>
              <w:spacing w:after="0"/>
              <w:rPr>
                <w:sz w:val="20"/>
                <w:szCs w:val="20"/>
                <w:color w:val="auto"/>
              </w:rPr>
            </w:pPr>
            <w:r>
              <w:rPr>
                <w:rFonts w:ascii="Arial" w:cs="Arial" w:eastAsia="Arial" w:hAnsi="Arial"/>
                <w:sz w:val="16"/>
                <w:szCs w:val="16"/>
                <w:color w:val="auto"/>
              </w:rPr>
              <w:t>Payment of revolving credit agreement costs</w:t>
            </w:r>
          </w:p>
        </w:tc>
        <w:tc>
          <w:tcPr>
            <w:tcW w:w="4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(4)</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shd w:val="clear" w:color="auto" w:fill="CCEEFF"/>
          </w:tcPr>
          <w:p>
            <w:pPr>
              <w:ind w:left="80"/>
              <w:spacing w:after="0"/>
              <w:rPr>
                <w:sz w:val="20"/>
                <w:szCs w:val="20"/>
                <w:color w:val="auto"/>
              </w:rPr>
            </w:pPr>
            <w:r>
              <w:rPr>
                <w:rFonts w:ascii="Arial" w:cs="Arial" w:eastAsia="Arial" w:hAnsi="Arial"/>
                <w:sz w:val="16"/>
                <w:szCs w:val="16"/>
                <w:color w:val="auto"/>
              </w:rPr>
              <w:t>Purchase of treasury shares</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tcPr>
          <w:p>
            <w:pPr>
              <w:ind w:left="80"/>
              <w:spacing w:after="0"/>
              <w:rPr>
                <w:sz w:val="20"/>
                <w:szCs w:val="20"/>
                <w:color w:val="auto"/>
              </w:rPr>
            </w:pPr>
            <w:r>
              <w:rPr>
                <w:rFonts w:ascii="Arial" w:cs="Arial" w:eastAsia="Arial" w:hAnsi="Arial"/>
                <w:sz w:val="16"/>
                <w:szCs w:val="16"/>
                <w:color w:val="auto"/>
              </w:rPr>
              <w:t>Dividends paid on common stock</w:t>
            </w:r>
          </w:p>
        </w:tc>
        <w:tc>
          <w:tcPr>
            <w:tcW w:w="4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(42)</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shd w:val="clear" w:color="auto" w:fill="CCEEFF"/>
          </w:tcPr>
          <w:p>
            <w:pPr>
              <w:ind w:left="80"/>
              <w:spacing w:after="0"/>
              <w:rPr>
                <w:sz w:val="20"/>
                <w:szCs w:val="20"/>
                <w:color w:val="auto"/>
              </w:rPr>
            </w:pPr>
            <w:r>
              <w:rPr>
                <w:rFonts w:ascii="Arial" w:cs="Arial" w:eastAsia="Arial" w:hAnsi="Arial"/>
                <w:sz w:val="16"/>
                <w:szCs w:val="16"/>
                <w:color w:val="auto"/>
              </w:rPr>
              <w:t>Issuance of common stock</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tcPr>
          <w:p>
            <w:pPr>
              <w:ind w:left="80"/>
              <w:spacing w:after="0"/>
              <w:rPr>
                <w:sz w:val="20"/>
                <w:szCs w:val="20"/>
                <w:color w:val="auto"/>
              </w:rPr>
            </w:pPr>
            <w:r>
              <w:rPr>
                <w:rFonts w:ascii="Arial" w:cs="Arial" w:eastAsia="Arial" w:hAnsi="Arial"/>
                <w:sz w:val="16"/>
                <w:szCs w:val="16"/>
                <w:color w:val="auto"/>
              </w:rPr>
              <w:t>Treasury stock reissued under employee stock plan</w:t>
            </w:r>
          </w:p>
        </w:tc>
        <w:tc>
          <w:tcPr>
            <w:tcW w:w="400" w:type="dxa"/>
            <w:vAlign w:val="bottom"/>
          </w:tcPr>
          <w:p>
            <w:pPr>
              <w:spacing w:after="0"/>
              <w:rPr>
                <w:sz w:val="16"/>
                <w:szCs w:val="16"/>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Proceeds from common stock issued under employee stock plans</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Shares of common stock repurchased to satisfy tax withholding obligations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Net cash used in financing activities</w:t>
            </w: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b w:val="1"/>
                <w:bCs w:val="1"/>
                <w:color w:val="auto"/>
              </w:rPr>
              <w:t>(44)</w:t>
            </w: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578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Effect of exchange rate fluctuations on cash, cash equivalents, and restricted</w:t>
            </w:r>
          </w:p>
        </w:tc>
        <w:tc>
          <w:tcPr>
            <w:tcW w:w="4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w:t>
            </w: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7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cash</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80" w:type="dxa"/>
            <w:vAlign w:val="bottom"/>
          </w:tcPr>
          <w:p>
            <w:pPr>
              <w:spacing w:after="0" w:line="183" w:lineRule="exact"/>
              <w:rPr>
                <w:sz w:val="20"/>
                <w:szCs w:val="20"/>
                <w:color w:val="auto"/>
              </w:rPr>
            </w:pPr>
            <w:r>
              <w:rPr>
                <w:rFonts w:ascii="Arial" w:cs="Arial" w:eastAsia="Arial" w:hAnsi="Arial"/>
                <w:sz w:val="16"/>
                <w:szCs w:val="16"/>
                <w:color w:val="auto"/>
              </w:rPr>
              <w:t>Net change in cash, cash equivalents, and restricted cash</w:t>
            </w:r>
          </w:p>
        </w:tc>
        <w:tc>
          <w:tcPr>
            <w:tcW w:w="400" w:type="dxa"/>
            <w:vAlign w:val="bottom"/>
          </w:tcPr>
          <w:p>
            <w:pPr>
              <w:spacing w:after="0"/>
              <w:rPr>
                <w:sz w:val="15"/>
                <w:szCs w:val="15"/>
                <w:color w:val="auto"/>
              </w:rPr>
            </w:pPr>
          </w:p>
        </w:tc>
        <w:tc>
          <w:tcPr>
            <w:tcW w:w="1240" w:type="dxa"/>
            <w:vAlign w:val="bottom"/>
          </w:tcPr>
          <w:p>
            <w:pPr>
              <w:jc w:val="right"/>
              <w:ind w:right="79"/>
              <w:spacing w:after="0" w:line="183" w:lineRule="exact"/>
              <w:rPr>
                <w:sz w:val="20"/>
                <w:szCs w:val="20"/>
                <w:color w:val="auto"/>
              </w:rPr>
            </w:pPr>
            <w:r>
              <w:rPr>
                <w:rFonts w:ascii="Arial" w:cs="Arial" w:eastAsia="Arial" w:hAnsi="Arial"/>
                <w:sz w:val="16"/>
                <w:szCs w:val="16"/>
                <w:b w:val="1"/>
                <w:bCs w:val="1"/>
                <w:color w:val="auto"/>
              </w:rPr>
              <w:t>468</w:t>
            </w:r>
          </w:p>
        </w:tc>
        <w:tc>
          <w:tcPr>
            <w:tcW w:w="320" w:type="dxa"/>
            <w:vAlign w:val="bottom"/>
          </w:tcPr>
          <w:p>
            <w:pPr>
              <w:spacing w:after="0"/>
              <w:rPr>
                <w:sz w:val="15"/>
                <w:szCs w:val="15"/>
                <w:color w:val="auto"/>
              </w:rPr>
            </w:pP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beginning of year</w:t>
            </w:r>
          </w:p>
        </w:tc>
        <w:tc>
          <w:tcPr>
            <w:tcW w:w="4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942</w:t>
            </w: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Cash, cash equivalents, and restricted cash at end of period</w:t>
            </w:r>
          </w:p>
        </w:tc>
        <w:tc>
          <w:tcPr>
            <w:tcW w:w="4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1,410</w:t>
            </w:r>
          </w:p>
        </w:tc>
        <w:tc>
          <w:tcPr>
            <w:tcW w:w="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780" w:type="dxa"/>
            <w:vAlign w:val="bottom"/>
          </w:tcPr>
          <w:p>
            <w:pPr>
              <w:spacing w:after="0"/>
              <w:rPr>
                <w:sz w:val="20"/>
                <w:szCs w:val="20"/>
                <w:color w:val="auto"/>
              </w:rPr>
            </w:pPr>
            <w:r>
              <w:rPr>
                <w:rFonts w:ascii="Arial" w:cs="Arial" w:eastAsia="Arial" w:hAnsi="Arial"/>
                <w:sz w:val="16"/>
                <w:szCs w:val="16"/>
                <w:b w:val="1"/>
                <w:bCs w:val="1"/>
                <w:color w:val="auto"/>
              </w:rPr>
              <w:t>Cash paid during the year:</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Interest</w:t>
            </w:r>
          </w:p>
        </w:tc>
        <w:tc>
          <w:tcPr>
            <w:tcW w:w="4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tcPr>
          <w:p>
            <w:pPr>
              <w:ind w:left="80"/>
              <w:spacing w:after="0"/>
              <w:rPr>
                <w:sz w:val="20"/>
                <w:szCs w:val="20"/>
                <w:color w:val="auto"/>
              </w:rPr>
            </w:pPr>
            <w:r>
              <w:rPr>
                <w:rFonts w:ascii="Arial" w:cs="Arial" w:eastAsia="Arial" w:hAnsi="Arial"/>
                <w:sz w:val="16"/>
                <w:szCs w:val="16"/>
                <w:color w:val="auto"/>
              </w:rPr>
              <w:t>Income taxes</w:t>
            </w:r>
          </w:p>
        </w:tc>
        <w:tc>
          <w:tcPr>
            <w:tcW w:w="4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11</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780" w:type="dxa"/>
            <w:vAlign w:val="bottom"/>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paid for amounts included in measurement of lease liabilities</w:t>
            </w:r>
          </w:p>
        </w:tc>
        <w:tc>
          <w:tcPr>
            <w:tcW w:w="4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279</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tcPr>
          <w:p>
            <w:pPr>
              <w:ind w:left="80"/>
              <w:spacing w:after="0"/>
              <w:rPr>
                <w:sz w:val="20"/>
                <w:szCs w:val="20"/>
                <w:color w:val="auto"/>
              </w:rPr>
            </w:pPr>
            <w:r>
              <w:rPr>
                <w:rFonts w:ascii="Arial" w:cs="Arial" w:eastAsia="Arial" w:hAnsi="Arial"/>
                <w:sz w:val="16"/>
                <w:szCs w:val="16"/>
                <w:color w:val="auto"/>
              </w:rPr>
              <w:t>Right-of-use assets obtained in exchange for operating lease obligations</w:t>
            </w:r>
          </w:p>
        </w:tc>
        <w:tc>
          <w:tcPr>
            <w:tcW w:w="4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135</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shd w:val="clear" w:color="auto" w:fill="CCEEFF"/>
          </w:tcPr>
          <w:p>
            <w:pPr>
              <w:ind w:left="80"/>
              <w:spacing w:after="0"/>
              <w:rPr>
                <w:sz w:val="20"/>
                <w:szCs w:val="20"/>
                <w:color w:val="auto"/>
              </w:rPr>
            </w:pPr>
            <w:r>
              <w:rPr>
                <w:rFonts w:ascii="Arial" w:cs="Arial" w:eastAsia="Arial" w:hAnsi="Arial"/>
                <w:sz w:val="16"/>
                <w:szCs w:val="16"/>
                <w:color w:val="auto"/>
              </w:rPr>
              <w:t>Leases obtained in exchange for finance lease obligations</w:t>
            </w:r>
          </w:p>
        </w:tc>
        <w:tc>
          <w:tcPr>
            <w:tcW w:w="4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Accompanying Notes to the </w:t>
      </w:r>
      <w:r>
        <w:rPr>
          <w:rFonts w:ascii="Arial" w:cs="Arial" w:eastAsia="Arial" w:hAnsi="Arial"/>
          <w:sz w:val="17"/>
          <w:szCs w:val="17"/>
          <w:color w:val="auto"/>
        </w:rPr>
        <w:t>Unaudited</w:t>
      </w:r>
      <w:r>
        <w:rPr>
          <w:rFonts w:ascii="Arial" w:cs="Arial" w:eastAsia="Arial" w:hAnsi="Arial"/>
          <w:sz w:val="18"/>
          <w:szCs w:val="18"/>
          <w:color w:val="auto"/>
        </w:rPr>
        <w:t xml:space="preserve">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Second Quarter 2020 Form 10-Q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361950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337185</wp:posOffset>
            </wp:positionV>
            <wp:extent cx="1834515"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210"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color w:val="auto"/>
        </w:rPr>
        <w:t>The accompanying condensed consolidated financial statements contained in this report are unaudited. In the opinion of management, the condensed consolidated financial statements include all normal, recurring adjustments necessary for a fair presentation of the results for the interim periods presented. As used in these Notes to Condensed Consolidated Financial Statements (Unaudited) the terms “Foot Locker,” “Company,” “we,” “our,” and “us” refer to Foot Locker, Inc. and its consolidated subsidiaries.</w:t>
      </w:r>
    </w:p>
    <w:p>
      <w:pPr>
        <w:spacing w:after="0" w:line="17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preparation of financial statements in accordance with generally accepted accounting principles requires us to make estimates and assumptions that affect the amounts reported in the accompanying Unaudited Condensed Consolidated Financial Statements and these Notes and related disclosures. Actual results may differ from those estimates. The results of operations for any interim period are not necessarily indicative of the results expected for the year. The results of operations for the periods ended August 1, 2020 are not necessarily indicative of the results to be expected for the full fiscal year due to the continued uncertainty of general economic conditions that may affect us for the remainder of 2020. Specifically, we are uncertain of the extent to which the coronavirus (“COVID-19”) pandemic will affect our sales, traffic to our stores, including our distribution capabilities and those of our suppliers.</w:t>
      </w:r>
    </w:p>
    <w:p>
      <w:pPr>
        <w:spacing w:after="0" w:line="1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Notes to Consolidated Financial Statements contained in Foot Locker, Inc.’s Form 10-K for the year ended February 1, 2020, as filed with the U.S. Securities and Exchange Commission (the “SEC”) on March 27, 2020.</w:t>
      </w:r>
    </w:p>
    <w:p>
      <w:pPr>
        <w:spacing w:after="0" w:line="164" w:lineRule="exact"/>
        <w:rPr>
          <w:sz w:val="20"/>
          <w:szCs w:val="20"/>
          <w:color w:val="auto"/>
        </w:rPr>
      </w:pPr>
    </w:p>
    <w:p>
      <w:pPr>
        <w:jc w:val="both"/>
        <w:ind w:left="60" w:right="79"/>
        <w:spacing w:after="0" w:line="255" w:lineRule="auto"/>
        <w:rPr>
          <w:sz w:val="20"/>
          <w:szCs w:val="20"/>
          <w:color w:val="auto"/>
        </w:rPr>
      </w:pPr>
      <w:r>
        <w:rPr>
          <w:rFonts w:ascii="Arial" w:cs="Arial" w:eastAsia="Arial" w:hAnsi="Arial"/>
          <w:sz w:val="18"/>
          <w:szCs w:val="18"/>
          <w:color w:val="auto"/>
        </w:rPr>
        <w:t xml:space="preserve">Other than the changes to the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policies as a result of the recently adopted accounting standards discussed below, there were no significant changes to the policies disclosed in Note 1, </w:t>
      </w:r>
      <w:r>
        <w:rPr>
          <w:rFonts w:ascii="Arial" w:cs="Arial" w:eastAsia="Arial" w:hAnsi="Arial"/>
          <w:sz w:val="18"/>
          <w:szCs w:val="18"/>
          <w:i w:val="1"/>
          <w:i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of our Annual Report on Form 10-K for the year ended February 1,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Pronouncements</w:t>
      </w:r>
    </w:p>
    <w:p>
      <w:pPr>
        <w:spacing w:after="0" w:line="16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On February 2, 2020, we adopted FASB guidance on the accounting for implementation costs of a cloud computing arrangement that is considered to be a service contract, that requires companies to follow the guidance for internal-use software to determine which costs to capitalize in a cloud computing arrangement that is a service contract. Under this guidance, such implementation costs will be capitalized in Other assets on the Condensed Consolidated Balance Sheet, with the related amortization presented in Selling, general and administrative expenses on the Condensed Consolidated Statement of Operations. This guidance was applied prospectively to implementation costs incurred after February 2, 2020. The adoption of this guidance did not have a significant effect on our condensed consolidated financial statements.</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 xml:space="preserve">On February 2, 2020, we adopted FASB’s updated guidance on the accounting for performing goodwill impairment tests. This update eliminates the requirement to perform a hypothetical purchase price allocation to measure goodwill impairment. In testing goodwill for impairment, an entity may elect to utilize a qualitative assessment to evaluate whether it is more likely than not that the fair value of a reporting unit is less than its carrying amount. If the qualitative assessment indicates that goodwill impairment is more likely than not, an entity should perform its goodwill impairment test by comparing the fair value of a reporting unit to its carrying amount and recognize an impairment charge for the amount by which the carrying amount exceeds the reporting unit's fair value, not to exceed the total amount of goodwill allocated to the reporting unit. Refer to our updated accounting policy in Note 6, </w:t>
      </w:r>
      <w:r>
        <w:rPr>
          <w:rFonts w:ascii="Arial" w:cs="Arial" w:eastAsia="Arial" w:hAnsi="Arial"/>
          <w:sz w:val="18"/>
          <w:szCs w:val="18"/>
          <w:i w:val="1"/>
          <w:iCs w:val="1"/>
          <w:color w:val="auto"/>
        </w:rPr>
        <w:t>Goodwill.</w:t>
      </w:r>
    </w:p>
    <w:p>
      <w:pPr>
        <w:spacing w:after="0" w:line="176" w:lineRule="exact"/>
        <w:rPr>
          <w:sz w:val="20"/>
          <w:szCs w:val="20"/>
          <w:color w:val="auto"/>
        </w:rPr>
      </w:pPr>
    </w:p>
    <w:p>
      <w:pPr>
        <w:jc w:val="both"/>
        <w:ind w:left="60" w:right="79"/>
        <w:spacing w:after="0" w:line="276" w:lineRule="auto"/>
        <w:rPr>
          <w:sz w:val="20"/>
          <w:szCs w:val="20"/>
          <w:color w:val="auto"/>
        </w:rPr>
      </w:pPr>
      <w:r>
        <w:rPr>
          <w:rFonts w:ascii="Arial" w:cs="Arial" w:eastAsia="Arial" w:hAnsi="Arial"/>
          <w:sz w:val="18"/>
          <w:szCs w:val="18"/>
          <w:color w:val="auto"/>
        </w:rPr>
        <w:t>Other recently issued accounting pronouncements did not, or are not believed by management to, have a material effect on our present or future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2020 Form 10-Q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92"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337185</wp:posOffset>
            </wp:positionV>
            <wp:extent cx="1834515"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Revenue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sales disaggregated based upon sales channel.</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2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7"/>
                <w:szCs w:val="17"/>
                <w:b w:val="1"/>
                <w:bCs w:val="1"/>
                <w:color w:val="auto"/>
              </w:rPr>
              <w:t>Thirteen weeks ended</w:t>
            </w:r>
          </w:p>
        </w:tc>
        <w:tc>
          <w:tcPr>
            <w:tcW w:w="2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7"/>
                <w:szCs w:val="17"/>
                <w:b w:val="1"/>
                <w:bCs w:val="1"/>
                <w:color w:val="auto"/>
              </w:rPr>
              <w:t>Twenty-six weeks ended</w:t>
            </w:r>
          </w:p>
        </w:tc>
      </w:tr>
      <w:tr>
        <w:trPr>
          <w:trHeight w:val="152"/>
        </w:trPr>
        <w:tc>
          <w:tcPr>
            <w:tcW w:w="26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60" w:type="dxa"/>
            <w:vAlign w:val="bottom"/>
          </w:tcPr>
          <w:p>
            <w:pPr>
              <w:jc w:val="right"/>
              <w:ind w:right="155"/>
              <w:spacing w:after="0" w:line="153" w:lineRule="exact"/>
              <w:rPr>
                <w:sz w:val="20"/>
                <w:szCs w:val="20"/>
                <w:color w:val="auto"/>
              </w:rPr>
            </w:pPr>
            <w:r>
              <w:rPr>
                <w:rFonts w:ascii="Arial" w:cs="Arial" w:eastAsia="Arial" w:hAnsi="Arial"/>
                <w:sz w:val="17"/>
                <w:szCs w:val="17"/>
                <w:b w:val="1"/>
                <w:bCs w:val="1"/>
                <w:color w:val="auto"/>
              </w:rPr>
              <w:t>August 1,</w:t>
            </w:r>
          </w:p>
        </w:tc>
        <w:tc>
          <w:tcPr>
            <w:tcW w:w="280" w:type="dxa"/>
            <w:vAlign w:val="bottom"/>
          </w:tcPr>
          <w:p>
            <w:pPr>
              <w:spacing w:after="0"/>
              <w:rPr>
                <w:sz w:val="13"/>
                <w:szCs w:val="13"/>
                <w:color w:val="auto"/>
              </w:rPr>
            </w:pPr>
          </w:p>
        </w:tc>
        <w:tc>
          <w:tcPr>
            <w:tcW w:w="1080" w:type="dxa"/>
            <w:vAlign w:val="bottom"/>
          </w:tcPr>
          <w:p>
            <w:pPr>
              <w:jc w:val="right"/>
              <w:ind w:right="175"/>
              <w:spacing w:after="0" w:line="153" w:lineRule="exact"/>
              <w:rPr>
                <w:sz w:val="20"/>
                <w:szCs w:val="20"/>
                <w:color w:val="auto"/>
              </w:rPr>
            </w:pPr>
            <w:r>
              <w:rPr>
                <w:rFonts w:ascii="Arial" w:cs="Arial" w:eastAsia="Arial" w:hAnsi="Arial"/>
                <w:sz w:val="17"/>
                <w:szCs w:val="17"/>
                <w:b w:val="1"/>
                <w:bCs w:val="1"/>
                <w:color w:val="auto"/>
              </w:rPr>
              <w:t>August 3,</w:t>
            </w:r>
          </w:p>
        </w:tc>
        <w:tc>
          <w:tcPr>
            <w:tcW w:w="260" w:type="dxa"/>
            <w:vAlign w:val="bottom"/>
          </w:tcPr>
          <w:p>
            <w:pPr>
              <w:spacing w:after="0"/>
              <w:rPr>
                <w:sz w:val="13"/>
                <w:szCs w:val="13"/>
                <w:color w:val="auto"/>
              </w:rPr>
            </w:pPr>
          </w:p>
        </w:tc>
        <w:tc>
          <w:tcPr>
            <w:tcW w:w="1080" w:type="dxa"/>
            <w:vAlign w:val="bottom"/>
          </w:tcPr>
          <w:p>
            <w:pPr>
              <w:jc w:val="right"/>
              <w:ind w:right="175"/>
              <w:spacing w:after="0" w:line="153" w:lineRule="exact"/>
              <w:rPr>
                <w:sz w:val="20"/>
                <w:szCs w:val="20"/>
                <w:color w:val="auto"/>
              </w:rPr>
            </w:pPr>
            <w:r>
              <w:rPr>
                <w:rFonts w:ascii="Arial" w:cs="Arial" w:eastAsia="Arial" w:hAnsi="Arial"/>
                <w:sz w:val="17"/>
                <w:szCs w:val="17"/>
                <w:b w:val="1"/>
                <w:bCs w:val="1"/>
                <w:color w:val="auto"/>
              </w:rPr>
              <w:t>August 1,</w:t>
            </w:r>
          </w:p>
        </w:tc>
        <w:tc>
          <w:tcPr>
            <w:tcW w:w="280" w:type="dxa"/>
            <w:vAlign w:val="bottom"/>
          </w:tcPr>
          <w:p>
            <w:pPr>
              <w:spacing w:after="0"/>
              <w:rPr>
                <w:sz w:val="13"/>
                <w:szCs w:val="13"/>
                <w:color w:val="auto"/>
              </w:rPr>
            </w:pPr>
          </w:p>
        </w:tc>
        <w:tc>
          <w:tcPr>
            <w:tcW w:w="1020" w:type="dxa"/>
            <w:vAlign w:val="bottom"/>
          </w:tcPr>
          <w:p>
            <w:pPr>
              <w:jc w:val="right"/>
              <w:ind w:right="115"/>
              <w:spacing w:after="0" w:line="153" w:lineRule="exact"/>
              <w:rPr>
                <w:sz w:val="20"/>
                <w:szCs w:val="20"/>
                <w:color w:val="auto"/>
              </w:rPr>
            </w:pPr>
            <w:r>
              <w:rPr>
                <w:rFonts w:ascii="Arial" w:cs="Arial" w:eastAsia="Arial" w:hAnsi="Arial"/>
                <w:sz w:val="17"/>
                <w:szCs w:val="17"/>
                <w:b w:val="1"/>
                <w:bCs w:val="1"/>
                <w:color w:val="auto"/>
              </w:rPr>
              <w:t>August 3,</w:t>
            </w:r>
          </w:p>
        </w:tc>
      </w:tr>
      <w:tr>
        <w:trPr>
          <w:trHeight w:val="219"/>
        </w:trPr>
        <w:tc>
          <w:tcPr>
            <w:tcW w:w="2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2020</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2019</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2019</w:t>
            </w:r>
          </w:p>
        </w:tc>
      </w:tr>
      <w:tr>
        <w:trPr>
          <w:trHeight w:val="183"/>
        </w:trPr>
        <w:tc>
          <w:tcPr>
            <w:tcW w:w="2600" w:type="dxa"/>
            <w:vAlign w:val="bottom"/>
          </w:tcPr>
          <w:p>
            <w:pPr>
              <w:spacing w:after="0" w:line="183" w:lineRule="exact"/>
              <w:rPr>
                <w:sz w:val="20"/>
                <w:szCs w:val="20"/>
                <w:color w:val="auto"/>
              </w:rPr>
            </w:pPr>
            <w:r>
              <w:rPr>
                <w:rFonts w:ascii="Arial" w:cs="Arial" w:eastAsia="Arial" w:hAnsi="Arial"/>
                <w:sz w:val="17"/>
                <w:szCs w:val="17"/>
                <w:b w:val="1"/>
                <w:bCs w:val="1"/>
                <w:color w:val="auto"/>
              </w:rPr>
              <w:t>Sales by Channel</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9"/>
        </w:trPr>
        <w:tc>
          <w:tcPr>
            <w:tcW w:w="2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Stores</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1,388</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1,521</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2,202</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3,279</w:t>
            </w:r>
          </w:p>
        </w:tc>
      </w:tr>
      <w:tr>
        <w:trPr>
          <w:trHeight w:val="189"/>
        </w:trPr>
        <w:tc>
          <w:tcPr>
            <w:tcW w:w="26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Direct-to-customers</w:t>
            </w:r>
          </w:p>
        </w:tc>
        <w:tc>
          <w:tcPr>
            <w:tcW w:w="1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689</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253</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1,051</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573</w:t>
            </w:r>
          </w:p>
        </w:tc>
      </w:tr>
      <w:tr>
        <w:trPr>
          <w:trHeight w:val="183"/>
        </w:trPr>
        <w:tc>
          <w:tcPr>
            <w:tcW w:w="26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sales</w:t>
            </w:r>
          </w:p>
        </w:tc>
        <w:tc>
          <w:tcPr>
            <w:tcW w:w="1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2,077</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1,774</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3,253</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3,852</w:t>
            </w: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60" w:right="59"/>
        <w:spacing w:after="0" w:line="276" w:lineRule="auto"/>
        <w:rPr>
          <w:sz w:val="20"/>
          <w:szCs w:val="20"/>
          <w:color w:val="auto"/>
        </w:rPr>
      </w:pPr>
      <w:r>
        <w:rPr>
          <w:rFonts w:ascii="Arial" w:cs="Arial" w:eastAsia="Arial" w:hAnsi="Arial"/>
          <w:sz w:val="18"/>
          <w:szCs w:val="18"/>
          <w:color w:val="auto"/>
        </w:rPr>
        <w:t>Sales disaggregated based upon geographic area is presented in the table below. Sales are attributable to the geographic area in which the sales transaction is fulfilled.</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35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7"/>
                <w:szCs w:val="17"/>
                <w:b w:val="1"/>
                <w:bCs w:val="1"/>
                <w:color w:val="auto"/>
              </w:rPr>
              <w:t>Thirteen weeks ended</w:t>
            </w:r>
          </w:p>
        </w:tc>
        <w:tc>
          <w:tcPr>
            <w:tcW w:w="2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7"/>
                <w:szCs w:val="17"/>
                <w:b w:val="1"/>
                <w:bCs w:val="1"/>
                <w:color w:val="auto"/>
              </w:rPr>
              <w:t>Twenty-six weeks ended</w:t>
            </w: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155"/>
              <w:spacing w:after="0" w:line="153" w:lineRule="exact"/>
              <w:rPr>
                <w:sz w:val="20"/>
                <w:szCs w:val="20"/>
                <w:color w:val="auto"/>
              </w:rPr>
            </w:pPr>
            <w:r>
              <w:rPr>
                <w:rFonts w:ascii="Arial" w:cs="Arial" w:eastAsia="Arial" w:hAnsi="Arial"/>
                <w:sz w:val="17"/>
                <w:szCs w:val="17"/>
                <w:b w:val="1"/>
                <w:bCs w:val="1"/>
                <w:color w:val="auto"/>
              </w:rPr>
              <w:t>August 1,</w:t>
            </w:r>
          </w:p>
        </w:tc>
        <w:tc>
          <w:tcPr>
            <w:tcW w:w="280" w:type="dxa"/>
            <w:vAlign w:val="bottom"/>
          </w:tcPr>
          <w:p>
            <w:pPr>
              <w:spacing w:after="0"/>
              <w:rPr>
                <w:sz w:val="13"/>
                <w:szCs w:val="13"/>
                <w:color w:val="auto"/>
              </w:rPr>
            </w:pPr>
          </w:p>
        </w:tc>
        <w:tc>
          <w:tcPr>
            <w:tcW w:w="1080" w:type="dxa"/>
            <w:vAlign w:val="bottom"/>
          </w:tcPr>
          <w:p>
            <w:pPr>
              <w:jc w:val="right"/>
              <w:ind w:right="175"/>
              <w:spacing w:after="0" w:line="153" w:lineRule="exact"/>
              <w:rPr>
                <w:sz w:val="20"/>
                <w:szCs w:val="20"/>
                <w:color w:val="auto"/>
              </w:rPr>
            </w:pPr>
            <w:r>
              <w:rPr>
                <w:rFonts w:ascii="Arial" w:cs="Arial" w:eastAsia="Arial" w:hAnsi="Arial"/>
                <w:sz w:val="17"/>
                <w:szCs w:val="17"/>
                <w:b w:val="1"/>
                <w:bCs w:val="1"/>
                <w:color w:val="auto"/>
              </w:rPr>
              <w:t>August 3,</w:t>
            </w:r>
          </w:p>
        </w:tc>
        <w:tc>
          <w:tcPr>
            <w:tcW w:w="260" w:type="dxa"/>
            <w:vAlign w:val="bottom"/>
          </w:tcPr>
          <w:p>
            <w:pPr>
              <w:spacing w:after="0"/>
              <w:rPr>
                <w:sz w:val="13"/>
                <w:szCs w:val="13"/>
                <w:color w:val="auto"/>
              </w:rPr>
            </w:pPr>
          </w:p>
        </w:tc>
        <w:tc>
          <w:tcPr>
            <w:tcW w:w="1080" w:type="dxa"/>
            <w:vAlign w:val="bottom"/>
          </w:tcPr>
          <w:p>
            <w:pPr>
              <w:jc w:val="right"/>
              <w:ind w:right="175"/>
              <w:spacing w:after="0" w:line="153" w:lineRule="exact"/>
              <w:rPr>
                <w:sz w:val="20"/>
                <w:szCs w:val="20"/>
                <w:color w:val="auto"/>
              </w:rPr>
            </w:pPr>
            <w:r>
              <w:rPr>
                <w:rFonts w:ascii="Arial" w:cs="Arial" w:eastAsia="Arial" w:hAnsi="Arial"/>
                <w:sz w:val="17"/>
                <w:szCs w:val="17"/>
                <w:b w:val="1"/>
                <w:bCs w:val="1"/>
                <w:color w:val="auto"/>
              </w:rPr>
              <w:t>August 1,</w:t>
            </w:r>
          </w:p>
        </w:tc>
        <w:tc>
          <w:tcPr>
            <w:tcW w:w="280" w:type="dxa"/>
            <w:vAlign w:val="bottom"/>
          </w:tcPr>
          <w:p>
            <w:pPr>
              <w:spacing w:after="0"/>
              <w:rPr>
                <w:sz w:val="13"/>
                <w:szCs w:val="13"/>
                <w:color w:val="auto"/>
              </w:rPr>
            </w:pPr>
          </w:p>
        </w:tc>
        <w:tc>
          <w:tcPr>
            <w:tcW w:w="1020" w:type="dxa"/>
            <w:vAlign w:val="bottom"/>
          </w:tcPr>
          <w:p>
            <w:pPr>
              <w:jc w:val="right"/>
              <w:ind w:right="115"/>
              <w:spacing w:after="0" w:line="153" w:lineRule="exact"/>
              <w:rPr>
                <w:sz w:val="20"/>
                <w:szCs w:val="20"/>
                <w:color w:val="auto"/>
              </w:rPr>
            </w:pPr>
            <w:r>
              <w:rPr>
                <w:rFonts w:ascii="Arial" w:cs="Arial" w:eastAsia="Arial" w:hAnsi="Arial"/>
                <w:sz w:val="17"/>
                <w:szCs w:val="17"/>
                <w:b w:val="1"/>
                <w:bCs w:val="1"/>
                <w:color w:val="auto"/>
              </w:rPr>
              <w:t>August 3,</w:t>
            </w:r>
          </w:p>
        </w:tc>
        <w:tc>
          <w:tcPr>
            <w:tcW w:w="0" w:type="dxa"/>
            <w:vAlign w:val="bottom"/>
          </w:tcPr>
          <w:p>
            <w:pPr>
              <w:spacing w:after="0"/>
              <w:rPr>
                <w:sz w:val="1"/>
                <w:szCs w:val="1"/>
                <w:color w:val="auto"/>
              </w:rPr>
            </w:pPr>
          </w:p>
        </w:tc>
      </w:tr>
      <w:tr>
        <w:trPr>
          <w:trHeight w:val="219"/>
        </w:trPr>
        <w:tc>
          <w:tcPr>
            <w:tcW w:w="3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2020</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2019</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54"/>
        </w:trPr>
        <w:tc>
          <w:tcPr>
            <w:tcW w:w="3500" w:type="dxa"/>
            <w:vAlign w:val="bottom"/>
            <w:shd w:val="clear" w:color="auto" w:fill="CCEEFF"/>
          </w:tcPr>
          <w:p>
            <w:pPr>
              <w:spacing w:after="0" w:line="154" w:lineRule="exact"/>
              <w:rPr>
                <w:sz w:val="20"/>
                <w:szCs w:val="20"/>
                <w:color w:val="auto"/>
              </w:rPr>
            </w:pPr>
            <w:r>
              <w:rPr>
                <w:rFonts w:ascii="Arial" w:cs="Arial" w:eastAsia="Arial" w:hAnsi="Arial"/>
                <w:sz w:val="17"/>
                <w:szCs w:val="17"/>
                <w:b w:val="1"/>
                <w:bCs w:val="1"/>
                <w:color w:val="auto"/>
              </w:rPr>
              <w:t>Sales by Geography</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6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1,529</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2,440</w:t>
            </w: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34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1,209</w:t>
            </w:r>
          </w:p>
        </w:tc>
        <w:tc>
          <w:tcPr>
            <w:tcW w:w="2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2,761</w:t>
            </w:r>
          </w:p>
        </w:tc>
        <w:tc>
          <w:tcPr>
            <w:tcW w:w="0" w:type="dxa"/>
            <w:vAlign w:val="bottom"/>
          </w:tcPr>
          <w:p>
            <w:pPr>
              <w:spacing w:after="0"/>
              <w:rPr>
                <w:sz w:val="1"/>
                <w:szCs w:val="1"/>
                <w:color w:val="auto"/>
              </w:rPr>
            </w:pPr>
          </w:p>
        </w:tc>
      </w:tr>
      <w:tr>
        <w:trPr>
          <w:trHeight w:val="189"/>
        </w:trPr>
        <w:tc>
          <w:tcPr>
            <w:tcW w:w="35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International</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548</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565</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813</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1,091</w:t>
            </w:r>
          </w:p>
        </w:tc>
        <w:tc>
          <w:tcPr>
            <w:tcW w:w="0" w:type="dxa"/>
            <w:vAlign w:val="bottom"/>
          </w:tcPr>
          <w:p>
            <w:pPr>
              <w:spacing w:after="0"/>
              <w:rPr>
                <w:sz w:val="1"/>
                <w:szCs w:val="1"/>
                <w:color w:val="auto"/>
              </w:rPr>
            </w:pPr>
          </w:p>
        </w:tc>
      </w:tr>
      <w:tr>
        <w:trPr>
          <w:trHeight w:val="183"/>
        </w:trPr>
        <w:tc>
          <w:tcPr>
            <w:tcW w:w="35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sales</w:t>
            </w:r>
          </w:p>
        </w:tc>
        <w:tc>
          <w:tcPr>
            <w:tcW w:w="3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2,077</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1,774</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3,253</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3,852</w:t>
            </w:r>
          </w:p>
        </w:tc>
        <w:tc>
          <w:tcPr>
            <w:tcW w:w="0" w:type="dxa"/>
            <w:vAlign w:val="bottom"/>
          </w:tcPr>
          <w:p>
            <w:pPr>
              <w:spacing w:after="0"/>
              <w:rPr>
                <w:sz w:val="1"/>
                <w:szCs w:val="1"/>
                <w:color w:val="auto"/>
              </w:rPr>
            </w:pP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Liabilities</w:t>
      </w:r>
    </w:p>
    <w:p>
      <w:pPr>
        <w:spacing w:after="0" w:line="16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 xml:space="preserve">We sell gift cards which do not have expiration dates. Revenue from gift card sales is recorded when the gift cards are redeemed by customers. Breakage income is recognized as revenue </w:t>
      </w:r>
      <w:r>
        <w:rPr>
          <w:rFonts w:ascii="Arial" w:cs="Arial" w:eastAsia="Arial" w:hAnsi="Arial"/>
          <w:sz w:val="17"/>
          <w:szCs w:val="17"/>
          <w:color w:val="auto"/>
        </w:rPr>
        <w:t>in proportion to the pattern of</w:t>
      </w:r>
      <w:r>
        <w:rPr>
          <w:rFonts w:ascii="Arial" w:cs="Arial" w:eastAsia="Arial" w:hAnsi="Arial"/>
          <w:sz w:val="18"/>
          <w:szCs w:val="18"/>
          <w:color w:val="auto"/>
        </w:rPr>
        <w:t xml:space="preserve"> </w:t>
      </w:r>
      <w:r>
        <w:rPr>
          <w:rFonts w:ascii="Arial" w:cs="Arial" w:eastAsia="Arial" w:hAnsi="Arial"/>
          <w:sz w:val="17"/>
          <w:szCs w:val="17"/>
          <w:color w:val="auto"/>
        </w:rPr>
        <w:t>rights exercised by the customer. The table below presents the activity of our gift card liability balance:</w:t>
      </w:r>
    </w:p>
    <w:p>
      <w:pPr>
        <w:spacing w:after="0" w:line="332"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4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4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w w:val="99"/>
              </w:rPr>
              <w:t>August 1, 2020</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w w:val="99"/>
              </w:rPr>
              <w:t>August 3, 2019</w:t>
            </w:r>
          </w:p>
        </w:tc>
      </w:tr>
      <w:tr>
        <w:trPr>
          <w:trHeight w:val="183"/>
        </w:trPr>
        <w:tc>
          <w:tcPr>
            <w:tcW w:w="40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Gift card liability at beginning of year</w:t>
            </w:r>
          </w:p>
        </w:tc>
        <w:tc>
          <w:tcPr>
            <w:tcW w:w="14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64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b w:val="1"/>
                <w:bCs w:val="1"/>
                <w:color w:val="auto"/>
              </w:rPr>
              <w:t>35</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35</w:t>
            </w:r>
          </w:p>
        </w:tc>
      </w:tr>
      <w:tr>
        <w:trPr>
          <w:trHeight w:val="189"/>
        </w:trPr>
        <w:tc>
          <w:tcPr>
            <w:tcW w:w="4080" w:type="dxa"/>
            <w:vAlign w:val="bottom"/>
          </w:tcPr>
          <w:p>
            <w:pPr>
              <w:ind w:left="220"/>
              <w:spacing w:after="0" w:line="189" w:lineRule="exact"/>
              <w:rPr>
                <w:sz w:val="20"/>
                <w:szCs w:val="20"/>
                <w:color w:val="auto"/>
              </w:rPr>
            </w:pPr>
            <w:r>
              <w:rPr>
                <w:rFonts w:ascii="Arial" w:cs="Arial" w:eastAsia="Arial" w:hAnsi="Arial"/>
                <w:sz w:val="17"/>
                <w:szCs w:val="17"/>
                <w:color w:val="auto"/>
              </w:rPr>
              <w:t>Redemptions</w:t>
            </w:r>
          </w:p>
        </w:tc>
        <w:tc>
          <w:tcPr>
            <w:tcW w:w="1420" w:type="dxa"/>
            <w:vAlign w:val="bottom"/>
          </w:tcPr>
          <w:p>
            <w:pPr>
              <w:spacing w:after="0"/>
              <w:rPr>
                <w:sz w:val="16"/>
                <w:szCs w:val="16"/>
                <w:color w:val="auto"/>
              </w:rPr>
            </w:pPr>
          </w:p>
        </w:tc>
        <w:tc>
          <w:tcPr>
            <w:tcW w:w="164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(37)</w:t>
            </w:r>
          </w:p>
        </w:tc>
        <w:tc>
          <w:tcPr>
            <w:tcW w:w="300" w:type="dxa"/>
            <w:vAlign w:val="bottom"/>
          </w:tcPr>
          <w:p>
            <w:pPr>
              <w:spacing w:after="0"/>
              <w:rPr>
                <w:sz w:val="16"/>
                <w:szCs w:val="16"/>
                <w:color w:val="auto"/>
              </w:rPr>
            </w:pPr>
          </w:p>
        </w:tc>
        <w:tc>
          <w:tcPr>
            <w:tcW w:w="1460" w:type="dxa"/>
            <w:vAlign w:val="bottom"/>
          </w:tcPr>
          <w:p>
            <w:pPr>
              <w:jc w:val="right"/>
              <w:spacing w:after="0" w:line="189" w:lineRule="exact"/>
              <w:rPr>
                <w:sz w:val="20"/>
                <w:szCs w:val="20"/>
                <w:color w:val="auto"/>
              </w:rPr>
            </w:pPr>
            <w:r>
              <w:rPr>
                <w:rFonts w:ascii="Arial" w:cs="Arial" w:eastAsia="Arial" w:hAnsi="Arial"/>
                <w:sz w:val="17"/>
                <w:szCs w:val="17"/>
                <w:color w:val="auto"/>
              </w:rPr>
              <w:t>(47)</w:t>
            </w:r>
          </w:p>
        </w:tc>
      </w:tr>
      <w:tr>
        <w:trPr>
          <w:trHeight w:val="189"/>
        </w:trPr>
        <w:tc>
          <w:tcPr>
            <w:tcW w:w="40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Breakage recognized in sales</w:t>
            </w:r>
          </w:p>
        </w:tc>
        <w:tc>
          <w:tcPr>
            <w:tcW w:w="142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(3)</w:t>
            </w:r>
          </w:p>
        </w:tc>
        <w:tc>
          <w:tcPr>
            <w:tcW w:w="3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r>
      <w:tr>
        <w:trPr>
          <w:trHeight w:val="189"/>
        </w:trPr>
        <w:tc>
          <w:tcPr>
            <w:tcW w:w="4080" w:type="dxa"/>
            <w:vAlign w:val="bottom"/>
            <w:tcBorders>
              <w:bottom w:val="single" w:sz="8" w:color="auto"/>
            </w:tcBorders>
          </w:tcPr>
          <w:p>
            <w:pPr>
              <w:ind w:left="220"/>
              <w:spacing w:after="0" w:line="189" w:lineRule="exact"/>
              <w:rPr>
                <w:sz w:val="20"/>
                <w:szCs w:val="20"/>
                <w:color w:val="auto"/>
              </w:rPr>
            </w:pPr>
            <w:r>
              <w:rPr>
                <w:rFonts w:ascii="Arial" w:cs="Arial" w:eastAsia="Arial" w:hAnsi="Arial"/>
                <w:sz w:val="17"/>
                <w:szCs w:val="17"/>
                <w:color w:val="auto"/>
              </w:rPr>
              <w:t>Activations</w:t>
            </w:r>
          </w:p>
        </w:tc>
        <w:tc>
          <w:tcPr>
            <w:tcW w:w="1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55"/>
              <w:spacing w:after="0" w:line="189" w:lineRule="exact"/>
              <w:rPr>
                <w:sz w:val="20"/>
                <w:szCs w:val="20"/>
                <w:color w:val="auto"/>
              </w:rPr>
            </w:pPr>
            <w:r>
              <w:rPr>
                <w:rFonts w:ascii="Arial" w:cs="Arial" w:eastAsia="Arial" w:hAnsi="Arial"/>
                <w:sz w:val="17"/>
                <w:szCs w:val="17"/>
                <w:b w:val="1"/>
                <w:bCs w:val="1"/>
                <w:color w:val="auto"/>
              </w:rPr>
              <w:t>36</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43</w:t>
            </w:r>
          </w:p>
        </w:tc>
      </w:tr>
      <w:tr>
        <w:trPr>
          <w:trHeight w:val="183"/>
        </w:trPr>
        <w:tc>
          <w:tcPr>
            <w:tcW w:w="40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Gift card liability</w:t>
            </w:r>
          </w:p>
        </w:tc>
        <w:tc>
          <w:tcPr>
            <w:tcW w:w="14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64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b w:val="1"/>
                <w:bCs w:val="1"/>
                <w:color w:val="auto"/>
              </w:rPr>
              <w:t>31</w:t>
            </w:r>
          </w:p>
        </w:tc>
        <w:tc>
          <w:tcPr>
            <w:tcW w:w="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28</w:t>
            </w: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left="60" w:right="79"/>
        <w:spacing w:after="0" w:line="276" w:lineRule="auto"/>
        <w:rPr>
          <w:sz w:val="20"/>
          <w:szCs w:val="20"/>
          <w:color w:val="auto"/>
        </w:rPr>
      </w:pPr>
      <w:r>
        <w:rPr>
          <w:rFonts w:ascii="Arial" w:cs="Arial" w:eastAsia="Arial" w:hAnsi="Arial"/>
          <w:sz w:val="18"/>
          <w:szCs w:val="18"/>
          <w:color w:val="auto"/>
        </w:rPr>
        <w:t>We elected not to disclose the information about remaining performance obligations since the amount of gift cards redeemed after 12 months is not significant.</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Segment Information</w:t>
      </w:r>
    </w:p>
    <w:p>
      <w:pPr>
        <w:spacing w:after="0" w:line="173"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We have integrated all available shopping channels including stores, websites, apps, social channels, and catalogs. Store sales are primarily fulfilled from the store’s inventory but may also be shipped from any of our distribution centers or from a different store location if an item is not available at the original store. Direct-to-customer orders are generally shipped to our customers through our distribution centers but may also be shipped from any store or a combination of our distribution centers and stores depending on the availability of particular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2020 Form 10-Q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992"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337820</wp:posOffset>
            </wp:positionV>
            <wp:extent cx="1834515"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w:t>
      </w:r>
    </w:p>
    <w:p>
      <w:pPr>
        <w:spacing w:after="0" w:line="335"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We evaluate performance based on several factors, of which the primary financial measure is the banner’s financial results referred to as division profit. Division profit reflects income before income taxes, impairment and other charges, corporate expense, non-operating income, and net interest (expense) income. The following table summarizes our results: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3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7"/>
                <w:szCs w:val="17"/>
                <w:b w:val="1"/>
                <w:bCs w:val="1"/>
                <w:color w:val="auto"/>
              </w:rPr>
              <w:t>Thirteen weeks ended</w:t>
            </w:r>
          </w:p>
        </w:tc>
        <w:tc>
          <w:tcPr>
            <w:tcW w:w="1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7"/>
                <w:szCs w:val="17"/>
                <w:b w:val="1"/>
                <w:bCs w:val="1"/>
                <w:color w:val="auto"/>
              </w:rPr>
              <w:t>Twenty-six weeks ended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tcPr>
          <w:p>
            <w:pPr>
              <w:jc w:val="right"/>
              <w:ind w:right="215"/>
              <w:spacing w:after="0" w:line="153" w:lineRule="exact"/>
              <w:rPr>
                <w:sz w:val="20"/>
                <w:szCs w:val="20"/>
                <w:color w:val="auto"/>
              </w:rPr>
            </w:pPr>
            <w:r>
              <w:rPr>
                <w:rFonts w:ascii="Arial" w:cs="Arial" w:eastAsia="Arial" w:hAnsi="Arial"/>
                <w:sz w:val="17"/>
                <w:szCs w:val="17"/>
                <w:b w:val="1"/>
                <w:bCs w:val="1"/>
                <w:color w:val="auto"/>
              </w:rPr>
              <w:t>August 1,</w:t>
            </w:r>
          </w:p>
        </w:tc>
        <w:tc>
          <w:tcPr>
            <w:tcW w:w="240" w:type="dxa"/>
            <w:vAlign w:val="bottom"/>
          </w:tcPr>
          <w:p>
            <w:pPr>
              <w:spacing w:after="0"/>
              <w:rPr>
                <w:sz w:val="13"/>
                <w:szCs w:val="13"/>
                <w:color w:val="auto"/>
              </w:rPr>
            </w:pPr>
          </w:p>
        </w:tc>
        <w:tc>
          <w:tcPr>
            <w:tcW w:w="1000" w:type="dxa"/>
            <w:vAlign w:val="bottom"/>
          </w:tcPr>
          <w:p>
            <w:pPr>
              <w:jc w:val="right"/>
              <w:ind w:right="75"/>
              <w:spacing w:after="0" w:line="153" w:lineRule="exact"/>
              <w:rPr>
                <w:sz w:val="20"/>
                <w:szCs w:val="20"/>
                <w:color w:val="auto"/>
              </w:rPr>
            </w:pPr>
            <w:r>
              <w:rPr>
                <w:rFonts w:ascii="Arial" w:cs="Arial" w:eastAsia="Arial" w:hAnsi="Arial"/>
                <w:sz w:val="17"/>
                <w:szCs w:val="17"/>
                <w:b w:val="1"/>
                <w:bCs w:val="1"/>
                <w:color w:val="auto"/>
              </w:rPr>
              <w:t>August 3,</w:t>
            </w:r>
          </w:p>
        </w:tc>
        <w:tc>
          <w:tcPr>
            <w:tcW w:w="180" w:type="dxa"/>
            <w:vAlign w:val="bottom"/>
          </w:tcPr>
          <w:p>
            <w:pPr>
              <w:spacing w:after="0"/>
              <w:rPr>
                <w:sz w:val="13"/>
                <w:szCs w:val="13"/>
                <w:color w:val="auto"/>
              </w:rPr>
            </w:pPr>
          </w:p>
        </w:tc>
        <w:tc>
          <w:tcPr>
            <w:tcW w:w="1120" w:type="dxa"/>
            <w:vAlign w:val="bottom"/>
          </w:tcPr>
          <w:p>
            <w:pPr>
              <w:jc w:val="right"/>
              <w:ind w:right="195"/>
              <w:spacing w:after="0" w:line="153" w:lineRule="exact"/>
              <w:rPr>
                <w:sz w:val="20"/>
                <w:szCs w:val="20"/>
                <w:color w:val="auto"/>
              </w:rPr>
            </w:pPr>
            <w:r>
              <w:rPr>
                <w:rFonts w:ascii="Arial" w:cs="Arial" w:eastAsia="Arial" w:hAnsi="Arial"/>
                <w:sz w:val="17"/>
                <w:szCs w:val="17"/>
                <w:b w:val="1"/>
                <w:bCs w:val="1"/>
                <w:color w:val="auto"/>
              </w:rPr>
              <w:t>August 1,</w:t>
            </w:r>
          </w:p>
        </w:tc>
        <w:tc>
          <w:tcPr>
            <w:tcW w:w="300" w:type="dxa"/>
            <w:vAlign w:val="bottom"/>
          </w:tcPr>
          <w:p>
            <w:pPr>
              <w:spacing w:after="0"/>
              <w:rPr>
                <w:sz w:val="13"/>
                <w:szCs w:val="13"/>
                <w:color w:val="auto"/>
              </w:rPr>
            </w:pPr>
          </w:p>
        </w:tc>
        <w:tc>
          <w:tcPr>
            <w:tcW w:w="1020" w:type="dxa"/>
            <w:vAlign w:val="bottom"/>
          </w:tcPr>
          <w:p>
            <w:pPr>
              <w:jc w:val="right"/>
              <w:ind w:right="135"/>
              <w:spacing w:after="0" w:line="153" w:lineRule="exact"/>
              <w:rPr>
                <w:sz w:val="20"/>
                <w:szCs w:val="20"/>
                <w:color w:val="auto"/>
              </w:rPr>
            </w:pPr>
            <w:r>
              <w:rPr>
                <w:rFonts w:ascii="Arial" w:cs="Arial" w:eastAsia="Arial" w:hAnsi="Arial"/>
                <w:sz w:val="17"/>
                <w:szCs w:val="17"/>
                <w:b w:val="1"/>
                <w:bCs w:val="1"/>
                <w:color w:val="auto"/>
              </w:rPr>
              <w:t>August 3,</w:t>
            </w:r>
          </w:p>
        </w:tc>
        <w:tc>
          <w:tcPr>
            <w:tcW w:w="0" w:type="dxa"/>
            <w:vAlign w:val="bottom"/>
          </w:tcPr>
          <w:p>
            <w:pPr>
              <w:spacing w:after="0"/>
              <w:rPr>
                <w:sz w:val="1"/>
                <w:szCs w:val="1"/>
                <w:color w:val="auto"/>
              </w:rPr>
            </w:pPr>
          </w:p>
        </w:tc>
      </w:tr>
      <w:tr>
        <w:trPr>
          <w:trHeight w:val="219"/>
        </w:trPr>
        <w:tc>
          <w:tcPr>
            <w:tcW w:w="336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560" w:type="dxa"/>
            <w:vAlign w:val="bottom"/>
          </w:tcPr>
          <w:p>
            <w:pPr>
              <w:spacing w:after="0"/>
              <w:rPr>
                <w:sz w:val="19"/>
                <w:szCs w:val="19"/>
                <w:color w:val="auto"/>
              </w:rPr>
            </w:pPr>
          </w:p>
        </w:tc>
        <w:tc>
          <w:tcPr>
            <w:tcW w:w="1120" w:type="dxa"/>
            <w:vAlign w:val="bottom"/>
          </w:tcPr>
          <w:p>
            <w:pPr>
              <w:jc w:val="right"/>
              <w:ind w:right="415"/>
              <w:spacing w:after="0"/>
              <w:rPr>
                <w:sz w:val="20"/>
                <w:szCs w:val="20"/>
                <w:color w:val="auto"/>
              </w:rPr>
            </w:pPr>
            <w:r>
              <w:rPr>
                <w:rFonts w:ascii="Arial" w:cs="Arial" w:eastAsia="Arial" w:hAnsi="Arial"/>
                <w:sz w:val="17"/>
                <w:szCs w:val="17"/>
                <w:b w:val="1"/>
                <w:bCs w:val="1"/>
                <w:color w:val="auto"/>
              </w:rPr>
              <w:t>2020</w:t>
            </w:r>
          </w:p>
        </w:tc>
        <w:tc>
          <w:tcPr>
            <w:tcW w:w="240" w:type="dxa"/>
            <w:vAlign w:val="bottom"/>
          </w:tcPr>
          <w:p>
            <w:pPr>
              <w:spacing w:after="0"/>
              <w:rPr>
                <w:sz w:val="19"/>
                <w:szCs w:val="19"/>
                <w:color w:val="auto"/>
              </w:rPr>
            </w:pPr>
          </w:p>
        </w:tc>
        <w:tc>
          <w:tcPr>
            <w:tcW w:w="1000" w:type="dxa"/>
            <w:vAlign w:val="bottom"/>
          </w:tcPr>
          <w:p>
            <w:pPr>
              <w:jc w:val="right"/>
              <w:ind w:right="275"/>
              <w:spacing w:after="0"/>
              <w:rPr>
                <w:sz w:val="20"/>
                <w:szCs w:val="20"/>
                <w:color w:val="auto"/>
              </w:rPr>
            </w:pPr>
            <w:r>
              <w:rPr>
                <w:rFonts w:ascii="Arial" w:cs="Arial" w:eastAsia="Arial" w:hAnsi="Arial"/>
                <w:sz w:val="17"/>
                <w:szCs w:val="17"/>
                <w:b w:val="1"/>
                <w:bCs w:val="1"/>
                <w:color w:val="auto"/>
              </w:rPr>
              <w:t>2019</w:t>
            </w:r>
          </w:p>
        </w:tc>
        <w:tc>
          <w:tcPr>
            <w:tcW w:w="180" w:type="dxa"/>
            <w:vAlign w:val="bottom"/>
          </w:tcPr>
          <w:p>
            <w:pPr>
              <w:spacing w:after="0"/>
              <w:rPr>
                <w:sz w:val="19"/>
                <w:szCs w:val="19"/>
                <w:color w:val="auto"/>
              </w:rPr>
            </w:pPr>
          </w:p>
        </w:tc>
        <w:tc>
          <w:tcPr>
            <w:tcW w:w="1120" w:type="dxa"/>
            <w:vAlign w:val="bottom"/>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300" w:type="dxa"/>
            <w:vAlign w:val="bottom"/>
          </w:tcPr>
          <w:p>
            <w:pPr>
              <w:spacing w:after="0"/>
              <w:rPr>
                <w:sz w:val="19"/>
                <w:szCs w:val="19"/>
                <w:color w:val="auto"/>
              </w:rPr>
            </w:pPr>
          </w:p>
        </w:tc>
        <w:tc>
          <w:tcPr>
            <w:tcW w:w="1020" w:type="dxa"/>
            <w:vAlign w:val="bottom"/>
          </w:tcPr>
          <w:p>
            <w:pPr>
              <w:jc w:val="right"/>
              <w:ind w:right="33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Sales</w:t>
            </w:r>
          </w:p>
        </w:tc>
        <w:tc>
          <w:tcPr>
            <w:tcW w:w="5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2,077</w:t>
            </w:r>
          </w:p>
        </w:tc>
        <w:tc>
          <w:tcPr>
            <w:tcW w:w="2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1,774</w:t>
            </w:r>
          </w:p>
        </w:tc>
        <w:tc>
          <w:tcPr>
            <w:tcW w:w="1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3,253</w:t>
            </w:r>
          </w:p>
        </w:tc>
        <w:tc>
          <w:tcPr>
            <w:tcW w:w="3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3,852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Results</w:t>
            </w:r>
          </w:p>
        </w:tc>
        <w:tc>
          <w:tcPr>
            <w:tcW w:w="5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tcPr>
          <w:p>
            <w:pPr>
              <w:spacing w:after="0" w:line="189" w:lineRule="exact"/>
              <w:rPr>
                <w:sz w:val="20"/>
                <w:szCs w:val="20"/>
                <w:color w:val="auto"/>
              </w:rPr>
            </w:pPr>
            <w:r>
              <w:rPr>
                <w:rFonts w:ascii="Arial" w:cs="Arial" w:eastAsia="Arial" w:hAnsi="Arial"/>
                <w:sz w:val="17"/>
                <w:szCs w:val="17"/>
                <w:color w:val="auto"/>
              </w:rPr>
              <w:t>Division profit</w:t>
            </w:r>
          </w:p>
        </w:tc>
        <w:tc>
          <w:tcPr>
            <w:tcW w:w="560" w:type="dxa"/>
            <w:vAlign w:val="bottom"/>
          </w:tcPr>
          <w:p>
            <w:pPr>
              <w:spacing w:after="0"/>
              <w:rPr>
                <w:sz w:val="16"/>
                <w:szCs w:val="16"/>
                <w:color w:val="auto"/>
              </w:rPr>
            </w:pPr>
          </w:p>
        </w:tc>
        <w:tc>
          <w:tcPr>
            <w:tcW w:w="11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125</w:t>
            </w:r>
          </w:p>
        </w:tc>
        <w:tc>
          <w:tcPr>
            <w:tcW w:w="2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115</w:t>
            </w:r>
          </w:p>
        </w:tc>
        <w:tc>
          <w:tcPr>
            <w:tcW w:w="1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46</w:t>
            </w:r>
          </w:p>
        </w:tc>
        <w:tc>
          <w:tcPr>
            <w:tcW w:w="30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365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shd w:val="clear" w:color="auto" w:fill="CCEEFF"/>
          </w:tcPr>
          <w:p>
            <w:pPr>
              <w:spacing w:after="0" w:line="189" w:lineRule="exact"/>
              <w:rPr>
                <w:sz w:val="20"/>
                <w:szCs w:val="20"/>
                <w:color w:val="auto"/>
              </w:rPr>
            </w:pPr>
            <w:r>
              <w:rPr>
                <w:rFonts w:ascii="Arial" w:cs="Arial" w:eastAsia="Arial" w:hAnsi="Arial"/>
                <w:sz w:val="15"/>
                <w:szCs w:val="15"/>
                <w:color w:val="auto"/>
              </w:rPr>
              <w:t xml:space="preserve">Less: Impairment and other charges </w:t>
            </w:r>
            <w:r>
              <w:rPr>
                <w:rFonts w:ascii="Arial" w:cs="Arial" w:eastAsia="Arial" w:hAnsi="Arial"/>
                <w:sz w:val="21"/>
                <w:szCs w:val="21"/>
                <w:color w:val="auto"/>
                <w:vertAlign w:val="superscript"/>
              </w:rPr>
              <w:t>(1)</w:t>
            </w:r>
          </w:p>
        </w:tc>
        <w:tc>
          <w:tcPr>
            <w:tcW w:w="5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38</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w:t>
            </w: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54</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tcBorders>
              <w:bottom w:val="single" w:sz="8" w:color="auto"/>
            </w:tcBorders>
          </w:tcPr>
          <w:p>
            <w:pPr>
              <w:spacing w:after="0" w:line="189" w:lineRule="exact"/>
              <w:rPr>
                <w:sz w:val="20"/>
                <w:szCs w:val="20"/>
                <w:color w:val="auto"/>
              </w:rPr>
            </w:pPr>
            <w:r>
              <w:rPr>
                <w:rFonts w:ascii="Arial" w:cs="Arial" w:eastAsia="Arial" w:hAnsi="Arial"/>
                <w:sz w:val="15"/>
                <w:szCs w:val="15"/>
                <w:color w:val="auto"/>
              </w:rPr>
              <w:t xml:space="preserve">Less: Corporate expense </w:t>
            </w:r>
            <w:r>
              <w:rPr>
                <w:rFonts w:ascii="Arial" w:cs="Arial" w:eastAsia="Arial" w:hAnsi="Arial"/>
                <w:sz w:val="21"/>
                <w:szCs w:val="21"/>
                <w:color w:val="auto"/>
                <w:vertAlign w:val="superscript"/>
              </w:rPr>
              <w:t>(2)</w:t>
            </w:r>
          </w:p>
        </w:tc>
        <w:tc>
          <w:tcPr>
            <w:tcW w:w="5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18</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20</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28</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(loss) from operations</w:t>
            </w:r>
          </w:p>
        </w:tc>
        <w:tc>
          <w:tcPr>
            <w:tcW w:w="5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69</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81</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(36)</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tcPr>
          <w:p>
            <w:pPr>
              <w:spacing w:after="0" w:line="189" w:lineRule="exact"/>
              <w:rPr>
                <w:sz w:val="20"/>
                <w:szCs w:val="20"/>
                <w:color w:val="auto"/>
              </w:rPr>
            </w:pPr>
            <w:r>
              <w:rPr>
                <w:rFonts w:ascii="Arial" w:cs="Arial" w:eastAsia="Arial" w:hAnsi="Arial"/>
                <w:sz w:val="17"/>
                <w:szCs w:val="17"/>
                <w:color w:val="auto"/>
              </w:rPr>
              <w:t>Interest (expense) income, net</w:t>
            </w:r>
          </w:p>
        </w:tc>
        <w:tc>
          <w:tcPr>
            <w:tcW w:w="560" w:type="dxa"/>
            <w:vAlign w:val="bottom"/>
          </w:tcPr>
          <w:p>
            <w:pPr>
              <w:spacing w:after="0"/>
              <w:rPr>
                <w:sz w:val="16"/>
                <w:szCs w:val="16"/>
                <w:color w:val="auto"/>
              </w:rPr>
            </w:pPr>
          </w:p>
        </w:tc>
        <w:tc>
          <w:tcPr>
            <w:tcW w:w="112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(2)</w:t>
            </w:r>
          </w:p>
        </w:tc>
        <w:tc>
          <w:tcPr>
            <w:tcW w:w="2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2</w:t>
            </w:r>
          </w:p>
        </w:tc>
        <w:tc>
          <w:tcPr>
            <w:tcW w:w="180" w:type="dxa"/>
            <w:vAlign w:val="bottom"/>
          </w:tcPr>
          <w:p>
            <w:pPr>
              <w:spacing w:after="0"/>
              <w:rPr>
                <w:sz w:val="16"/>
                <w:szCs w:val="16"/>
                <w:color w:val="auto"/>
              </w:rPr>
            </w:pPr>
          </w:p>
        </w:tc>
        <w:tc>
          <w:tcPr>
            <w:tcW w:w="112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(3)</w:t>
            </w:r>
          </w:p>
        </w:tc>
        <w:tc>
          <w:tcPr>
            <w:tcW w:w="30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Other income, net</w:t>
            </w:r>
          </w:p>
        </w:tc>
        <w:tc>
          <w:tcPr>
            <w:tcW w:w="5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w:t>
            </w: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4</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Income (loss) before income taxes</w:t>
            </w: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70</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85</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(35)</w:t>
            </w:r>
          </w:p>
        </w:tc>
        <w:tc>
          <w:tcPr>
            <w:tcW w:w="30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380" w:right="79" w:hanging="330"/>
        <w:spacing w:after="0" w:line="291" w:lineRule="auto"/>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During the thirteen and twenty-six weeks ended August 1, 2020 and August 3, 2019, we recorded pre-tax charges as detailed in Note 4, </w:t>
      </w:r>
      <w:r>
        <w:rPr>
          <w:rFonts w:ascii="Arial" w:cs="Arial" w:eastAsia="Arial" w:hAnsi="Arial"/>
          <w:sz w:val="14"/>
          <w:szCs w:val="14"/>
          <w:i w:val="1"/>
          <w:iCs w:val="1"/>
          <w:color w:val="auto"/>
        </w:rPr>
        <w:t>Impairment and Other Charges</w:t>
      </w:r>
      <w:r>
        <w:rPr>
          <w:rFonts w:ascii="Arial" w:cs="Arial" w:eastAsia="Arial" w:hAnsi="Arial"/>
          <w:sz w:val="14"/>
          <w:szCs w:val="14"/>
          <w:color w:val="auto"/>
        </w:rPr>
        <w:t>.</w:t>
      </w:r>
    </w:p>
    <w:p>
      <w:pPr>
        <w:spacing w:after="0" w:line="41" w:lineRule="exact"/>
        <w:rPr>
          <w:rFonts w:ascii="Arial" w:cs="Arial" w:eastAsia="Arial" w:hAnsi="Arial"/>
          <w:sz w:val="14"/>
          <w:szCs w:val="14"/>
          <w:color w:val="auto"/>
        </w:rPr>
      </w:pPr>
    </w:p>
    <w:p>
      <w:pPr>
        <w:jc w:val="both"/>
        <w:ind w:left="380" w:right="79" w:hanging="330"/>
        <w:spacing w:after="0" w:line="266" w:lineRule="auto"/>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Corporate expense consists of unallocated selling, general and administrative expenses, as well as depreciation and amortization related to our corporate headquarters, centrally managed departments, unallocated insurance and benefit programs, certain foreign exchange transaction gains and losses, and other items.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Impairment and Other Charges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35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7"/>
                <w:szCs w:val="17"/>
                <w:b w:val="1"/>
                <w:bCs w:val="1"/>
                <w:color w:val="auto"/>
              </w:rPr>
              <w:t>Thirteen weeks ended</w:t>
            </w:r>
          </w:p>
        </w:tc>
        <w:tc>
          <w:tcPr>
            <w:tcW w:w="18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7"/>
                <w:szCs w:val="17"/>
                <w:b w:val="1"/>
                <w:bCs w:val="1"/>
                <w:color w:val="auto"/>
              </w:rPr>
              <w:t>Twenty-six weeks ended</w:t>
            </w:r>
          </w:p>
        </w:tc>
        <w:tc>
          <w:tcPr>
            <w:tcW w:w="0" w:type="dxa"/>
            <w:vAlign w:val="bottom"/>
          </w:tcPr>
          <w:p>
            <w:pPr>
              <w:spacing w:after="0"/>
              <w:rPr>
                <w:sz w:val="1"/>
                <w:szCs w:val="1"/>
                <w:color w:val="auto"/>
              </w:rPr>
            </w:pPr>
          </w:p>
        </w:tc>
      </w:tr>
      <w:tr>
        <w:trPr>
          <w:trHeight w:val="152"/>
        </w:trPr>
        <w:tc>
          <w:tcPr>
            <w:tcW w:w="3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jc w:val="right"/>
              <w:ind w:right="175"/>
              <w:spacing w:after="0" w:line="153" w:lineRule="exact"/>
              <w:rPr>
                <w:sz w:val="20"/>
                <w:szCs w:val="20"/>
                <w:color w:val="auto"/>
              </w:rPr>
            </w:pPr>
            <w:r>
              <w:rPr>
                <w:rFonts w:ascii="Arial" w:cs="Arial" w:eastAsia="Arial" w:hAnsi="Arial"/>
                <w:sz w:val="17"/>
                <w:szCs w:val="17"/>
                <w:b w:val="1"/>
                <w:bCs w:val="1"/>
                <w:color w:val="auto"/>
              </w:rPr>
              <w:t>August 1,</w:t>
            </w:r>
          </w:p>
        </w:tc>
        <w:tc>
          <w:tcPr>
            <w:tcW w:w="280" w:type="dxa"/>
            <w:vAlign w:val="bottom"/>
          </w:tcPr>
          <w:p>
            <w:pPr>
              <w:spacing w:after="0"/>
              <w:rPr>
                <w:sz w:val="13"/>
                <w:szCs w:val="13"/>
                <w:color w:val="auto"/>
              </w:rPr>
            </w:pPr>
          </w:p>
        </w:tc>
        <w:tc>
          <w:tcPr>
            <w:tcW w:w="1000" w:type="dxa"/>
            <w:vAlign w:val="bottom"/>
          </w:tcPr>
          <w:p>
            <w:pPr>
              <w:jc w:val="right"/>
              <w:ind w:right="75"/>
              <w:spacing w:after="0" w:line="153" w:lineRule="exact"/>
              <w:rPr>
                <w:sz w:val="20"/>
                <w:szCs w:val="20"/>
                <w:color w:val="auto"/>
              </w:rPr>
            </w:pPr>
            <w:r>
              <w:rPr>
                <w:rFonts w:ascii="Arial" w:cs="Arial" w:eastAsia="Arial" w:hAnsi="Arial"/>
                <w:sz w:val="17"/>
                <w:szCs w:val="17"/>
                <w:b w:val="1"/>
                <w:bCs w:val="1"/>
                <w:color w:val="auto"/>
              </w:rPr>
              <w:t>August 3,</w:t>
            </w:r>
          </w:p>
        </w:tc>
        <w:tc>
          <w:tcPr>
            <w:tcW w:w="180" w:type="dxa"/>
            <w:vAlign w:val="bottom"/>
          </w:tcPr>
          <w:p>
            <w:pPr>
              <w:spacing w:after="0"/>
              <w:rPr>
                <w:sz w:val="13"/>
                <w:szCs w:val="13"/>
                <w:color w:val="auto"/>
              </w:rPr>
            </w:pPr>
          </w:p>
        </w:tc>
        <w:tc>
          <w:tcPr>
            <w:tcW w:w="1100" w:type="dxa"/>
            <w:vAlign w:val="bottom"/>
          </w:tcPr>
          <w:p>
            <w:pPr>
              <w:jc w:val="right"/>
              <w:ind w:right="195"/>
              <w:spacing w:after="0" w:line="153" w:lineRule="exact"/>
              <w:rPr>
                <w:sz w:val="20"/>
                <w:szCs w:val="20"/>
                <w:color w:val="auto"/>
              </w:rPr>
            </w:pPr>
            <w:r>
              <w:rPr>
                <w:rFonts w:ascii="Arial" w:cs="Arial" w:eastAsia="Arial" w:hAnsi="Arial"/>
                <w:sz w:val="17"/>
                <w:szCs w:val="17"/>
                <w:b w:val="1"/>
                <w:bCs w:val="1"/>
                <w:color w:val="auto"/>
              </w:rPr>
              <w:t>August 1,</w:t>
            </w:r>
          </w:p>
        </w:tc>
        <w:tc>
          <w:tcPr>
            <w:tcW w:w="280" w:type="dxa"/>
            <w:vAlign w:val="bottom"/>
          </w:tcPr>
          <w:p>
            <w:pPr>
              <w:spacing w:after="0"/>
              <w:rPr>
                <w:sz w:val="13"/>
                <w:szCs w:val="13"/>
                <w:color w:val="auto"/>
              </w:rPr>
            </w:pPr>
          </w:p>
        </w:tc>
        <w:tc>
          <w:tcPr>
            <w:tcW w:w="1040" w:type="dxa"/>
            <w:vAlign w:val="bottom"/>
          </w:tcPr>
          <w:p>
            <w:pPr>
              <w:jc w:val="right"/>
              <w:ind w:right="115"/>
              <w:spacing w:after="0" w:line="153" w:lineRule="exact"/>
              <w:rPr>
                <w:sz w:val="20"/>
                <w:szCs w:val="20"/>
                <w:color w:val="auto"/>
              </w:rPr>
            </w:pPr>
            <w:r>
              <w:rPr>
                <w:rFonts w:ascii="Arial" w:cs="Arial" w:eastAsia="Arial" w:hAnsi="Arial"/>
                <w:sz w:val="17"/>
                <w:szCs w:val="17"/>
                <w:b w:val="1"/>
                <w:bCs w:val="1"/>
                <w:color w:val="auto"/>
              </w:rPr>
              <w:t>August 3,</w:t>
            </w:r>
          </w:p>
        </w:tc>
        <w:tc>
          <w:tcPr>
            <w:tcW w:w="0" w:type="dxa"/>
            <w:vAlign w:val="bottom"/>
          </w:tcPr>
          <w:p>
            <w:pPr>
              <w:spacing w:after="0"/>
              <w:rPr>
                <w:sz w:val="1"/>
                <w:szCs w:val="1"/>
                <w:color w:val="auto"/>
              </w:rPr>
            </w:pPr>
          </w:p>
        </w:tc>
      </w:tr>
      <w:tr>
        <w:trPr>
          <w:trHeight w:val="219"/>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2019</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83"/>
        </w:trPr>
        <w:tc>
          <w:tcPr>
            <w:tcW w:w="356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Losses related to social unrest</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18</w:t>
            </w:r>
          </w:p>
        </w:tc>
        <w:tc>
          <w:tcPr>
            <w:tcW w:w="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110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18</w:t>
            </w:r>
          </w:p>
        </w:tc>
        <w:tc>
          <w:tcPr>
            <w:tcW w:w="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3560" w:type="dxa"/>
            <w:vAlign w:val="bottom"/>
          </w:tcPr>
          <w:p>
            <w:pPr>
              <w:ind w:left="20"/>
              <w:spacing w:after="0" w:line="189" w:lineRule="exact"/>
              <w:rPr>
                <w:sz w:val="20"/>
                <w:szCs w:val="20"/>
                <w:color w:val="auto"/>
              </w:rPr>
            </w:pPr>
            <w:r>
              <w:rPr>
                <w:rFonts w:ascii="Arial" w:cs="Arial" w:eastAsia="Arial" w:hAnsi="Arial"/>
                <w:sz w:val="17"/>
                <w:szCs w:val="17"/>
                <w:color w:val="auto"/>
              </w:rPr>
              <w:t>Runners Point shut down</w:t>
            </w:r>
          </w:p>
        </w:tc>
        <w:tc>
          <w:tcPr>
            <w:tcW w:w="380" w:type="dxa"/>
            <w:vAlign w:val="bottom"/>
          </w:tcPr>
          <w:p>
            <w:pPr>
              <w:spacing w:after="0"/>
              <w:rPr>
                <w:sz w:val="16"/>
                <w:szCs w:val="16"/>
                <w:color w:val="auto"/>
              </w:rPr>
            </w:pPr>
          </w:p>
        </w:tc>
        <w:tc>
          <w:tcPr>
            <w:tcW w:w="108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16</w:t>
            </w:r>
          </w:p>
        </w:tc>
        <w:tc>
          <w:tcPr>
            <w:tcW w:w="2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110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16</w:t>
            </w:r>
          </w:p>
        </w:tc>
        <w:tc>
          <w:tcPr>
            <w:tcW w:w="28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1"/>
        </w:trPr>
        <w:tc>
          <w:tcPr>
            <w:tcW w:w="3560" w:type="dxa"/>
            <w:vAlign w:val="bottom"/>
            <w:shd w:val="clear" w:color="auto" w:fill="CCEEFF"/>
          </w:tcPr>
          <w:p>
            <w:pPr>
              <w:ind w:left="20"/>
              <w:spacing w:after="0" w:line="161" w:lineRule="exact"/>
              <w:rPr>
                <w:sz w:val="20"/>
                <w:szCs w:val="20"/>
                <w:color w:val="auto"/>
              </w:rPr>
            </w:pPr>
            <w:r>
              <w:rPr>
                <w:rFonts w:ascii="Arial" w:cs="Arial" w:eastAsia="Arial" w:hAnsi="Arial"/>
                <w:sz w:val="17"/>
                <w:szCs w:val="17"/>
                <w:color w:val="auto"/>
              </w:rPr>
              <w:t>Impairment of long-lived assets and right-of-</w:t>
            </w:r>
          </w:p>
        </w:tc>
        <w:tc>
          <w:tcPr>
            <w:tcW w:w="3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15</w:t>
            </w: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use assets</w:t>
            </w:r>
          </w:p>
        </w:tc>
        <w:tc>
          <w:tcPr>
            <w:tcW w:w="3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3560" w:type="dxa"/>
            <w:vAlign w:val="bottom"/>
          </w:tcPr>
          <w:p>
            <w:pPr>
              <w:ind w:left="20"/>
              <w:spacing w:after="0" w:line="189" w:lineRule="exact"/>
              <w:rPr>
                <w:sz w:val="20"/>
                <w:szCs w:val="20"/>
                <w:color w:val="auto"/>
              </w:rPr>
            </w:pPr>
            <w:r>
              <w:rPr>
                <w:rFonts w:ascii="Arial" w:cs="Arial" w:eastAsia="Arial" w:hAnsi="Arial"/>
                <w:sz w:val="17"/>
                <w:szCs w:val="17"/>
                <w:color w:val="auto"/>
              </w:rPr>
              <w:t>Eastbay reorganization</w:t>
            </w:r>
          </w:p>
        </w:tc>
        <w:tc>
          <w:tcPr>
            <w:tcW w:w="380" w:type="dxa"/>
            <w:vAlign w:val="bottom"/>
          </w:tcPr>
          <w:p>
            <w:pPr>
              <w:spacing w:after="0"/>
              <w:rPr>
                <w:sz w:val="16"/>
                <w:szCs w:val="16"/>
                <w:color w:val="auto"/>
              </w:rPr>
            </w:pPr>
          </w:p>
        </w:tc>
        <w:tc>
          <w:tcPr>
            <w:tcW w:w="108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3</w:t>
            </w:r>
          </w:p>
        </w:tc>
        <w:tc>
          <w:tcPr>
            <w:tcW w:w="2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110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3</w:t>
            </w:r>
          </w:p>
        </w:tc>
        <w:tc>
          <w:tcPr>
            <w:tcW w:w="28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35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Pension litigation related charges</w:t>
            </w: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9"/>
        </w:trPr>
        <w:tc>
          <w:tcPr>
            <w:tcW w:w="356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Lease termination costs</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13</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83"/>
        </w:trPr>
        <w:tc>
          <w:tcPr>
            <w:tcW w:w="356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impairment and other charges</w:t>
            </w:r>
          </w:p>
        </w:tc>
        <w:tc>
          <w:tcPr>
            <w:tcW w:w="3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38</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14</w:t>
            </w: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54</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We recorded charges of $18 million related to social unrest in the second quarter, which resulted in physical damage and inventory loss to approximately 135 stores. This charge included inventory losses of $14 million, damages to store property of $ 2 million, and repairs and other costs of $2 million. We are currently working with our insurers to determine the amount of our covered losses under our property insurance policy. Insurance recovery for losses in excess of our deductible will be recorded in the period in which we conclude our settlement discussions with our insurance providers.</w:t>
      </w:r>
    </w:p>
    <w:p>
      <w:pPr>
        <w:spacing w:after="0" w:line="160"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In May 2020, we made the strategic decision to shut down our Runners Point business and to consolidate our Sidestep support staff into our other operations in Europe. Also, as part of the next phase of the Champs Sports and Eastbay strategic initiative, we restructured positions and aligned several functions across the banners and plan to consolidate certain Eastbay operations from Wausau, Wisconsin into the Champs Sports headquarters in Bradenton, Florida. We recorded charges of $16 million related to the shutdown of the Runners Point business and $3 million related to the reorganization associated with Eastbay.</w:t>
      </w:r>
    </w:p>
    <w:p>
      <w:pPr>
        <w:spacing w:after="0" w:line="39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2020 Form 10-Q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992" w:right="1440"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337820</wp:posOffset>
            </wp:positionV>
            <wp:extent cx="1834515"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w:t>
      </w:r>
    </w:p>
    <w:p>
      <w:pPr>
        <w:spacing w:after="0" w:line="335"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As part of the decision to close the Runners Point banner, certain Runners Point stores will convert to other banners and approximately 40 Runners Point and Sidestep stores will close prior to their natural lease expiration. The following table presents a rollforward of our restructuring liability, which is recorded in Accrued and other liabilities on the Condensed Consolidated Balance Sheets. The remaining restructuring liability at August 1, 2020, which primarily relates to severance payments, is expected to be substantially paid within the next twelve months.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460" w:type="dxa"/>
            <w:vAlign w:val="bottom"/>
            <w:tcBorders>
              <w:bottom w:val="single" w:sz="8" w:color="auto"/>
            </w:tcBorders>
            <w:gridSpan w:val="2"/>
          </w:tcPr>
          <w:p>
            <w:pPr>
              <w:jc w:val="right"/>
              <w:ind w:right="115"/>
              <w:spacing w:after="0"/>
              <w:rPr>
                <w:sz w:val="20"/>
                <w:szCs w:val="20"/>
                <w:color w:val="auto"/>
              </w:rPr>
            </w:pPr>
            <w:r>
              <w:rPr>
                <w:rFonts w:ascii="Arial" w:cs="Arial" w:eastAsia="Arial" w:hAnsi="Arial"/>
                <w:sz w:val="17"/>
                <w:szCs w:val="17"/>
                <w:b w:val="1"/>
                <w:bCs w:val="1"/>
                <w:color w:val="auto"/>
              </w:rPr>
              <w:t>Runners Point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Eastbay</w:t>
            </w:r>
          </w:p>
        </w:tc>
        <w:tc>
          <w:tcPr>
            <w:tcW w:w="4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Total</w:t>
            </w:r>
          </w:p>
        </w:tc>
      </w:tr>
      <w:tr>
        <w:trPr>
          <w:trHeight w:val="183"/>
        </w:trPr>
        <w:tc>
          <w:tcPr>
            <w:tcW w:w="33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Balance as of February 1, 2020</w:t>
            </w:r>
          </w:p>
        </w:tc>
        <w:tc>
          <w:tcPr>
            <w:tcW w:w="1600" w:type="dxa"/>
            <w:vAlign w:val="bottom"/>
            <w:shd w:val="clear" w:color="auto" w:fill="CCEEFF"/>
          </w:tcPr>
          <w:p>
            <w:pPr>
              <w:jc w:val="right"/>
              <w:ind w:right="415"/>
              <w:spacing w:after="0" w:line="183"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875"/>
              <w:spacing w:after="0" w:line="183"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r>
      <w:tr>
        <w:trPr>
          <w:trHeight w:val="189"/>
        </w:trPr>
        <w:tc>
          <w:tcPr>
            <w:tcW w:w="3380" w:type="dxa"/>
            <w:vAlign w:val="bottom"/>
          </w:tcPr>
          <w:p>
            <w:pPr>
              <w:ind w:left="120"/>
              <w:spacing w:after="0" w:line="189" w:lineRule="exact"/>
              <w:rPr>
                <w:sz w:val="20"/>
                <w:szCs w:val="20"/>
                <w:color w:val="auto"/>
              </w:rPr>
            </w:pPr>
            <w:r>
              <w:rPr>
                <w:rFonts w:ascii="Arial" w:cs="Arial" w:eastAsia="Arial" w:hAnsi="Arial"/>
                <w:sz w:val="17"/>
                <w:szCs w:val="17"/>
                <w:color w:val="auto"/>
              </w:rPr>
              <w:t>Charges</w:t>
            </w:r>
          </w:p>
        </w:tc>
        <w:tc>
          <w:tcPr>
            <w:tcW w:w="1600" w:type="dxa"/>
            <w:vAlign w:val="bottom"/>
          </w:tcPr>
          <w:p>
            <w:pPr>
              <w:spacing w:after="0"/>
              <w:rPr>
                <w:sz w:val="16"/>
                <w:szCs w:val="16"/>
                <w:color w:val="auto"/>
              </w:rPr>
            </w:pPr>
          </w:p>
        </w:tc>
        <w:tc>
          <w:tcPr>
            <w:tcW w:w="8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16</w:t>
            </w:r>
          </w:p>
        </w:tc>
        <w:tc>
          <w:tcPr>
            <w:tcW w:w="1180" w:type="dxa"/>
            <w:vAlign w:val="bottom"/>
          </w:tcPr>
          <w:p>
            <w:pPr>
              <w:spacing w:after="0"/>
              <w:rPr>
                <w:sz w:val="16"/>
                <w:szCs w:val="16"/>
                <w:color w:val="auto"/>
              </w:rPr>
            </w:pPr>
          </w:p>
        </w:tc>
        <w:tc>
          <w:tcPr>
            <w:tcW w:w="4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w:t>
            </w:r>
          </w:p>
        </w:tc>
        <w:tc>
          <w:tcPr>
            <w:tcW w:w="4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19</w:t>
            </w:r>
          </w:p>
        </w:tc>
      </w:tr>
      <w:tr>
        <w:trPr>
          <w:trHeight w:val="189"/>
        </w:trPr>
        <w:tc>
          <w:tcPr>
            <w:tcW w:w="338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Payments</w:t>
            </w:r>
          </w:p>
        </w:tc>
        <w:tc>
          <w:tcPr>
            <w:tcW w:w="16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(2)</w:t>
            </w:r>
          </w:p>
        </w:tc>
        <w:tc>
          <w:tcPr>
            <w:tcW w:w="11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(2)</w:t>
            </w: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r>
      <w:tr>
        <w:trPr>
          <w:trHeight w:val="189"/>
        </w:trPr>
        <w:tc>
          <w:tcPr>
            <w:tcW w:w="3380" w:type="dxa"/>
            <w:vAlign w:val="bottom"/>
            <w:tcBorders>
              <w:bottom w:val="single" w:sz="8" w:color="auto"/>
            </w:tcBorders>
          </w:tcPr>
          <w:p>
            <w:pPr>
              <w:ind w:left="120"/>
              <w:spacing w:after="0" w:line="189" w:lineRule="exact"/>
              <w:rPr>
                <w:sz w:val="20"/>
                <w:szCs w:val="20"/>
                <w:color w:val="auto"/>
              </w:rPr>
            </w:pPr>
            <w:r>
              <w:rPr>
                <w:rFonts w:ascii="Arial" w:cs="Arial" w:eastAsia="Arial" w:hAnsi="Arial"/>
                <w:sz w:val="17"/>
                <w:szCs w:val="17"/>
                <w:color w:val="auto"/>
              </w:rPr>
              <w:t>Foreign currency fluctuations</w:t>
            </w:r>
          </w:p>
        </w:tc>
        <w:tc>
          <w:tcPr>
            <w:tcW w:w="16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1</w:t>
            </w:r>
          </w:p>
        </w:tc>
        <w:tc>
          <w:tcPr>
            <w:tcW w:w="1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3"/>
        </w:trPr>
        <w:tc>
          <w:tcPr>
            <w:tcW w:w="338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Balance as of August 1, 2020</w:t>
            </w:r>
          </w:p>
        </w:tc>
        <w:tc>
          <w:tcPr>
            <w:tcW w:w="1600" w:type="dxa"/>
            <w:vAlign w:val="bottom"/>
            <w:tcBorders>
              <w:bottom w:val="single" w:sz="8" w:color="auto"/>
            </w:tcBorders>
            <w:shd w:val="clear" w:color="auto" w:fill="CCEEFF"/>
          </w:tcPr>
          <w:p>
            <w:pPr>
              <w:jc w:val="right"/>
              <w:ind w:right="415"/>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15</w:t>
            </w:r>
          </w:p>
        </w:tc>
        <w:tc>
          <w:tcPr>
            <w:tcW w:w="1180" w:type="dxa"/>
            <w:vAlign w:val="bottom"/>
            <w:tcBorders>
              <w:bottom w:val="single" w:sz="8" w:color="auto"/>
            </w:tcBorders>
            <w:shd w:val="clear" w:color="auto" w:fill="CCEEFF"/>
          </w:tcPr>
          <w:p>
            <w:pPr>
              <w:jc w:val="right"/>
              <w:ind w:right="875"/>
              <w:spacing w:after="0" w:line="183" w:lineRule="exact"/>
              <w:rPr>
                <w:sz w:val="20"/>
                <w:szCs w:val="20"/>
                <w:color w:val="auto"/>
              </w:rPr>
            </w:pPr>
            <w:r>
              <w:rPr>
                <w:rFonts w:ascii="Arial" w:cs="Arial" w:eastAsia="Arial" w:hAnsi="Arial"/>
                <w:sz w:val="17"/>
                <w:szCs w:val="17"/>
                <w:b w:val="1"/>
                <w:bCs w:val="1"/>
                <w:color w:val="auto"/>
              </w:rPr>
              <w:t>$</w:t>
            </w:r>
          </w:p>
        </w:tc>
        <w:tc>
          <w:tcPr>
            <w:tcW w:w="40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w:t>
            </w:r>
          </w:p>
        </w:tc>
        <w:tc>
          <w:tcPr>
            <w:tcW w:w="42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16</w:t>
            </w: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color w:val="auto"/>
        </w:rPr>
        <w:t>Due to the COVID-19 pandemic and its effect on our actual and projected results, during the first quarter of 2020 we determined that a triggering event occurred for certain underperforming stores operating in Europe and, therefore, we conducted an impairment review. We evaluated the long-lived assets, including the right-of-use assets, of 70 stores and recorded non-cash charges of $15 million to write down store fixtures, leasehold improvements, and right-of-use assets.</w:t>
      </w:r>
    </w:p>
    <w:p>
      <w:pPr>
        <w:spacing w:after="0" w:line="172"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The Company and its U.S. pension plan were involved in litigation related to the conversion of the plan to a cash balance plan. The court entered its final judgment in 2018, which required the plan to be reformed as directed by the court order. We recorded charges of $2 million for both the twenty-six weeks ended August 1, 2020 and August 3, 2019 related to administrative expenses in connection with the reformation. For the twenty-six weeks ended August 3, 2019, we incurred $13 million of lease termination costs related to the closure of our SIX:02 locations.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Cash, Cash Equivalents, and Restricted Cash</w:t>
      </w:r>
    </w:p>
    <w:p>
      <w:pPr>
        <w:spacing w:after="0" w:line="173"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following table provides a reconciliation of cash and cash equivalents, as reported on our Condensed Consolidated Balance Sheets, to cash, cash equivalents, and restricted cash, as reported on our Condensed Consolidated Statements of Cash Flows.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4200" w:type="dxa"/>
            <w:vAlign w:val="bottom"/>
            <w:vMerge w:val="restart"/>
          </w:tcPr>
          <w:p>
            <w:pPr>
              <w:spacing w:after="0"/>
              <w:rPr>
                <w:sz w:val="20"/>
                <w:szCs w:val="20"/>
                <w:color w:val="auto"/>
              </w:rPr>
            </w:pPr>
            <w:r>
              <w:rPr>
                <w:rFonts w:ascii="Arial" w:cs="Arial" w:eastAsia="Arial" w:hAnsi="Arial"/>
                <w:sz w:val="17"/>
                <w:szCs w:val="17"/>
                <w:b w:val="1"/>
                <w:bCs w:val="1"/>
                <w:color w:val="auto"/>
              </w:rPr>
              <w:t>($ in millions)</w:t>
            </w:r>
          </w:p>
        </w:tc>
        <w:tc>
          <w:tcPr>
            <w:tcW w:w="460" w:type="dxa"/>
            <w:vAlign w:val="bottom"/>
          </w:tcPr>
          <w:p>
            <w:pPr>
              <w:spacing w:after="0"/>
              <w:rPr>
                <w:sz w:val="16"/>
                <w:szCs w:val="16"/>
                <w:color w:val="auto"/>
              </w:rPr>
            </w:pPr>
          </w:p>
        </w:tc>
        <w:tc>
          <w:tcPr>
            <w:tcW w:w="1280" w:type="dxa"/>
            <w:vAlign w:val="bottom"/>
          </w:tcPr>
          <w:p>
            <w:pPr>
              <w:jc w:val="right"/>
              <w:ind w:right="315"/>
              <w:spacing w:after="0"/>
              <w:rPr>
                <w:sz w:val="20"/>
                <w:szCs w:val="20"/>
                <w:color w:val="auto"/>
              </w:rPr>
            </w:pPr>
            <w:r>
              <w:rPr>
                <w:rFonts w:ascii="Arial" w:cs="Arial" w:eastAsia="Arial" w:hAnsi="Arial"/>
                <w:sz w:val="17"/>
                <w:szCs w:val="17"/>
                <w:b w:val="1"/>
                <w:bCs w:val="1"/>
                <w:color w:val="auto"/>
              </w:rPr>
              <w:t>August 1,</w:t>
            </w:r>
          </w:p>
        </w:tc>
        <w:tc>
          <w:tcPr>
            <w:tcW w:w="340" w:type="dxa"/>
            <w:vAlign w:val="bottom"/>
          </w:tcPr>
          <w:p>
            <w:pPr>
              <w:spacing w:after="0"/>
              <w:rPr>
                <w:sz w:val="16"/>
                <w:szCs w:val="16"/>
                <w:color w:val="auto"/>
              </w:rPr>
            </w:pPr>
          </w:p>
        </w:tc>
        <w:tc>
          <w:tcPr>
            <w:tcW w:w="1180" w:type="dxa"/>
            <w:vAlign w:val="bottom"/>
          </w:tcPr>
          <w:p>
            <w:pPr>
              <w:jc w:val="right"/>
              <w:ind w:right="195"/>
              <w:spacing w:after="0"/>
              <w:rPr>
                <w:sz w:val="20"/>
                <w:szCs w:val="20"/>
                <w:color w:val="auto"/>
              </w:rPr>
            </w:pPr>
            <w:r>
              <w:rPr>
                <w:rFonts w:ascii="Arial" w:cs="Arial" w:eastAsia="Arial" w:hAnsi="Arial"/>
                <w:sz w:val="17"/>
                <w:szCs w:val="17"/>
                <w:b w:val="1"/>
                <w:bCs w:val="1"/>
                <w:color w:val="auto"/>
              </w:rPr>
              <w:t>August 3,</w:t>
            </w:r>
          </w:p>
        </w:tc>
        <w:tc>
          <w:tcPr>
            <w:tcW w:w="200" w:type="dxa"/>
            <w:vAlign w:val="bottom"/>
          </w:tcPr>
          <w:p>
            <w:pPr>
              <w:spacing w:after="0"/>
              <w:rPr>
                <w:sz w:val="16"/>
                <w:szCs w:val="16"/>
                <w:color w:val="auto"/>
              </w:rPr>
            </w:pPr>
          </w:p>
        </w:tc>
        <w:tc>
          <w:tcPr>
            <w:tcW w:w="1240" w:type="dxa"/>
            <w:vAlign w:val="bottom"/>
          </w:tcPr>
          <w:p>
            <w:pPr>
              <w:jc w:val="right"/>
              <w:ind w:right="155"/>
              <w:spacing w:after="0"/>
              <w:rPr>
                <w:sz w:val="20"/>
                <w:szCs w:val="20"/>
                <w:color w:val="auto"/>
              </w:rPr>
            </w:pPr>
            <w:r>
              <w:rPr>
                <w:rFonts w:ascii="Arial" w:cs="Arial" w:eastAsia="Arial" w:hAnsi="Arial"/>
                <w:sz w:val="17"/>
                <w:szCs w:val="17"/>
                <w:b w:val="1"/>
                <w:bCs w:val="1"/>
                <w:color w:val="auto"/>
              </w:rPr>
              <w:t>February 1,</w:t>
            </w:r>
          </w:p>
        </w:tc>
        <w:tc>
          <w:tcPr>
            <w:tcW w:w="0" w:type="dxa"/>
            <w:vAlign w:val="bottom"/>
          </w:tcPr>
          <w:p>
            <w:pPr>
              <w:spacing w:after="0"/>
              <w:rPr>
                <w:sz w:val="1"/>
                <w:szCs w:val="1"/>
                <w:color w:val="auto"/>
              </w:rPr>
            </w:pPr>
          </w:p>
        </w:tc>
      </w:tr>
      <w:tr>
        <w:trPr>
          <w:trHeight w:val="219"/>
        </w:trPr>
        <w:tc>
          <w:tcPr>
            <w:tcW w:w="420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2020</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3"/>
        </w:trPr>
        <w:tc>
          <w:tcPr>
            <w:tcW w:w="4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Cash and cash equivalents</w:t>
            </w:r>
          </w:p>
        </w:tc>
        <w:tc>
          <w:tcPr>
            <w:tcW w:w="46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2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1,373</w:t>
            </w:r>
          </w:p>
        </w:tc>
        <w:tc>
          <w:tcPr>
            <w:tcW w:w="34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939</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907</w:t>
            </w: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7"/>
                <w:szCs w:val="17"/>
                <w:color w:val="auto"/>
              </w:rPr>
              <w:t>Restricted cash included in other current assets</w:t>
            </w:r>
          </w:p>
        </w:tc>
        <w:tc>
          <w:tcPr>
            <w:tcW w:w="460" w:type="dxa"/>
            <w:vAlign w:val="bottom"/>
          </w:tcPr>
          <w:p>
            <w:pPr>
              <w:spacing w:after="0"/>
              <w:rPr>
                <w:sz w:val="16"/>
                <w:szCs w:val="16"/>
                <w:color w:val="auto"/>
              </w:rPr>
            </w:pPr>
          </w:p>
        </w:tc>
        <w:tc>
          <w:tcPr>
            <w:tcW w:w="12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7</w:t>
            </w:r>
          </w:p>
        </w:tc>
        <w:tc>
          <w:tcPr>
            <w:tcW w:w="3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5</w:t>
            </w:r>
          </w:p>
        </w:tc>
        <w:tc>
          <w:tcPr>
            <w:tcW w:w="2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Restricted cash included in other non-current assets</w:t>
            </w:r>
          </w:p>
        </w:tc>
        <w:tc>
          <w:tcPr>
            <w:tcW w:w="4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30</w:t>
            </w: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30</w:t>
            </w: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183"/>
        </w:trPr>
        <w:tc>
          <w:tcPr>
            <w:tcW w:w="42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Cash, cash equivalents, and restricted cash</w:t>
            </w:r>
          </w:p>
        </w:tc>
        <w:tc>
          <w:tcPr>
            <w:tcW w:w="46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1,410</w:t>
            </w:r>
          </w:p>
        </w:tc>
        <w:tc>
          <w:tcPr>
            <w:tcW w:w="34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974</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942</w:t>
            </w:r>
          </w:p>
        </w:tc>
        <w:tc>
          <w:tcPr>
            <w:tcW w:w="0" w:type="dxa"/>
            <w:vAlign w:val="bottom"/>
          </w:tcPr>
          <w:p>
            <w:pPr>
              <w:spacing w:after="0"/>
              <w:rPr>
                <w:sz w:val="1"/>
                <w:szCs w:val="1"/>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Amounts included in restricted cash primarily relate to amounts held in escrow in connection with various leasing arrangements in Europe and deposits held in insurance trusts to satisfy the requirement to collateralize part of the self-insured workers’ compensation and liability claims.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2020 Form 10-Q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92"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337820</wp:posOffset>
            </wp:positionV>
            <wp:extent cx="1834515" cy="214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Goodwill</w:t>
      </w:r>
    </w:p>
    <w:p>
      <w:pPr>
        <w:spacing w:after="0" w:line="173"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We review goodwill for impairment annually during the first quarter of each fiscal year, or more frequently if impairment indicators arise. The review of impairment consists of either using a qualitative approach to determine whether it is more likely than not that the fair value of the assets is less than their respective carrying values or a one-step quantitative impairment test.</w:t>
      </w:r>
    </w:p>
    <w:p>
      <w:pPr>
        <w:spacing w:after="0" w:line="17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performing the qualitative assessment, we consider many factors in evaluating whether the carrying value of goodwill may not be recoverable, including declines in our stock price and market capitalization in relation to the book value of the Company and macroeconomic conditions affecting retail. If, based on the results of the qualitative assessment, it is concluded that it is not more likely than not that the fair value of a reporting unit exceeds its carrying value, additional quantitative impairment testing is performed. The quantitative test requires that the carrying value of each reporting unit be compared with its estimated fair value. If the carrying value of a reporting unit is greater than its fair value, a goodwill impairment charge will be recorded for the difference (up to the carrying value of goodwill).</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use a discounted cash flow approach to determine the fair value of a reporting unit. The determination of discounted cash flows of the reporting units and assets and liabilities within the reporting units requires significant estimates and assumptions. These estimates and assumptions primarily include, but are not limited to, the discount rate, terminal growth rates, earnings before depreciation and amortization, and capital expenditures forecasts. Due to the inherent uncertainty involved in making these estimates, actual results could differ from those estimates. We evaluate the merits of each significant assumption, both individually and in the aggregate, used to determine the fair value of the reporting units, as well as the fair values of the corresponding assets and liabilities within the reporting units.</w:t>
      </w:r>
    </w:p>
    <w:p>
      <w:pPr>
        <w:spacing w:after="0" w:line="18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addition to performing our qualitative assessment of as the beginning of the year, we performed an additional quantitative assessment during the first quarter due to the COVID-19 pandemic and its effect on our results and stock price. Neither assessment resulted in the recognition of impairment.</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Other Intangible Assets, net</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finite-lived intangible assets and intangible assets not subject to amortization are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5"/>
          </w:tcPr>
          <w:p>
            <w:pPr>
              <w:jc w:val="right"/>
              <w:ind w:right="235"/>
              <w:spacing w:after="0"/>
              <w:rPr>
                <w:sz w:val="20"/>
                <w:szCs w:val="20"/>
                <w:color w:val="auto"/>
              </w:rPr>
            </w:pPr>
            <w:r>
              <w:rPr>
                <w:rFonts w:ascii="Arial" w:cs="Arial" w:eastAsia="Arial" w:hAnsi="Arial"/>
                <w:sz w:val="17"/>
                <w:szCs w:val="17"/>
                <w:b w:val="1"/>
                <w:bCs w:val="1"/>
                <w:color w:val="auto"/>
              </w:rPr>
              <w:t>August 1, 2020</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5"/>
          </w:tcPr>
          <w:p>
            <w:pPr>
              <w:jc w:val="right"/>
              <w:ind w:right="255"/>
              <w:spacing w:after="0"/>
              <w:rPr>
                <w:sz w:val="20"/>
                <w:szCs w:val="20"/>
                <w:color w:val="auto"/>
              </w:rPr>
            </w:pPr>
            <w:r>
              <w:rPr>
                <w:rFonts w:ascii="Arial" w:cs="Arial" w:eastAsia="Arial" w:hAnsi="Arial"/>
                <w:sz w:val="17"/>
                <w:szCs w:val="17"/>
                <w:b w:val="1"/>
                <w:bCs w:val="1"/>
                <w:color w:val="auto"/>
              </w:rPr>
              <w:t>August 3, 2019</w:t>
            </w: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5"/>
          </w:tcPr>
          <w:p>
            <w:pPr>
              <w:jc w:val="right"/>
              <w:ind w:right="175"/>
              <w:spacing w:after="0"/>
              <w:rPr>
                <w:sz w:val="20"/>
                <w:szCs w:val="20"/>
                <w:color w:val="auto"/>
              </w:rPr>
            </w:pPr>
            <w:r>
              <w:rPr>
                <w:rFonts w:ascii="Arial" w:cs="Arial" w:eastAsia="Arial" w:hAnsi="Arial"/>
                <w:sz w:val="17"/>
                <w:szCs w:val="17"/>
                <w:b w:val="1"/>
                <w:bCs w:val="1"/>
                <w:color w:val="auto"/>
              </w:rPr>
              <w:t>February 1, 2020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780" w:type="dxa"/>
            <w:vAlign w:val="bottom"/>
            <w:gridSpan w:val="2"/>
          </w:tcPr>
          <w:p>
            <w:pPr>
              <w:jc w:val="right"/>
              <w:spacing w:after="0" w:line="153" w:lineRule="exact"/>
              <w:rPr>
                <w:sz w:val="20"/>
                <w:szCs w:val="20"/>
                <w:color w:val="auto"/>
              </w:rPr>
            </w:pPr>
            <w:r>
              <w:rPr>
                <w:rFonts w:ascii="Arial" w:cs="Arial" w:eastAsia="Arial" w:hAnsi="Arial"/>
                <w:sz w:val="17"/>
                <w:szCs w:val="17"/>
                <w:b w:val="1"/>
                <w:bCs w:val="1"/>
                <w:color w:val="auto"/>
              </w:rPr>
              <w:t>Gross</w:t>
            </w:r>
          </w:p>
        </w:tc>
        <w:tc>
          <w:tcPr>
            <w:tcW w:w="720" w:type="dxa"/>
            <w:vAlign w:val="bottom"/>
            <w:gridSpan w:val="2"/>
          </w:tcPr>
          <w:p>
            <w:pPr>
              <w:ind w:left="60"/>
              <w:spacing w:after="0" w:line="153" w:lineRule="exact"/>
              <w:rPr>
                <w:sz w:val="20"/>
                <w:szCs w:val="20"/>
                <w:color w:val="auto"/>
              </w:rPr>
            </w:pPr>
            <w:r>
              <w:rPr>
                <w:rFonts w:ascii="Arial" w:cs="Arial" w:eastAsia="Arial" w:hAnsi="Arial"/>
                <w:sz w:val="17"/>
                <w:szCs w:val="17"/>
                <w:b w:val="1"/>
                <w:bCs w:val="1"/>
                <w:color w:val="auto"/>
              </w:rPr>
              <w:t>Accum.</w:t>
            </w:r>
          </w:p>
        </w:tc>
        <w:tc>
          <w:tcPr>
            <w:tcW w:w="160" w:type="dxa"/>
            <w:vAlign w:val="bottom"/>
          </w:tcPr>
          <w:p>
            <w:pPr>
              <w:spacing w:after="0"/>
              <w:rPr>
                <w:sz w:val="13"/>
                <w:szCs w:val="13"/>
                <w:color w:val="auto"/>
              </w:rPr>
            </w:pPr>
          </w:p>
        </w:tc>
        <w:tc>
          <w:tcPr>
            <w:tcW w:w="460" w:type="dxa"/>
            <w:vAlign w:val="bottom"/>
          </w:tcPr>
          <w:p>
            <w:pPr>
              <w:jc w:val="right"/>
              <w:ind w:right="75"/>
              <w:spacing w:after="0" w:line="153" w:lineRule="exact"/>
              <w:rPr>
                <w:sz w:val="20"/>
                <w:szCs w:val="20"/>
                <w:color w:val="auto"/>
              </w:rPr>
            </w:pPr>
            <w:r>
              <w:rPr>
                <w:rFonts w:ascii="Arial" w:cs="Arial" w:eastAsia="Arial" w:hAnsi="Arial"/>
                <w:sz w:val="17"/>
                <w:szCs w:val="17"/>
                <w:b w:val="1"/>
                <w:bCs w:val="1"/>
                <w:color w:val="auto"/>
              </w:rPr>
              <w:t>Net</w:t>
            </w:r>
          </w:p>
        </w:tc>
        <w:tc>
          <w:tcPr>
            <w:tcW w:w="680" w:type="dxa"/>
            <w:vAlign w:val="bottom"/>
            <w:gridSpan w:val="2"/>
          </w:tcPr>
          <w:p>
            <w:pPr>
              <w:jc w:val="right"/>
              <w:spacing w:after="0" w:line="153" w:lineRule="exact"/>
              <w:rPr>
                <w:sz w:val="20"/>
                <w:szCs w:val="20"/>
                <w:color w:val="auto"/>
              </w:rPr>
            </w:pPr>
            <w:r>
              <w:rPr>
                <w:rFonts w:ascii="Arial" w:cs="Arial" w:eastAsia="Arial" w:hAnsi="Arial"/>
                <w:sz w:val="17"/>
                <w:szCs w:val="17"/>
                <w:b w:val="1"/>
                <w:bCs w:val="1"/>
                <w:color w:val="auto"/>
              </w:rPr>
              <w:t>Gross</w:t>
            </w:r>
          </w:p>
        </w:tc>
        <w:tc>
          <w:tcPr>
            <w:tcW w:w="720" w:type="dxa"/>
            <w:vAlign w:val="bottom"/>
            <w:gridSpan w:val="2"/>
          </w:tcPr>
          <w:p>
            <w:pPr>
              <w:ind w:left="60"/>
              <w:spacing w:after="0" w:line="153" w:lineRule="exact"/>
              <w:rPr>
                <w:sz w:val="20"/>
                <w:szCs w:val="20"/>
                <w:color w:val="auto"/>
              </w:rPr>
            </w:pPr>
            <w:r>
              <w:rPr>
                <w:rFonts w:ascii="Arial" w:cs="Arial" w:eastAsia="Arial" w:hAnsi="Arial"/>
                <w:sz w:val="17"/>
                <w:szCs w:val="17"/>
                <w:b w:val="1"/>
                <w:bCs w:val="1"/>
                <w:color w:val="auto"/>
              </w:rPr>
              <w:t>Accum.</w:t>
            </w:r>
          </w:p>
        </w:tc>
        <w:tc>
          <w:tcPr>
            <w:tcW w:w="140" w:type="dxa"/>
            <w:vAlign w:val="bottom"/>
          </w:tcPr>
          <w:p>
            <w:pPr>
              <w:spacing w:after="0"/>
              <w:rPr>
                <w:sz w:val="13"/>
                <w:szCs w:val="13"/>
                <w:color w:val="auto"/>
              </w:rPr>
            </w:pPr>
          </w:p>
        </w:tc>
        <w:tc>
          <w:tcPr>
            <w:tcW w:w="540" w:type="dxa"/>
            <w:vAlign w:val="bottom"/>
          </w:tcPr>
          <w:p>
            <w:pPr>
              <w:jc w:val="right"/>
              <w:ind w:right="95"/>
              <w:spacing w:after="0" w:line="153" w:lineRule="exact"/>
              <w:rPr>
                <w:sz w:val="20"/>
                <w:szCs w:val="20"/>
                <w:color w:val="auto"/>
              </w:rPr>
            </w:pPr>
            <w:r>
              <w:rPr>
                <w:rFonts w:ascii="Arial" w:cs="Arial" w:eastAsia="Arial" w:hAnsi="Arial"/>
                <w:sz w:val="17"/>
                <w:szCs w:val="17"/>
                <w:b w:val="1"/>
                <w:bCs w:val="1"/>
                <w:color w:val="auto"/>
              </w:rPr>
              <w:t>Net</w:t>
            </w:r>
          </w:p>
        </w:tc>
        <w:tc>
          <w:tcPr>
            <w:tcW w:w="720" w:type="dxa"/>
            <w:vAlign w:val="bottom"/>
            <w:gridSpan w:val="2"/>
          </w:tcPr>
          <w:p>
            <w:pPr>
              <w:jc w:val="right"/>
              <w:ind w:right="15"/>
              <w:spacing w:after="0" w:line="153" w:lineRule="exact"/>
              <w:rPr>
                <w:sz w:val="20"/>
                <w:szCs w:val="20"/>
                <w:color w:val="auto"/>
              </w:rPr>
            </w:pPr>
            <w:r>
              <w:rPr>
                <w:rFonts w:ascii="Arial" w:cs="Arial" w:eastAsia="Arial" w:hAnsi="Arial"/>
                <w:sz w:val="17"/>
                <w:szCs w:val="17"/>
                <w:b w:val="1"/>
                <w:bCs w:val="1"/>
                <w:color w:val="auto"/>
              </w:rPr>
              <w:t>Gross</w:t>
            </w:r>
          </w:p>
        </w:tc>
        <w:tc>
          <w:tcPr>
            <w:tcW w:w="700" w:type="dxa"/>
            <w:vAlign w:val="bottom"/>
            <w:gridSpan w:val="2"/>
          </w:tcPr>
          <w:p>
            <w:pPr>
              <w:ind w:left="40"/>
              <w:spacing w:after="0" w:line="153" w:lineRule="exact"/>
              <w:rPr>
                <w:sz w:val="20"/>
                <w:szCs w:val="20"/>
                <w:color w:val="auto"/>
              </w:rPr>
            </w:pPr>
            <w:r>
              <w:rPr>
                <w:rFonts w:ascii="Arial" w:cs="Arial" w:eastAsia="Arial" w:hAnsi="Arial"/>
                <w:sz w:val="17"/>
                <w:szCs w:val="17"/>
                <w:b w:val="1"/>
                <w:bCs w:val="1"/>
                <w:color w:val="auto"/>
              </w:rPr>
              <w:t>Accum.</w:t>
            </w:r>
          </w:p>
        </w:tc>
        <w:tc>
          <w:tcPr>
            <w:tcW w:w="160" w:type="dxa"/>
            <w:vAlign w:val="bottom"/>
          </w:tcPr>
          <w:p>
            <w:pPr>
              <w:spacing w:after="0"/>
              <w:rPr>
                <w:sz w:val="13"/>
                <w:szCs w:val="13"/>
                <w:color w:val="auto"/>
              </w:rPr>
            </w:pPr>
          </w:p>
        </w:tc>
        <w:tc>
          <w:tcPr>
            <w:tcW w:w="440" w:type="dxa"/>
            <w:vAlign w:val="bottom"/>
          </w:tcPr>
          <w:p>
            <w:pPr>
              <w:jc w:val="right"/>
              <w:ind w:right="55"/>
              <w:spacing w:after="0" w:line="153" w:lineRule="exact"/>
              <w:rPr>
                <w:sz w:val="20"/>
                <w:szCs w:val="20"/>
                <w:color w:val="auto"/>
              </w:rPr>
            </w:pPr>
            <w:r>
              <w:rPr>
                <w:rFonts w:ascii="Arial" w:cs="Arial" w:eastAsia="Arial" w:hAnsi="Arial"/>
                <w:sz w:val="17"/>
                <w:szCs w:val="17"/>
                <w:b w:val="1"/>
                <w:bCs w:val="1"/>
                <w:color w:val="auto"/>
              </w:rPr>
              <w:t>Net</w:t>
            </w:r>
          </w:p>
        </w:tc>
        <w:tc>
          <w:tcPr>
            <w:tcW w:w="0" w:type="dxa"/>
            <w:vAlign w:val="bottom"/>
          </w:tcPr>
          <w:p>
            <w:pPr>
              <w:spacing w:after="0"/>
              <w:rPr>
                <w:sz w:val="1"/>
                <w:szCs w:val="1"/>
                <w:color w:val="auto"/>
              </w:rPr>
            </w:pPr>
          </w:p>
        </w:tc>
      </w:tr>
      <w:tr>
        <w:trPr>
          <w:trHeight w:val="219"/>
        </w:trPr>
        <w:tc>
          <w:tcPr>
            <w:tcW w:w="268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780" w:type="dxa"/>
            <w:vAlign w:val="bottom"/>
            <w:gridSpan w:val="2"/>
          </w:tcPr>
          <w:p>
            <w:pPr>
              <w:jc w:val="right"/>
              <w:ind w:right="15"/>
              <w:spacing w:after="0"/>
              <w:rPr>
                <w:sz w:val="20"/>
                <w:szCs w:val="20"/>
                <w:color w:val="auto"/>
              </w:rPr>
            </w:pPr>
            <w:r>
              <w:rPr>
                <w:rFonts w:ascii="Arial" w:cs="Arial" w:eastAsia="Arial" w:hAnsi="Arial"/>
                <w:sz w:val="17"/>
                <w:szCs w:val="17"/>
                <w:b w:val="1"/>
                <w:bCs w:val="1"/>
                <w:color w:val="auto"/>
              </w:rPr>
              <w:t>value</w:t>
            </w:r>
          </w:p>
        </w:tc>
        <w:tc>
          <w:tcPr>
            <w:tcW w:w="720" w:type="dxa"/>
            <w:vAlign w:val="bottom"/>
            <w:gridSpan w:val="2"/>
          </w:tcPr>
          <w:p>
            <w:pPr>
              <w:ind w:left="100"/>
              <w:spacing w:after="0"/>
              <w:rPr>
                <w:sz w:val="20"/>
                <w:szCs w:val="20"/>
                <w:color w:val="auto"/>
              </w:rPr>
            </w:pPr>
            <w:r>
              <w:rPr>
                <w:rFonts w:ascii="Arial" w:cs="Arial" w:eastAsia="Arial" w:hAnsi="Arial"/>
                <w:sz w:val="17"/>
                <w:szCs w:val="17"/>
                <w:b w:val="1"/>
                <w:bCs w:val="1"/>
                <w:color w:val="auto"/>
              </w:rPr>
              <w:t>amort.</w:t>
            </w:r>
          </w:p>
        </w:tc>
        <w:tc>
          <w:tcPr>
            <w:tcW w:w="620" w:type="dxa"/>
            <w:vAlign w:val="bottom"/>
            <w:gridSpan w:val="2"/>
          </w:tcPr>
          <w:p>
            <w:pPr>
              <w:jc w:val="right"/>
              <w:spacing w:after="0"/>
              <w:rPr>
                <w:sz w:val="20"/>
                <w:szCs w:val="20"/>
                <w:color w:val="auto"/>
              </w:rPr>
            </w:pPr>
            <w:r>
              <w:rPr>
                <w:rFonts w:ascii="Arial" w:cs="Arial" w:eastAsia="Arial" w:hAnsi="Arial"/>
                <w:sz w:val="17"/>
                <w:szCs w:val="17"/>
                <w:b w:val="1"/>
                <w:bCs w:val="1"/>
                <w:color w:val="auto"/>
              </w:rPr>
              <w:t>value</w:t>
            </w:r>
          </w:p>
        </w:tc>
        <w:tc>
          <w:tcPr>
            <w:tcW w:w="680" w:type="dxa"/>
            <w:vAlign w:val="bottom"/>
            <w:gridSpan w:val="2"/>
          </w:tcPr>
          <w:p>
            <w:pPr>
              <w:jc w:val="right"/>
              <w:ind w:right="15"/>
              <w:spacing w:after="0"/>
              <w:rPr>
                <w:sz w:val="20"/>
                <w:szCs w:val="20"/>
                <w:color w:val="auto"/>
              </w:rPr>
            </w:pPr>
            <w:r>
              <w:rPr>
                <w:rFonts w:ascii="Arial" w:cs="Arial" w:eastAsia="Arial" w:hAnsi="Arial"/>
                <w:sz w:val="17"/>
                <w:szCs w:val="17"/>
                <w:b w:val="1"/>
                <w:bCs w:val="1"/>
                <w:color w:val="auto"/>
              </w:rPr>
              <w:t>value</w:t>
            </w:r>
          </w:p>
        </w:tc>
        <w:tc>
          <w:tcPr>
            <w:tcW w:w="720" w:type="dxa"/>
            <w:vAlign w:val="bottom"/>
            <w:gridSpan w:val="2"/>
          </w:tcPr>
          <w:p>
            <w:pPr>
              <w:ind w:left="100"/>
              <w:spacing w:after="0"/>
              <w:rPr>
                <w:sz w:val="20"/>
                <w:szCs w:val="20"/>
                <w:color w:val="auto"/>
              </w:rPr>
            </w:pPr>
            <w:r>
              <w:rPr>
                <w:rFonts w:ascii="Arial" w:cs="Arial" w:eastAsia="Arial" w:hAnsi="Arial"/>
                <w:sz w:val="17"/>
                <w:szCs w:val="17"/>
                <w:b w:val="1"/>
                <w:bCs w:val="1"/>
                <w:color w:val="auto"/>
              </w:rPr>
              <w:t>amort.</w:t>
            </w:r>
          </w:p>
        </w:tc>
        <w:tc>
          <w:tcPr>
            <w:tcW w:w="140" w:type="dxa"/>
            <w:vAlign w:val="bottom"/>
          </w:tcPr>
          <w:p>
            <w:pPr>
              <w:spacing w:after="0"/>
              <w:rPr>
                <w:sz w:val="19"/>
                <w:szCs w:val="19"/>
                <w:color w:val="auto"/>
              </w:rPr>
            </w:pPr>
          </w:p>
        </w:tc>
        <w:tc>
          <w:tcPr>
            <w:tcW w:w="540" w:type="dxa"/>
            <w:vAlign w:val="bottom"/>
          </w:tcPr>
          <w:p>
            <w:pPr>
              <w:jc w:val="right"/>
              <w:ind w:right="15"/>
              <w:spacing w:after="0"/>
              <w:rPr>
                <w:sz w:val="20"/>
                <w:szCs w:val="20"/>
                <w:color w:val="auto"/>
              </w:rPr>
            </w:pPr>
            <w:r>
              <w:rPr>
                <w:rFonts w:ascii="Arial" w:cs="Arial" w:eastAsia="Arial" w:hAnsi="Arial"/>
                <w:sz w:val="17"/>
                <w:szCs w:val="17"/>
                <w:b w:val="1"/>
                <w:bCs w:val="1"/>
                <w:color w:val="auto"/>
                <w:w w:val="96"/>
              </w:rPr>
              <w:t>value</w:t>
            </w:r>
          </w:p>
        </w:tc>
        <w:tc>
          <w:tcPr>
            <w:tcW w:w="720" w:type="dxa"/>
            <w:vAlign w:val="bottom"/>
            <w:gridSpan w:val="2"/>
          </w:tcPr>
          <w:p>
            <w:pPr>
              <w:jc w:val="right"/>
              <w:ind w:right="35"/>
              <w:spacing w:after="0"/>
              <w:rPr>
                <w:sz w:val="20"/>
                <w:szCs w:val="20"/>
                <w:color w:val="auto"/>
              </w:rPr>
            </w:pPr>
            <w:r>
              <w:rPr>
                <w:rFonts w:ascii="Arial" w:cs="Arial" w:eastAsia="Arial" w:hAnsi="Arial"/>
                <w:sz w:val="17"/>
                <w:szCs w:val="17"/>
                <w:b w:val="1"/>
                <w:bCs w:val="1"/>
                <w:color w:val="auto"/>
              </w:rPr>
              <w:t>value</w:t>
            </w:r>
          </w:p>
        </w:tc>
        <w:tc>
          <w:tcPr>
            <w:tcW w:w="700" w:type="dxa"/>
            <w:vAlign w:val="bottom"/>
            <w:gridSpan w:val="2"/>
          </w:tcPr>
          <w:p>
            <w:pPr>
              <w:ind w:left="80"/>
              <w:spacing w:after="0"/>
              <w:rPr>
                <w:sz w:val="20"/>
                <w:szCs w:val="20"/>
                <w:color w:val="auto"/>
              </w:rPr>
            </w:pPr>
            <w:r>
              <w:rPr>
                <w:rFonts w:ascii="Arial" w:cs="Arial" w:eastAsia="Arial" w:hAnsi="Arial"/>
                <w:sz w:val="17"/>
                <w:szCs w:val="17"/>
                <w:b w:val="1"/>
                <w:bCs w:val="1"/>
                <w:color w:val="auto"/>
              </w:rPr>
              <w:t>amort.</w:t>
            </w:r>
          </w:p>
        </w:tc>
        <w:tc>
          <w:tcPr>
            <w:tcW w:w="600" w:type="dxa"/>
            <w:vAlign w:val="bottom"/>
            <w:gridSpan w:val="2"/>
          </w:tcPr>
          <w:p>
            <w:pPr>
              <w:jc w:val="right"/>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5"/>
                <w:szCs w:val="15"/>
                <w:color w:val="auto"/>
              </w:rPr>
              <w:t xml:space="preserve">Amortized intangible assets: </w:t>
            </w:r>
            <w:r>
              <w:rPr>
                <w:rFonts w:ascii="Arial" w:cs="Arial" w:eastAsia="Arial" w:hAnsi="Arial"/>
                <w:sz w:val="21"/>
                <w:szCs w:val="21"/>
                <w:color w:val="auto"/>
                <w:vertAlign w:val="superscript"/>
              </w:rPr>
              <w:t>(1)</w:t>
            </w:r>
          </w:p>
        </w:tc>
        <w:tc>
          <w:tcPr>
            <w:tcW w:w="3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60" w:type="dxa"/>
            <w:vAlign w:val="bottom"/>
          </w:tcPr>
          <w:p>
            <w:pPr>
              <w:ind w:left="200"/>
              <w:spacing w:after="0" w:line="189" w:lineRule="exact"/>
              <w:rPr>
                <w:sz w:val="20"/>
                <w:szCs w:val="20"/>
                <w:color w:val="auto"/>
              </w:rPr>
            </w:pPr>
            <w:r>
              <w:rPr>
                <w:rFonts w:ascii="Arial" w:cs="Arial" w:eastAsia="Arial" w:hAnsi="Arial"/>
                <w:sz w:val="17"/>
                <w:szCs w:val="17"/>
                <w:color w:val="auto"/>
              </w:rPr>
              <w:t>Lease acquisition costs</w:t>
            </w:r>
          </w:p>
        </w:tc>
        <w:tc>
          <w:tcPr>
            <w:tcW w:w="3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4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119</w:t>
            </w:r>
          </w:p>
        </w:tc>
        <w:tc>
          <w:tcPr>
            <w:tcW w:w="220" w:type="dxa"/>
            <w:vAlign w:val="bottom"/>
          </w:tcPr>
          <w:p>
            <w:pPr>
              <w:ind w:left="60"/>
              <w:spacing w:after="0" w:line="189" w:lineRule="exact"/>
              <w:rPr>
                <w:sz w:val="20"/>
                <w:szCs w:val="20"/>
                <w:color w:val="auto"/>
              </w:rPr>
            </w:pPr>
            <w:r>
              <w:rPr>
                <w:rFonts w:ascii="Arial" w:cs="Arial" w:eastAsia="Arial" w:hAnsi="Arial"/>
                <w:sz w:val="17"/>
                <w:szCs w:val="17"/>
                <w:b w:val="1"/>
                <w:bCs w:val="1"/>
                <w:color w:val="auto"/>
              </w:rPr>
              <w:t>$</w:t>
            </w:r>
          </w:p>
        </w:tc>
        <w:tc>
          <w:tcPr>
            <w:tcW w:w="5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(113)</w:t>
            </w:r>
          </w:p>
        </w:tc>
        <w:tc>
          <w:tcPr>
            <w:tcW w:w="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4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6</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116</w:t>
            </w:r>
          </w:p>
        </w:tc>
        <w:tc>
          <w:tcPr>
            <w:tcW w:w="220" w:type="dxa"/>
            <w:vAlign w:val="bottom"/>
          </w:tcPr>
          <w:p>
            <w:pPr>
              <w:ind w:left="60"/>
              <w:spacing w:after="0" w:line="189" w:lineRule="exact"/>
              <w:rPr>
                <w:sz w:val="20"/>
                <w:szCs w:val="20"/>
                <w:color w:val="auto"/>
              </w:rPr>
            </w:pPr>
            <w:r>
              <w:rPr>
                <w:rFonts w:ascii="Arial" w:cs="Arial" w:eastAsia="Arial" w:hAnsi="Arial"/>
                <w:sz w:val="17"/>
                <w:szCs w:val="17"/>
                <w:color w:val="auto"/>
              </w:rPr>
              <w:t>$</w:t>
            </w:r>
          </w:p>
        </w:tc>
        <w:tc>
          <w:tcPr>
            <w:tcW w:w="500" w:type="dxa"/>
            <w:vAlign w:val="bottom"/>
          </w:tcPr>
          <w:p>
            <w:pPr>
              <w:jc w:val="right"/>
              <w:spacing w:after="0" w:line="189" w:lineRule="exact"/>
              <w:rPr>
                <w:sz w:val="20"/>
                <w:szCs w:val="20"/>
                <w:color w:val="auto"/>
              </w:rPr>
            </w:pPr>
            <w:r>
              <w:rPr>
                <w:rFonts w:ascii="Arial" w:cs="Arial" w:eastAsia="Arial" w:hAnsi="Arial"/>
                <w:sz w:val="17"/>
                <w:szCs w:val="17"/>
                <w:color w:val="auto"/>
              </w:rPr>
              <w:t>(108)</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540" w:type="dxa"/>
            <w:vAlign w:val="bottom"/>
          </w:tcPr>
          <w:p>
            <w:pPr>
              <w:jc w:val="right"/>
              <w:spacing w:after="0" w:line="189" w:lineRule="exact"/>
              <w:rPr>
                <w:sz w:val="20"/>
                <w:szCs w:val="20"/>
                <w:color w:val="auto"/>
              </w:rPr>
            </w:pPr>
            <w:r>
              <w:rPr>
                <w:rFonts w:ascii="Arial" w:cs="Arial" w:eastAsia="Arial" w:hAnsi="Arial"/>
                <w:sz w:val="17"/>
                <w:szCs w:val="17"/>
                <w:color w:val="auto"/>
              </w:rPr>
              <w:t>8</w:t>
            </w:r>
          </w:p>
        </w:tc>
        <w:tc>
          <w:tcPr>
            <w:tcW w:w="2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115</w:t>
            </w:r>
          </w:p>
        </w:tc>
        <w:tc>
          <w:tcPr>
            <w:tcW w:w="200" w:type="dxa"/>
            <w:vAlign w:val="bottom"/>
          </w:tcPr>
          <w:p>
            <w:pPr>
              <w:ind w:left="20"/>
              <w:spacing w:after="0" w:line="189" w:lineRule="exact"/>
              <w:rPr>
                <w:sz w:val="20"/>
                <w:szCs w:val="20"/>
                <w:color w:val="auto"/>
              </w:rPr>
            </w:pPr>
            <w:r>
              <w:rPr>
                <w:rFonts w:ascii="Arial" w:cs="Arial" w:eastAsia="Arial" w:hAnsi="Arial"/>
                <w:sz w:val="17"/>
                <w:szCs w:val="17"/>
                <w:color w:val="auto"/>
              </w:rPr>
              <w:t>$</w:t>
            </w:r>
          </w:p>
        </w:tc>
        <w:tc>
          <w:tcPr>
            <w:tcW w:w="500" w:type="dxa"/>
            <w:vAlign w:val="bottom"/>
          </w:tcPr>
          <w:p>
            <w:pPr>
              <w:jc w:val="right"/>
              <w:spacing w:after="0" w:line="189" w:lineRule="exact"/>
              <w:rPr>
                <w:sz w:val="20"/>
                <w:szCs w:val="20"/>
                <w:color w:val="auto"/>
              </w:rPr>
            </w:pPr>
            <w:r>
              <w:rPr>
                <w:rFonts w:ascii="Arial" w:cs="Arial" w:eastAsia="Arial" w:hAnsi="Arial"/>
                <w:sz w:val="17"/>
                <w:szCs w:val="17"/>
                <w:color w:val="auto"/>
              </w:rPr>
              <w:t>(108)</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60" w:type="dxa"/>
            <w:vAlign w:val="bottom"/>
            <w:tcBorders>
              <w:bottom w:val="single" w:sz="8" w:color="auto"/>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Trademarks / trade names</w:t>
            </w:r>
          </w:p>
        </w:tc>
        <w:tc>
          <w:tcPr>
            <w:tcW w:w="3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20</w:t>
            </w:r>
          </w:p>
        </w:tc>
        <w:tc>
          <w:tcPr>
            <w:tcW w:w="2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(16)</w:t>
            </w:r>
          </w:p>
        </w:tc>
        <w:tc>
          <w:tcPr>
            <w:tcW w:w="1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4</w:t>
            </w:r>
          </w:p>
        </w:tc>
        <w:tc>
          <w:tcPr>
            <w:tcW w:w="2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20</w:t>
            </w:r>
          </w:p>
        </w:tc>
        <w:tc>
          <w:tcPr>
            <w:tcW w:w="2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(15)</w:t>
            </w: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c>
          <w:tcPr>
            <w:tcW w:w="2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20</w:t>
            </w:r>
          </w:p>
        </w:tc>
        <w:tc>
          <w:tcPr>
            <w:tcW w:w="2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w:t>
            </w:r>
          </w:p>
        </w:tc>
        <w:tc>
          <w:tcPr>
            <w:tcW w:w="16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139</w:t>
            </w:r>
          </w:p>
        </w:tc>
        <w:tc>
          <w:tcPr>
            <w:tcW w:w="2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(129)</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10</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136</w:t>
            </w:r>
          </w:p>
        </w:tc>
        <w:tc>
          <w:tcPr>
            <w:tcW w:w="2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(123)</w:t>
            </w: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13</w:t>
            </w:r>
          </w:p>
        </w:tc>
        <w:tc>
          <w:tcPr>
            <w:tcW w:w="28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135</w:t>
            </w:r>
          </w:p>
        </w:tc>
        <w:tc>
          <w:tcPr>
            <w:tcW w:w="2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(124)</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660" w:type="dxa"/>
            <w:vAlign w:val="bottom"/>
          </w:tcPr>
          <w:p>
            <w:pPr>
              <w:spacing w:after="0" w:line="189" w:lineRule="exact"/>
              <w:rPr>
                <w:sz w:val="20"/>
                <w:szCs w:val="20"/>
                <w:color w:val="auto"/>
              </w:rPr>
            </w:pPr>
            <w:r>
              <w:rPr>
                <w:rFonts w:ascii="Arial" w:cs="Arial" w:eastAsia="Arial" w:hAnsi="Arial"/>
                <w:sz w:val="15"/>
                <w:szCs w:val="15"/>
                <w:color w:val="auto"/>
              </w:rPr>
              <w:t xml:space="preserve">Indefinite life intangible assets: </w:t>
            </w:r>
            <w:r>
              <w:rPr>
                <w:rFonts w:ascii="Arial" w:cs="Arial" w:eastAsia="Arial" w:hAnsi="Arial"/>
                <w:sz w:val="21"/>
                <w:szCs w:val="21"/>
                <w:color w:val="auto"/>
                <w:vertAlign w:val="superscript"/>
              </w:rPr>
              <w:t>(1)</w:t>
            </w: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60" w:type="dxa"/>
            <w:vAlign w:val="bottom"/>
            <w:tcBorders>
              <w:bottom w:val="single" w:sz="8" w:color="auto"/>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Trademarks / trade names</w:t>
            </w:r>
          </w:p>
        </w:tc>
        <w:tc>
          <w:tcPr>
            <w:tcW w:w="3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9</w:t>
            </w:r>
          </w:p>
        </w:tc>
        <w:tc>
          <w:tcPr>
            <w:tcW w:w="2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8</w:t>
            </w:r>
          </w:p>
        </w:tc>
        <w:tc>
          <w:tcPr>
            <w:tcW w:w="2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Other intangible assets, net</w:t>
            </w:r>
          </w:p>
        </w:tc>
        <w:tc>
          <w:tcPr>
            <w:tcW w:w="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19</w:t>
            </w: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21</w:t>
            </w:r>
          </w:p>
        </w:tc>
        <w:tc>
          <w:tcPr>
            <w:tcW w:w="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380" w:right="79" w:hanging="330"/>
        <w:spacing w:after="0" w:line="291"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change in the ending balances also reflects the effect of foreign currency fluctuations due primarily to movements of the euro in relation to the U.S. dollar.</w:t>
      </w:r>
    </w:p>
    <w:p>
      <w:pPr>
        <w:spacing w:after="0" w:line="126" w:lineRule="exact"/>
        <w:rPr>
          <w:sz w:val="20"/>
          <w:szCs w:val="20"/>
          <w:color w:val="auto"/>
        </w:rPr>
      </w:pPr>
    </w:p>
    <w:p>
      <w:pPr>
        <w:ind w:left="60" w:right="79"/>
        <w:spacing w:after="0" w:line="276" w:lineRule="auto"/>
        <w:rPr>
          <w:sz w:val="20"/>
          <w:szCs w:val="20"/>
          <w:color w:val="auto"/>
        </w:rPr>
      </w:pPr>
      <w:r>
        <w:rPr>
          <w:rFonts w:ascii="Arial" w:cs="Arial" w:eastAsia="Arial" w:hAnsi="Arial"/>
          <w:sz w:val="18"/>
          <w:szCs w:val="18"/>
          <w:color w:val="auto"/>
        </w:rPr>
        <w:t>The annual review of intangible assets with indefinite lives performed during the first quarter of 2020 did not result in the recognition of impairment.</w:t>
      </w:r>
    </w:p>
    <w:p>
      <w:pPr>
        <w:spacing w:after="0" w:line="36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2020 Form 10-Q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92" w:right="1440"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337820</wp:posOffset>
            </wp:positionV>
            <wp:extent cx="1834515" cy="214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w:t>
      </w:r>
    </w:p>
    <w:p>
      <w:pPr>
        <w:spacing w:after="0" w:line="3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Amortization expense recorded is as follows: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26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7"/>
                <w:szCs w:val="17"/>
                <w:b w:val="1"/>
                <w:bCs w:val="1"/>
                <w:color w:val="auto"/>
              </w:rPr>
              <w:t>Thirteen weeks ended</w:t>
            </w: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Twenty-six weeks ended</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jc w:val="center"/>
              <w:ind w:right="135"/>
              <w:spacing w:after="0" w:line="153" w:lineRule="exact"/>
              <w:rPr>
                <w:sz w:val="20"/>
                <w:szCs w:val="20"/>
                <w:color w:val="auto"/>
              </w:rPr>
            </w:pPr>
            <w:r>
              <w:rPr>
                <w:rFonts w:ascii="Arial" w:cs="Arial" w:eastAsia="Arial" w:hAnsi="Arial"/>
                <w:sz w:val="17"/>
                <w:szCs w:val="17"/>
                <w:b w:val="1"/>
                <w:bCs w:val="1"/>
                <w:color w:val="auto"/>
              </w:rPr>
              <w:t>August 1,</w:t>
            </w:r>
          </w:p>
        </w:tc>
        <w:tc>
          <w:tcPr>
            <w:tcW w:w="1100" w:type="dxa"/>
            <w:vAlign w:val="bottom"/>
          </w:tcPr>
          <w:p>
            <w:pPr>
              <w:jc w:val="center"/>
              <w:ind w:left="195"/>
              <w:spacing w:after="0" w:line="153" w:lineRule="exact"/>
              <w:rPr>
                <w:sz w:val="20"/>
                <w:szCs w:val="20"/>
                <w:color w:val="auto"/>
              </w:rPr>
            </w:pPr>
            <w:r>
              <w:rPr>
                <w:rFonts w:ascii="Arial" w:cs="Arial" w:eastAsia="Arial" w:hAnsi="Arial"/>
                <w:sz w:val="17"/>
                <w:szCs w:val="17"/>
                <w:b w:val="1"/>
                <w:bCs w:val="1"/>
                <w:color w:val="auto"/>
              </w:rPr>
              <w:t>August 3,</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center"/>
              <w:spacing w:after="0" w:line="153" w:lineRule="exact"/>
              <w:rPr>
                <w:sz w:val="20"/>
                <w:szCs w:val="20"/>
                <w:color w:val="auto"/>
              </w:rPr>
            </w:pPr>
            <w:r>
              <w:rPr>
                <w:rFonts w:ascii="Arial" w:cs="Arial" w:eastAsia="Arial" w:hAnsi="Arial"/>
                <w:sz w:val="17"/>
                <w:szCs w:val="17"/>
                <w:b w:val="1"/>
                <w:bCs w:val="1"/>
                <w:color w:val="auto"/>
              </w:rPr>
              <w:t>August 1,</w:t>
            </w:r>
          </w:p>
        </w:tc>
        <w:tc>
          <w:tcPr>
            <w:tcW w:w="1100" w:type="dxa"/>
            <w:vAlign w:val="bottom"/>
          </w:tcPr>
          <w:p>
            <w:pPr>
              <w:jc w:val="center"/>
              <w:ind w:left="195"/>
              <w:spacing w:after="0" w:line="153" w:lineRule="exact"/>
              <w:rPr>
                <w:sz w:val="20"/>
                <w:szCs w:val="20"/>
                <w:color w:val="auto"/>
              </w:rPr>
            </w:pPr>
            <w:r>
              <w:rPr>
                <w:rFonts w:ascii="Arial" w:cs="Arial" w:eastAsia="Arial" w:hAnsi="Arial"/>
                <w:sz w:val="17"/>
                <w:szCs w:val="17"/>
                <w:b w:val="1"/>
                <w:bCs w:val="1"/>
                <w:color w:val="auto"/>
              </w:rPr>
              <w:t>August 3,</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2019</w:t>
            </w: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2019</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6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Amortization expense</w:t>
            </w:r>
          </w:p>
        </w:tc>
        <w:tc>
          <w:tcPr>
            <w:tcW w:w="1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w:t>
            </w:r>
          </w:p>
        </w:tc>
        <w:tc>
          <w:tcPr>
            <w:tcW w:w="1100" w:type="dxa"/>
            <w:vAlign w:val="bottom"/>
            <w:tcBorders>
              <w:bottom w:val="single" w:sz="8" w:color="auto"/>
            </w:tcBorders>
            <w:shd w:val="clear" w:color="auto" w:fill="CCEEFF"/>
          </w:tcPr>
          <w:p>
            <w:pPr>
              <w:jc w:val="right"/>
              <w:ind w:right="795"/>
              <w:spacing w:after="0" w:line="183"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w w:val="84"/>
              </w:rPr>
              <w:t>1</w:t>
            </w:r>
          </w:p>
        </w:tc>
        <w:tc>
          <w:tcPr>
            <w:tcW w:w="3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2</w:t>
            </w:r>
          </w:p>
        </w:tc>
        <w:tc>
          <w:tcPr>
            <w:tcW w:w="1100" w:type="dxa"/>
            <w:vAlign w:val="bottom"/>
            <w:tcBorders>
              <w:bottom w:val="single" w:sz="8" w:color="auto"/>
            </w:tcBorders>
            <w:shd w:val="clear" w:color="auto" w:fill="CCEEFF"/>
          </w:tcPr>
          <w:p>
            <w:pPr>
              <w:jc w:val="right"/>
              <w:ind w:right="815"/>
              <w:spacing w:after="0" w:line="183" w:lineRule="exact"/>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16"/>
        </w:trPr>
        <w:tc>
          <w:tcPr>
            <w:tcW w:w="6600" w:type="dxa"/>
            <w:vAlign w:val="bottom"/>
            <w:gridSpan w:val="6"/>
          </w:tcPr>
          <w:p>
            <w:pPr>
              <w:ind w:left="20"/>
              <w:spacing w:after="0"/>
              <w:rPr>
                <w:sz w:val="20"/>
                <w:szCs w:val="20"/>
                <w:color w:val="auto"/>
              </w:rPr>
            </w:pPr>
            <w:r>
              <w:rPr>
                <w:rFonts w:ascii="Arial" w:cs="Arial" w:eastAsia="Arial" w:hAnsi="Arial"/>
                <w:sz w:val="18"/>
                <w:szCs w:val="18"/>
                <w:color w:val="auto"/>
              </w:rPr>
              <w:t>Estimated future amortization expense for finite-life intangible assets is as follows:</w:t>
            </w:r>
          </w:p>
        </w:tc>
        <w:tc>
          <w:tcPr>
            <w:tcW w:w="106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 in millions)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6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Remainder of 2020</w:t>
            </w:r>
          </w:p>
        </w:tc>
        <w:tc>
          <w:tcPr>
            <w:tcW w:w="1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20"/>
              <w:spacing w:after="0" w:line="189" w:lineRule="exact"/>
              <w:rPr>
                <w:sz w:val="20"/>
                <w:szCs w:val="20"/>
                <w:color w:val="auto"/>
              </w:rPr>
            </w:pPr>
            <w:r>
              <w:rPr>
                <w:rFonts w:ascii="Arial" w:cs="Arial" w:eastAsia="Arial" w:hAnsi="Arial"/>
                <w:sz w:val="17"/>
                <w:szCs w:val="17"/>
                <w:color w:val="auto"/>
              </w:rPr>
              <w:t>2021</w:t>
            </w: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2022</w:t>
            </w:r>
          </w:p>
        </w:tc>
        <w:tc>
          <w:tcPr>
            <w:tcW w:w="1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20"/>
              <w:spacing w:after="0" w:line="189" w:lineRule="exact"/>
              <w:rPr>
                <w:sz w:val="20"/>
                <w:szCs w:val="20"/>
                <w:color w:val="auto"/>
              </w:rPr>
            </w:pPr>
            <w:r>
              <w:rPr>
                <w:rFonts w:ascii="Arial" w:cs="Arial" w:eastAsia="Arial" w:hAnsi="Arial"/>
                <w:sz w:val="17"/>
                <w:szCs w:val="17"/>
                <w:color w:val="auto"/>
              </w:rPr>
              <w:t>2023</w:t>
            </w: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2024</w:t>
            </w:r>
          </w:p>
        </w:tc>
        <w:tc>
          <w:tcPr>
            <w:tcW w:w="1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8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2025</w:t>
            </w:r>
          </w:p>
        </w:tc>
        <w:tc>
          <w:tcPr>
            <w:tcW w:w="1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Revolving Credit Facility</w:t>
      </w:r>
    </w:p>
    <w:p>
      <w:pPr>
        <w:spacing w:after="0" w:line="173"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In the first quarter of 2020, we borrowed $330 million under our revolving credit facility. During the second quarter of 2020, we repaid the amount borrowed. On July 14, 2020, we amended to our credit agreement with the banks (as amended, “2020 Credit Agreement”). The 2020 Credit Agreement now provides for a $600 million asset-based revolving credit facility maturing on July 14, 2025.</w:t>
      </w:r>
    </w:p>
    <w:p>
      <w:pPr>
        <w:spacing w:after="0" w:line="157"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color w:val="auto"/>
        </w:rPr>
        <w:t>At our option, interest is determined by either (1) the eurodollar rate, determined by reference to LIBOR, plus a margin of 1.75 percent to 2.25 percent per annum, or (2) the base rate, determined by reference to the federal funds rate, plus a margin of 0.75 percent to 1.25 percent, in each case, depending on availability under the 2020 Credit Agreement. In addition, we are paying a commitment fee of 0.50 percent per annum on the unused portion of the commitments under the 2020 Credit Agreement.</w:t>
      </w:r>
    </w:p>
    <w:p>
      <w:pPr>
        <w:spacing w:after="0" w:line="159"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If certain specified events of default have occurred and are continuing, or if availability under the 2020 Credit Agreement is less than or equal to the greater of $60 million and 10 percent of the Loan Cap (as defined in the 2020 Credit Agreement), we are required to test compliance with a minimum consolidated fixed charge coverage ratio of 1.00 as of the end of each fiscal quarter.</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Long-Term Debt and Obligations Under Finance Leases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long-term debt and obligations under finance leases are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760" w:type="dxa"/>
            <w:vAlign w:val="bottom"/>
            <w:tcBorders>
              <w:bottom w:val="single" w:sz="8" w:color="auto"/>
            </w:tcBorders>
            <w:gridSpan w:val="2"/>
          </w:tcPr>
          <w:p>
            <w:pPr>
              <w:ind w:left="460"/>
              <w:spacing w:after="0"/>
              <w:rPr>
                <w:sz w:val="20"/>
                <w:szCs w:val="20"/>
                <w:color w:val="auto"/>
              </w:rPr>
            </w:pPr>
            <w:r>
              <w:rPr>
                <w:rFonts w:ascii="Arial" w:cs="Arial" w:eastAsia="Arial" w:hAnsi="Arial"/>
                <w:sz w:val="17"/>
                <w:szCs w:val="17"/>
                <w:b w:val="1"/>
                <w:bCs w:val="1"/>
                <w:color w:val="auto"/>
              </w:rPr>
              <w:t>August 1, 2020</w:t>
            </w: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b w:val="1"/>
                <w:bCs w:val="1"/>
                <w:color w:val="auto"/>
              </w:rPr>
              <w:t>August 3, 2019</w:t>
            </w: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b w:val="1"/>
                <w:bCs w:val="1"/>
                <w:color w:val="auto"/>
                <w:w w:val="99"/>
              </w:rPr>
              <w:t>February 1, 2020</w:t>
            </w:r>
          </w:p>
        </w:tc>
      </w:tr>
      <w:tr>
        <w:trPr>
          <w:trHeight w:val="183"/>
        </w:trPr>
        <w:tc>
          <w:tcPr>
            <w:tcW w:w="42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8.5% debentures payable 2022</w:t>
            </w:r>
          </w:p>
        </w:tc>
        <w:tc>
          <w:tcPr>
            <w:tcW w:w="940" w:type="dxa"/>
            <w:vAlign w:val="bottom"/>
            <w:shd w:val="clear" w:color="auto" w:fill="CCEEFF"/>
          </w:tcPr>
          <w:p>
            <w:pPr>
              <w:ind w:left="460"/>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118</w:t>
            </w:r>
          </w:p>
        </w:tc>
        <w:tc>
          <w:tcPr>
            <w:tcW w:w="600" w:type="dxa"/>
            <w:vAlign w:val="bottom"/>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118</w:t>
            </w:r>
          </w:p>
        </w:tc>
        <w:tc>
          <w:tcPr>
            <w:tcW w:w="680" w:type="dxa"/>
            <w:vAlign w:val="bottom"/>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118</w:t>
            </w:r>
          </w:p>
        </w:tc>
      </w:tr>
      <w:tr>
        <w:trPr>
          <w:trHeight w:val="189"/>
        </w:trPr>
        <w:tc>
          <w:tcPr>
            <w:tcW w:w="4240" w:type="dxa"/>
            <w:vAlign w:val="bottom"/>
          </w:tcPr>
          <w:p>
            <w:pPr>
              <w:ind w:left="20"/>
              <w:spacing w:after="0" w:line="189" w:lineRule="exact"/>
              <w:rPr>
                <w:sz w:val="20"/>
                <w:szCs w:val="20"/>
                <w:color w:val="auto"/>
              </w:rPr>
            </w:pPr>
            <w:r>
              <w:rPr>
                <w:rFonts w:ascii="Arial" w:cs="Arial" w:eastAsia="Arial" w:hAnsi="Arial"/>
                <w:sz w:val="15"/>
                <w:szCs w:val="15"/>
                <w:color w:val="auto"/>
              </w:rPr>
              <w:t xml:space="preserve">Unamortized gain related to interest rate swaps </w:t>
            </w:r>
            <w:r>
              <w:rPr>
                <w:rFonts w:ascii="Arial" w:cs="Arial" w:eastAsia="Arial" w:hAnsi="Arial"/>
                <w:sz w:val="21"/>
                <w:szCs w:val="21"/>
                <w:color w:val="auto"/>
                <w:vertAlign w:val="superscript"/>
              </w:rPr>
              <w:t>(1)</w:t>
            </w:r>
          </w:p>
        </w:tc>
        <w:tc>
          <w:tcPr>
            <w:tcW w:w="940" w:type="dxa"/>
            <w:vAlign w:val="bottom"/>
          </w:tcPr>
          <w:p>
            <w:pPr>
              <w:spacing w:after="0"/>
              <w:rPr>
                <w:sz w:val="16"/>
                <w:szCs w:val="16"/>
                <w:color w:val="auto"/>
              </w:rPr>
            </w:pPr>
          </w:p>
        </w:tc>
        <w:tc>
          <w:tcPr>
            <w:tcW w:w="8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3</w:t>
            </w:r>
          </w:p>
        </w:tc>
        <w:tc>
          <w:tcPr>
            <w:tcW w:w="600" w:type="dxa"/>
            <w:vAlign w:val="bottom"/>
          </w:tcPr>
          <w:p>
            <w:pPr>
              <w:spacing w:after="0"/>
              <w:rPr>
                <w:sz w:val="16"/>
                <w:szCs w:val="16"/>
                <w:color w:val="auto"/>
              </w:rPr>
            </w:pPr>
          </w:p>
        </w:tc>
        <w:tc>
          <w:tcPr>
            <w:tcW w:w="8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5</w:t>
            </w:r>
          </w:p>
        </w:tc>
        <w:tc>
          <w:tcPr>
            <w:tcW w:w="6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4</w:t>
            </w:r>
          </w:p>
        </w:tc>
      </w:tr>
      <w:tr>
        <w:trPr>
          <w:trHeight w:val="189"/>
        </w:trPr>
        <w:tc>
          <w:tcPr>
            <w:tcW w:w="424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Obligations under finance leases</w:t>
            </w:r>
          </w:p>
        </w:tc>
        <w:tc>
          <w:tcPr>
            <w:tcW w:w="9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3</w:t>
            </w:r>
          </w:p>
        </w:tc>
        <w:tc>
          <w:tcPr>
            <w:tcW w:w="6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3"/>
        </w:trPr>
        <w:tc>
          <w:tcPr>
            <w:tcW w:w="4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460"/>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124</w:t>
            </w:r>
          </w:p>
        </w:tc>
        <w:tc>
          <w:tcPr>
            <w:tcW w:w="60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123</w:t>
            </w:r>
          </w:p>
        </w:tc>
        <w:tc>
          <w:tcPr>
            <w:tcW w:w="68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122</w:t>
            </w: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380" w:right="79" w:hanging="330"/>
        <w:spacing w:after="0" w:line="291"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2009, we terminated an interest rate swap at a gain. This gain is being amortized as part of interest expense over the remaining term of the debt using the effective-yield method.</w:t>
      </w:r>
    </w:p>
    <w:p>
      <w:pPr>
        <w:spacing w:after="0" w:line="126" w:lineRule="exact"/>
        <w:rPr>
          <w:sz w:val="20"/>
          <w:szCs w:val="20"/>
          <w:color w:val="auto"/>
        </w:rPr>
      </w:pPr>
    </w:p>
    <w:p>
      <w:pPr>
        <w:ind w:left="60" w:right="79"/>
        <w:spacing w:after="0" w:line="276" w:lineRule="auto"/>
        <w:rPr>
          <w:sz w:val="20"/>
          <w:szCs w:val="20"/>
          <w:color w:val="auto"/>
        </w:rPr>
      </w:pPr>
      <w:r>
        <w:rPr>
          <w:rFonts w:ascii="Arial" w:cs="Arial" w:eastAsia="Arial" w:hAnsi="Arial"/>
          <w:sz w:val="18"/>
          <w:szCs w:val="18"/>
          <w:color w:val="auto"/>
        </w:rPr>
        <w:t>The current portion of obligations under finance leases was $1 million at August 1, 2020 and is included in Accrued and Other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2020 Form 10-Q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992"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337820</wp:posOffset>
            </wp:positionV>
            <wp:extent cx="1834515" cy="214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Accumulated other comprehensive loss (“AOCL”), net of tax, is comprised of the following:</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60" w:type="dxa"/>
            <w:vAlign w:val="bottom"/>
          </w:tcPr>
          <w:p>
            <w:pPr>
              <w:jc w:val="right"/>
              <w:ind w:right="295"/>
              <w:spacing w:after="0"/>
              <w:rPr>
                <w:sz w:val="20"/>
                <w:szCs w:val="20"/>
                <w:color w:val="auto"/>
              </w:rPr>
            </w:pPr>
            <w:r>
              <w:rPr>
                <w:rFonts w:ascii="Arial" w:cs="Arial" w:eastAsia="Arial" w:hAnsi="Arial"/>
                <w:sz w:val="17"/>
                <w:szCs w:val="17"/>
                <w:b w:val="1"/>
                <w:bCs w:val="1"/>
                <w:color w:val="auto"/>
              </w:rPr>
              <w:t>August 1,</w:t>
            </w:r>
          </w:p>
        </w:tc>
        <w:tc>
          <w:tcPr>
            <w:tcW w:w="300" w:type="dxa"/>
            <w:vAlign w:val="bottom"/>
          </w:tcPr>
          <w:p>
            <w:pPr>
              <w:spacing w:after="0"/>
              <w:rPr>
                <w:sz w:val="16"/>
                <w:szCs w:val="16"/>
                <w:color w:val="auto"/>
              </w:rPr>
            </w:pPr>
          </w:p>
        </w:tc>
        <w:tc>
          <w:tcPr>
            <w:tcW w:w="1240" w:type="dxa"/>
            <w:vAlign w:val="bottom"/>
          </w:tcPr>
          <w:p>
            <w:pPr>
              <w:jc w:val="right"/>
              <w:ind w:right="295"/>
              <w:spacing w:after="0"/>
              <w:rPr>
                <w:sz w:val="20"/>
                <w:szCs w:val="20"/>
                <w:color w:val="auto"/>
              </w:rPr>
            </w:pPr>
            <w:r>
              <w:rPr>
                <w:rFonts w:ascii="Arial" w:cs="Arial" w:eastAsia="Arial" w:hAnsi="Arial"/>
                <w:sz w:val="17"/>
                <w:szCs w:val="17"/>
                <w:b w:val="1"/>
                <w:bCs w:val="1"/>
                <w:color w:val="auto"/>
              </w:rPr>
              <w:t>August 3,</w:t>
            </w:r>
          </w:p>
        </w:tc>
        <w:tc>
          <w:tcPr>
            <w:tcW w:w="260" w:type="dxa"/>
            <w:vAlign w:val="bottom"/>
          </w:tcPr>
          <w:p>
            <w:pPr>
              <w:spacing w:after="0"/>
              <w:rPr>
                <w:sz w:val="16"/>
                <w:szCs w:val="16"/>
                <w:color w:val="auto"/>
              </w:rPr>
            </w:pPr>
          </w:p>
        </w:tc>
        <w:tc>
          <w:tcPr>
            <w:tcW w:w="1420" w:type="dxa"/>
            <w:vAlign w:val="bottom"/>
          </w:tcPr>
          <w:p>
            <w:pPr>
              <w:jc w:val="right"/>
              <w:ind w:right="355"/>
              <w:spacing w:after="0"/>
              <w:rPr>
                <w:sz w:val="20"/>
                <w:szCs w:val="20"/>
                <w:color w:val="auto"/>
              </w:rPr>
            </w:pPr>
            <w:r>
              <w:rPr>
                <w:rFonts w:ascii="Arial" w:cs="Arial" w:eastAsia="Arial" w:hAnsi="Arial"/>
                <w:sz w:val="17"/>
                <w:szCs w:val="17"/>
                <w:b w:val="1"/>
                <w:bCs w:val="1"/>
                <w:color w:val="auto"/>
              </w:rPr>
              <w:t>February 1,</w:t>
            </w:r>
          </w:p>
        </w:tc>
        <w:tc>
          <w:tcPr>
            <w:tcW w:w="0" w:type="dxa"/>
            <w:vAlign w:val="bottom"/>
          </w:tcPr>
          <w:p>
            <w:pPr>
              <w:spacing w:after="0"/>
              <w:rPr>
                <w:sz w:val="1"/>
                <w:szCs w:val="1"/>
                <w:color w:val="auto"/>
              </w:rPr>
            </w:pPr>
          </w:p>
        </w:tc>
      </w:tr>
      <w:tr>
        <w:trPr>
          <w:trHeight w:val="219"/>
        </w:trPr>
        <w:tc>
          <w:tcPr>
            <w:tcW w:w="3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2020</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2019</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3"/>
        </w:trPr>
        <w:tc>
          <w:tcPr>
            <w:tcW w:w="38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Foreign currency translation adjustments</w:t>
            </w: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6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(84)</w:t>
            </w:r>
          </w:p>
        </w:tc>
        <w:tc>
          <w:tcPr>
            <w:tcW w:w="3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(105)</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189"/>
        </w:trPr>
        <w:tc>
          <w:tcPr>
            <w:tcW w:w="3880" w:type="dxa"/>
            <w:vAlign w:val="bottom"/>
          </w:tcPr>
          <w:p>
            <w:pPr>
              <w:spacing w:after="0" w:line="189" w:lineRule="exact"/>
              <w:rPr>
                <w:sz w:val="20"/>
                <w:szCs w:val="20"/>
                <w:color w:val="auto"/>
              </w:rPr>
            </w:pPr>
            <w:r>
              <w:rPr>
                <w:rFonts w:ascii="Arial" w:cs="Arial" w:eastAsia="Arial" w:hAnsi="Arial"/>
                <w:sz w:val="17"/>
                <w:szCs w:val="17"/>
                <w:color w:val="auto"/>
              </w:rPr>
              <w:t>Cash flow hedges</w:t>
            </w:r>
          </w:p>
        </w:tc>
        <w:tc>
          <w:tcPr>
            <w:tcW w:w="540" w:type="dxa"/>
            <w:vAlign w:val="bottom"/>
          </w:tcPr>
          <w:p>
            <w:pPr>
              <w:spacing w:after="0"/>
              <w:rPr>
                <w:sz w:val="16"/>
                <w:szCs w:val="16"/>
                <w:color w:val="auto"/>
              </w:rPr>
            </w:pPr>
          </w:p>
        </w:tc>
        <w:tc>
          <w:tcPr>
            <w:tcW w:w="126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6"/>
                <w:szCs w:val="16"/>
                <w:color w:val="auto"/>
              </w:rPr>
            </w:pPr>
          </w:p>
        </w:tc>
        <w:tc>
          <w:tcPr>
            <w:tcW w:w="12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w:t>
            </w:r>
          </w:p>
        </w:tc>
        <w:tc>
          <w:tcPr>
            <w:tcW w:w="260" w:type="dxa"/>
            <w:vAlign w:val="bottom"/>
          </w:tcPr>
          <w:p>
            <w:pPr>
              <w:spacing w:after="0"/>
              <w:rPr>
                <w:sz w:val="16"/>
                <w:szCs w:val="16"/>
                <w:color w:val="auto"/>
              </w:rPr>
            </w:pPr>
          </w:p>
        </w:tc>
        <w:tc>
          <w:tcPr>
            <w:tcW w:w="142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61"/>
        </w:trPr>
        <w:tc>
          <w:tcPr>
            <w:tcW w:w="388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Unrecognized pension cost and postretirement</w:t>
            </w:r>
          </w:p>
        </w:tc>
        <w:tc>
          <w:tcPr>
            <w:tcW w:w="54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(283)</w:t>
            </w:r>
          </w:p>
        </w:tc>
        <w:tc>
          <w:tcPr>
            <w:tcW w:w="3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benefit</w:t>
            </w:r>
          </w:p>
        </w:tc>
        <w:tc>
          <w:tcPr>
            <w:tcW w:w="5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(282)</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183"/>
        </w:trPr>
        <w:tc>
          <w:tcPr>
            <w:tcW w:w="3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(367)</w:t>
            </w:r>
          </w:p>
        </w:tc>
        <w:tc>
          <w:tcPr>
            <w:tcW w:w="30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(384)</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changes in AOCL for the twenty-six weeks ended August 1, 2020 were as follows: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center"/>
              <w:ind w:right="135"/>
              <w:spacing w:after="0"/>
              <w:rPr>
                <w:sz w:val="20"/>
                <w:szCs w:val="20"/>
                <w:color w:val="auto"/>
              </w:rPr>
            </w:pPr>
            <w:r>
              <w:rPr>
                <w:rFonts w:ascii="Arial" w:cs="Arial" w:eastAsia="Arial" w:hAnsi="Arial"/>
                <w:sz w:val="17"/>
                <w:szCs w:val="17"/>
                <w:b w:val="1"/>
                <w:bCs w:val="1"/>
                <w:color w:val="auto"/>
              </w:rPr>
              <w:t>Foreign</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60" w:type="dxa"/>
            <w:vAlign w:val="bottom"/>
            <w:gridSpan w:val="2"/>
          </w:tcPr>
          <w:p>
            <w:pPr>
              <w:jc w:val="right"/>
              <w:ind w:right="95"/>
              <w:spacing w:after="0"/>
              <w:rPr>
                <w:sz w:val="20"/>
                <w:szCs w:val="20"/>
                <w:color w:val="auto"/>
              </w:rPr>
            </w:pPr>
            <w:r>
              <w:rPr>
                <w:rFonts w:ascii="Arial" w:cs="Arial" w:eastAsia="Arial" w:hAnsi="Arial"/>
                <w:sz w:val="17"/>
                <w:szCs w:val="17"/>
                <w:b w:val="1"/>
                <w:bCs w:val="1"/>
                <w:color w:val="auto"/>
              </w:rPr>
              <w:t>Items Related</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center"/>
              <w:ind w:right="135"/>
              <w:spacing w:after="0" w:line="189" w:lineRule="exact"/>
              <w:rPr>
                <w:sz w:val="20"/>
                <w:szCs w:val="20"/>
                <w:color w:val="auto"/>
              </w:rPr>
            </w:pPr>
            <w:r>
              <w:rPr>
                <w:rFonts w:ascii="Arial" w:cs="Arial" w:eastAsia="Arial" w:hAnsi="Arial"/>
                <w:sz w:val="17"/>
                <w:szCs w:val="17"/>
                <w:b w:val="1"/>
                <w:bCs w:val="1"/>
                <w:color w:val="auto"/>
              </w:rPr>
              <w:t>Currency</w:t>
            </w:r>
          </w:p>
        </w:tc>
        <w:tc>
          <w:tcPr>
            <w:tcW w:w="1200" w:type="dxa"/>
            <w:vAlign w:val="bottom"/>
            <w:gridSpan w:val="2"/>
            <w:vMerge w:val="restart"/>
          </w:tcPr>
          <w:p>
            <w:pPr>
              <w:jc w:val="right"/>
              <w:ind w:right="75"/>
              <w:spacing w:after="0"/>
              <w:rPr>
                <w:sz w:val="20"/>
                <w:szCs w:val="20"/>
                <w:color w:val="auto"/>
              </w:rPr>
            </w:pPr>
            <w:r>
              <w:rPr>
                <w:rFonts w:ascii="Arial" w:cs="Arial" w:eastAsia="Arial" w:hAnsi="Arial"/>
                <w:sz w:val="17"/>
                <w:szCs w:val="17"/>
                <w:b w:val="1"/>
                <w:bCs w:val="1"/>
                <w:color w:val="auto"/>
              </w:rPr>
              <w:t>Cash Flow</w:t>
            </w:r>
          </w:p>
        </w:tc>
        <w:tc>
          <w:tcPr>
            <w:tcW w:w="1460" w:type="dxa"/>
            <w:vAlign w:val="bottom"/>
            <w:gridSpan w:val="2"/>
          </w:tcPr>
          <w:p>
            <w:pPr>
              <w:ind w:left="120"/>
              <w:spacing w:after="0" w:line="189" w:lineRule="exact"/>
              <w:rPr>
                <w:sz w:val="20"/>
                <w:szCs w:val="20"/>
                <w:color w:val="auto"/>
              </w:rPr>
            </w:pPr>
            <w:r>
              <w:rPr>
                <w:rFonts w:ascii="Arial" w:cs="Arial" w:eastAsia="Arial" w:hAnsi="Arial"/>
                <w:sz w:val="17"/>
                <w:szCs w:val="17"/>
                <w:b w:val="1"/>
                <w:bCs w:val="1"/>
                <w:color w:val="auto"/>
              </w:rPr>
              <w:t>to Pension and</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340" w:type="dxa"/>
            <w:vAlign w:val="bottom"/>
            <w:gridSpan w:val="2"/>
          </w:tcPr>
          <w:p>
            <w:pPr>
              <w:jc w:val="center"/>
              <w:ind w:left="15"/>
              <w:spacing w:after="0" w:line="189" w:lineRule="exact"/>
              <w:rPr>
                <w:sz w:val="20"/>
                <w:szCs w:val="20"/>
                <w:color w:val="auto"/>
              </w:rPr>
            </w:pPr>
            <w:r>
              <w:rPr>
                <w:rFonts w:ascii="Arial" w:cs="Arial" w:eastAsia="Arial" w:hAnsi="Arial"/>
                <w:sz w:val="17"/>
                <w:szCs w:val="17"/>
                <w:b w:val="1"/>
                <w:bCs w:val="1"/>
                <w:color w:val="auto"/>
              </w:rPr>
              <w:t>Translation</w:t>
            </w:r>
          </w:p>
        </w:tc>
        <w:tc>
          <w:tcPr>
            <w:tcW w:w="1200" w:type="dxa"/>
            <w:vAlign w:val="bottom"/>
            <w:gridSpan w:val="2"/>
            <w:vMerge w:val="continue"/>
          </w:tcPr>
          <w:p>
            <w:pPr>
              <w:spacing w:after="0"/>
              <w:rPr>
                <w:sz w:val="16"/>
                <w:szCs w:val="16"/>
                <w:color w:val="auto"/>
              </w:rPr>
            </w:pPr>
          </w:p>
        </w:tc>
        <w:tc>
          <w:tcPr>
            <w:tcW w:w="1460" w:type="dxa"/>
            <w:vAlign w:val="bottom"/>
            <w:gridSpan w:val="2"/>
          </w:tcPr>
          <w:p>
            <w:pPr>
              <w:ind w:left="120"/>
              <w:spacing w:after="0" w:line="189" w:lineRule="exact"/>
              <w:rPr>
                <w:sz w:val="20"/>
                <w:szCs w:val="20"/>
                <w:color w:val="auto"/>
              </w:rPr>
            </w:pPr>
            <w:r>
              <w:rPr>
                <w:rFonts w:ascii="Arial" w:cs="Arial" w:eastAsia="Arial" w:hAnsi="Arial"/>
                <w:sz w:val="17"/>
                <w:szCs w:val="17"/>
                <w:b w:val="1"/>
                <w:bCs w:val="1"/>
                <w:color w:val="auto"/>
              </w:rPr>
              <w:t>Postretirement</w:t>
            </w:r>
          </w:p>
        </w:tc>
        <w:tc>
          <w:tcPr>
            <w:tcW w:w="300" w:type="dxa"/>
            <w:vAlign w:val="bottom"/>
          </w:tcPr>
          <w:p>
            <w:pPr>
              <w:spacing w:after="0"/>
              <w:rPr>
                <w:sz w:val="16"/>
                <w:szCs w:val="16"/>
                <w:color w:val="auto"/>
              </w:rPr>
            </w:pPr>
          </w:p>
        </w:tc>
        <w:tc>
          <w:tcPr>
            <w:tcW w:w="800" w:type="dxa"/>
            <w:vAlign w:val="bottom"/>
            <w:vMerge w:val="restart"/>
          </w:tcPr>
          <w:p>
            <w:pPr>
              <w:jc w:val="right"/>
              <w:ind w:right="21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80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b w:val="1"/>
                <w:bCs w:val="1"/>
                <w:color w:val="auto"/>
              </w:rPr>
              <w:t>Adjustments</w:t>
            </w:r>
          </w:p>
        </w:tc>
        <w:tc>
          <w:tcPr>
            <w:tcW w:w="260" w:type="dxa"/>
            <w:vAlign w:val="bottom"/>
          </w:tcPr>
          <w:p>
            <w:pPr>
              <w:spacing w:after="0"/>
              <w:rPr>
                <w:sz w:val="19"/>
                <w:szCs w:val="19"/>
                <w:color w:val="auto"/>
              </w:rPr>
            </w:pPr>
          </w:p>
        </w:tc>
        <w:tc>
          <w:tcPr>
            <w:tcW w:w="940" w:type="dxa"/>
            <w:vAlign w:val="bottom"/>
          </w:tcPr>
          <w:p>
            <w:pPr>
              <w:jc w:val="right"/>
              <w:ind w:right="195"/>
              <w:spacing w:after="0"/>
              <w:rPr>
                <w:sz w:val="20"/>
                <w:szCs w:val="20"/>
                <w:color w:val="auto"/>
              </w:rPr>
            </w:pPr>
            <w:r>
              <w:rPr>
                <w:rFonts w:ascii="Arial" w:cs="Arial" w:eastAsia="Arial" w:hAnsi="Arial"/>
                <w:sz w:val="17"/>
                <w:szCs w:val="17"/>
                <w:b w:val="1"/>
                <w:bCs w:val="1"/>
                <w:color w:val="auto"/>
              </w:rPr>
              <w:t>Hedges</w:t>
            </w:r>
          </w:p>
        </w:tc>
        <w:tc>
          <w:tcPr>
            <w:tcW w:w="300" w:type="dxa"/>
            <w:vAlign w:val="bottom"/>
          </w:tcPr>
          <w:p>
            <w:pPr>
              <w:spacing w:after="0"/>
              <w:rPr>
                <w:sz w:val="19"/>
                <w:szCs w:val="19"/>
                <w:color w:val="auto"/>
              </w:rPr>
            </w:pPr>
          </w:p>
        </w:tc>
        <w:tc>
          <w:tcPr>
            <w:tcW w:w="1160" w:type="dxa"/>
            <w:vAlign w:val="bottom"/>
          </w:tcPr>
          <w:p>
            <w:pPr>
              <w:jc w:val="right"/>
              <w:ind w:right="315"/>
              <w:spacing w:after="0"/>
              <w:rPr>
                <w:sz w:val="20"/>
                <w:szCs w:val="20"/>
                <w:color w:val="auto"/>
              </w:rPr>
            </w:pPr>
            <w:r>
              <w:rPr>
                <w:rFonts w:ascii="Arial" w:cs="Arial" w:eastAsia="Arial" w:hAnsi="Arial"/>
                <w:sz w:val="17"/>
                <w:szCs w:val="17"/>
                <w:b w:val="1"/>
                <w:bCs w:val="1"/>
                <w:color w:val="auto"/>
              </w:rPr>
              <w:t>Benefits</w:t>
            </w:r>
          </w:p>
        </w:tc>
        <w:tc>
          <w:tcPr>
            <w:tcW w:w="3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Balance as of February 1, 2020</w:t>
            </w:r>
          </w:p>
        </w:tc>
        <w:tc>
          <w:tcPr>
            <w:tcW w:w="3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(104)</w:t>
            </w:r>
          </w:p>
        </w:tc>
        <w:tc>
          <w:tcPr>
            <w:tcW w:w="2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(3)</w:t>
            </w:r>
          </w:p>
        </w:tc>
        <w:tc>
          <w:tcPr>
            <w:tcW w:w="300" w:type="dxa"/>
            <w:vAlign w:val="bottom"/>
            <w:tcBorders>
              <w:top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(287)</w:t>
            </w:r>
          </w:p>
        </w:tc>
        <w:tc>
          <w:tcPr>
            <w:tcW w:w="30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OCI before reclassification</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20</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3</w:t>
            </w: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Amortization of pension actuarial loss, net of tax</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4</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Other comprehensive income</w:t>
            </w: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20</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3</w:t>
            </w:r>
          </w:p>
        </w:tc>
        <w:tc>
          <w:tcPr>
            <w:tcW w:w="3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4</w:t>
            </w:r>
          </w:p>
        </w:tc>
        <w:tc>
          <w:tcPr>
            <w:tcW w:w="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Balance as of August 1, 2020</w:t>
            </w:r>
          </w:p>
        </w:tc>
        <w:tc>
          <w:tcPr>
            <w:tcW w:w="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(84)</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(283)</w:t>
            </w:r>
          </w:p>
        </w:tc>
        <w:tc>
          <w:tcPr>
            <w:tcW w:w="3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Reclassifications from AOCL for the twenty-six weeks ended August 1, 2020 were as follows: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48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in millions)</w:t>
            </w:r>
          </w:p>
        </w:tc>
      </w:tr>
      <w:tr>
        <w:trPr>
          <w:trHeight w:val="183"/>
        </w:trPr>
        <w:tc>
          <w:tcPr>
            <w:tcW w:w="48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Amortization of actuarial loss:</w:t>
            </w:r>
          </w:p>
        </w:tc>
        <w:tc>
          <w:tcPr>
            <w:tcW w:w="30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9"/>
        </w:trPr>
        <w:tc>
          <w:tcPr>
            <w:tcW w:w="4840" w:type="dxa"/>
            <w:vAlign w:val="bottom"/>
          </w:tcPr>
          <w:p>
            <w:pPr>
              <w:spacing w:after="0" w:line="189" w:lineRule="exact"/>
              <w:rPr>
                <w:sz w:val="20"/>
                <w:szCs w:val="20"/>
                <w:color w:val="auto"/>
              </w:rPr>
            </w:pPr>
            <w:r>
              <w:rPr>
                <w:rFonts w:ascii="Arial" w:cs="Arial" w:eastAsia="Arial" w:hAnsi="Arial"/>
                <w:sz w:val="17"/>
                <w:szCs w:val="17"/>
                <w:color w:val="auto"/>
              </w:rPr>
              <w:t>Pension benefits</w:t>
            </w:r>
          </w:p>
        </w:tc>
        <w:tc>
          <w:tcPr>
            <w:tcW w:w="3000" w:type="dxa"/>
            <w:vAlign w:val="bottom"/>
          </w:tcPr>
          <w:p>
            <w:pPr>
              <w:jc w:val="right"/>
              <w:ind w:right="215"/>
              <w:spacing w:after="0" w:line="189" w:lineRule="exact"/>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6</w:t>
            </w:r>
          </w:p>
        </w:tc>
      </w:tr>
      <w:tr>
        <w:trPr>
          <w:trHeight w:val="189"/>
        </w:trPr>
        <w:tc>
          <w:tcPr>
            <w:tcW w:w="48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Income tax benefit</w:t>
            </w:r>
          </w:p>
        </w:tc>
        <w:tc>
          <w:tcPr>
            <w:tcW w:w="30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w:t>
            </w:r>
          </w:p>
        </w:tc>
      </w:tr>
      <w:tr>
        <w:trPr>
          <w:trHeight w:val="183"/>
        </w:trPr>
        <w:tc>
          <w:tcPr>
            <w:tcW w:w="48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net of tax</w:t>
            </w:r>
          </w:p>
        </w:tc>
        <w:tc>
          <w:tcPr>
            <w:tcW w:w="3000" w:type="dxa"/>
            <w:vAlign w:val="bottom"/>
            <w:tcBorders>
              <w:bottom w:val="single" w:sz="8" w:color="auto"/>
            </w:tcBorders>
          </w:tcPr>
          <w:p>
            <w:pPr>
              <w:jc w:val="right"/>
              <w:ind w:right="215"/>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4</w:t>
            </w: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Fair Value Measurements</w:t>
      </w:r>
    </w:p>
    <w:p>
      <w:pPr>
        <w:spacing w:after="0" w:line="173" w:lineRule="exact"/>
        <w:rPr>
          <w:sz w:val="20"/>
          <w:szCs w:val="20"/>
          <w:color w:val="auto"/>
        </w:rPr>
      </w:pPr>
    </w:p>
    <w:p>
      <w:pPr>
        <w:jc w:val="both"/>
        <w:ind w:left="60" w:right="59"/>
        <w:spacing w:after="0" w:line="276" w:lineRule="auto"/>
        <w:rPr>
          <w:sz w:val="20"/>
          <w:szCs w:val="20"/>
          <w:color w:val="auto"/>
        </w:rPr>
      </w:pPr>
      <w:r>
        <w:rPr>
          <w:rFonts w:ascii="Arial" w:cs="Arial" w:eastAsia="Arial" w:hAnsi="Arial"/>
          <w:sz w:val="18"/>
          <w:szCs w:val="18"/>
          <w:color w:val="auto"/>
        </w:rPr>
        <w:t>Our financial assets are recorded at fair value, using a three-level fair value hierarchy that prioritizes the inputs used to measure fair value. The three levels of inputs used to measure fair value are categorized as follows:</w:t>
      </w:r>
    </w:p>
    <w:p>
      <w:pPr>
        <w:spacing w:after="0" w:line="143" w:lineRule="exact"/>
        <w:rPr>
          <w:sz w:val="20"/>
          <w:szCs w:val="20"/>
          <w:color w:val="auto"/>
        </w:rPr>
      </w:pPr>
    </w:p>
    <w:p>
      <w:pPr>
        <w:ind w:left="380"/>
        <w:spacing w:after="0"/>
        <w:tabs>
          <w:tab w:leader="none" w:pos="1320" w:val="left"/>
        </w:tabs>
        <w:rPr>
          <w:sz w:val="20"/>
          <w:szCs w:val="20"/>
          <w:color w:val="auto"/>
        </w:rPr>
      </w:pPr>
      <w:r>
        <w:rPr>
          <w:rFonts w:ascii="Arial" w:cs="Arial" w:eastAsia="Arial" w:hAnsi="Arial"/>
          <w:sz w:val="18"/>
          <w:szCs w:val="18"/>
          <w:b w:val="1"/>
          <w:bCs w:val="1"/>
          <w:color w:val="auto"/>
        </w:rPr>
        <w:t>Level 1 –</w:t>
      </w:r>
      <w:r>
        <w:rPr>
          <w:sz w:val="20"/>
          <w:szCs w:val="20"/>
          <w:color w:val="auto"/>
        </w:rPr>
        <w:tab/>
      </w:r>
      <w:r>
        <w:rPr>
          <w:rFonts w:ascii="Arial" w:cs="Arial" w:eastAsia="Arial" w:hAnsi="Arial"/>
          <w:sz w:val="17"/>
          <w:szCs w:val="17"/>
          <w:color w:val="auto"/>
        </w:rPr>
        <w:t>Quoted prices for identical instruments in active markets.</w:t>
      </w:r>
    </w:p>
    <w:p>
      <w:pPr>
        <w:spacing w:after="0" w:line="171" w:lineRule="exact"/>
        <w:rPr>
          <w:sz w:val="20"/>
          <w:szCs w:val="20"/>
          <w:color w:val="auto"/>
        </w:rPr>
      </w:pPr>
    </w:p>
    <w:p>
      <w:pPr>
        <w:jc w:val="both"/>
        <w:ind w:left="1340" w:right="79" w:hanging="971"/>
        <w:spacing w:after="0" w:line="248" w:lineRule="auto"/>
        <w:tabs>
          <w:tab w:leader="none" w:pos="1320" w:val="left"/>
        </w:tabs>
        <w:rPr>
          <w:sz w:val="20"/>
          <w:szCs w:val="20"/>
          <w:color w:val="auto"/>
        </w:rPr>
      </w:pPr>
      <w:r>
        <w:rPr>
          <w:rFonts w:ascii="Arial" w:cs="Arial" w:eastAsia="Arial" w:hAnsi="Arial"/>
          <w:sz w:val="18"/>
          <w:szCs w:val="18"/>
          <w:b w:val="1"/>
          <w:bCs w:val="1"/>
          <w:color w:val="auto"/>
        </w:rPr>
        <w:t>Level 2 –</w:t>
      </w:r>
      <w:r>
        <w:rPr>
          <w:sz w:val="20"/>
          <w:szCs w:val="20"/>
          <w:color w:val="auto"/>
        </w:rPr>
        <w:tab/>
      </w:r>
      <w:r>
        <w:rPr>
          <w:rFonts w:ascii="Arial" w:cs="Arial" w:eastAsia="Arial" w:hAnsi="Arial"/>
          <w:sz w:val="18"/>
          <w:szCs w:val="18"/>
          <w:color w:val="auto"/>
        </w:rPr>
        <w:t>Observable inputs other than quoted prices included within Level 1, including quoted prices for similar instruments in active markets; quoted prices for identical or similar instruments in markets that are not active; and model-derived valuations in which all significant inputs or significant value-drivers are observable in active markets.</w:t>
      </w:r>
    </w:p>
    <w:p>
      <w:pPr>
        <w:spacing w:after="0" w:line="130" w:lineRule="exact"/>
        <w:rPr>
          <w:sz w:val="20"/>
          <w:szCs w:val="20"/>
          <w:color w:val="auto"/>
        </w:rPr>
      </w:pPr>
    </w:p>
    <w:p>
      <w:pPr>
        <w:jc w:val="both"/>
        <w:ind w:left="1340" w:right="79" w:hanging="971"/>
        <w:spacing w:after="0" w:line="276" w:lineRule="auto"/>
        <w:tabs>
          <w:tab w:leader="none" w:pos="1320" w:val="left"/>
        </w:tabs>
        <w:rPr>
          <w:sz w:val="20"/>
          <w:szCs w:val="20"/>
          <w:color w:val="auto"/>
        </w:rPr>
      </w:pPr>
      <w:r>
        <w:rPr>
          <w:rFonts w:ascii="Arial" w:cs="Arial" w:eastAsia="Arial" w:hAnsi="Arial"/>
          <w:sz w:val="18"/>
          <w:szCs w:val="18"/>
          <w:b w:val="1"/>
          <w:bCs w:val="1"/>
          <w:color w:val="auto"/>
        </w:rPr>
        <w:t>Level 3 –</w:t>
      </w:r>
      <w:r>
        <w:rPr>
          <w:sz w:val="20"/>
          <w:szCs w:val="20"/>
          <w:color w:val="auto"/>
        </w:rPr>
        <w:tab/>
      </w:r>
      <w:r>
        <w:rPr>
          <w:rFonts w:ascii="Arial" w:cs="Arial" w:eastAsia="Arial" w:hAnsi="Arial"/>
          <w:sz w:val="18"/>
          <w:szCs w:val="18"/>
          <w:color w:val="auto"/>
        </w:rPr>
        <w:t>Model-derived valuations in which one or more significant inputs or significant value-drivers are unobservable.</w:t>
      </w:r>
    </w:p>
    <w:p>
      <w:pPr>
        <w:spacing w:after="0" w:line="106" w:lineRule="exact"/>
        <w:rPr>
          <w:sz w:val="20"/>
          <w:szCs w:val="20"/>
          <w:color w:val="auto"/>
        </w:rPr>
      </w:pPr>
    </w:p>
    <w:p>
      <w:pPr>
        <w:ind w:left="60" w:right="59"/>
        <w:spacing w:after="0" w:line="276" w:lineRule="auto"/>
        <w:rPr>
          <w:sz w:val="20"/>
          <w:szCs w:val="20"/>
          <w:color w:val="auto"/>
        </w:rPr>
      </w:pPr>
      <w:r>
        <w:rPr>
          <w:rFonts w:ascii="Arial" w:cs="Arial" w:eastAsia="Arial" w:hAnsi="Arial"/>
          <w:sz w:val="18"/>
          <w:szCs w:val="18"/>
          <w:color w:val="auto"/>
        </w:rPr>
        <w:t>The fair value of the auction rate security, classified as available-for-sale, is determined by using quoted prices for similar instruments in active markets and accordingly is classified as a Level 2 instrument.</w:t>
      </w:r>
    </w:p>
    <w:p>
      <w:pPr>
        <w:spacing w:after="0" w:line="36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2020 Form 10-Q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92" w:right="1440"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337820</wp:posOffset>
            </wp:positionV>
            <wp:extent cx="1834515" cy="214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w:t>
      </w:r>
    </w:p>
    <w:p>
      <w:pPr>
        <w:spacing w:after="0" w:line="335" w:lineRule="exact"/>
        <w:rPr>
          <w:sz w:val="20"/>
          <w:szCs w:val="20"/>
          <w:color w:val="auto"/>
        </w:rPr>
      </w:pPr>
    </w:p>
    <w:p>
      <w:pPr>
        <w:jc w:val="both"/>
        <w:ind w:left="60" w:right="79"/>
        <w:spacing w:after="0" w:line="255" w:lineRule="auto"/>
        <w:rPr>
          <w:sz w:val="20"/>
          <w:szCs w:val="20"/>
          <w:color w:val="auto"/>
        </w:rPr>
      </w:pPr>
      <w:r>
        <w:rPr>
          <w:rFonts w:ascii="Arial" w:cs="Arial" w:eastAsia="Arial" w:hAnsi="Arial"/>
          <w:sz w:val="18"/>
          <w:szCs w:val="18"/>
          <w:color w:val="auto"/>
        </w:rPr>
        <w:t>Our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7"/>
                <w:szCs w:val="17"/>
                <w:b w:val="1"/>
                <w:bCs w:val="1"/>
                <w:color w:val="auto"/>
                <w:w w:val="99"/>
              </w:rPr>
              <w:t>As of August 1, 2020</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7"/>
                <w:szCs w:val="17"/>
                <w:b w:val="1"/>
                <w:bCs w:val="1"/>
                <w:color w:val="auto"/>
                <w:w w:val="99"/>
              </w:rPr>
              <w:t>As of August 3, 2019</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5"/>
          </w:tcPr>
          <w:p>
            <w:pPr>
              <w:ind w:left="60"/>
              <w:spacing w:after="0"/>
              <w:rPr>
                <w:sz w:val="20"/>
                <w:szCs w:val="20"/>
                <w:color w:val="auto"/>
              </w:rPr>
            </w:pPr>
            <w:r>
              <w:rPr>
                <w:rFonts w:ascii="Arial" w:cs="Arial" w:eastAsia="Arial" w:hAnsi="Arial"/>
                <w:sz w:val="17"/>
                <w:szCs w:val="17"/>
                <w:b w:val="1"/>
                <w:bCs w:val="1"/>
                <w:color w:val="auto"/>
              </w:rPr>
              <w:t>As of February 1, 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 in millions)</w:t>
            </w:r>
          </w:p>
        </w:tc>
        <w:tc>
          <w:tcPr>
            <w:tcW w:w="940" w:type="dxa"/>
            <w:vAlign w:val="bottom"/>
            <w:tcBorders>
              <w:bottom w:val="single" w:sz="8" w:color="auto"/>
            </w:tcBorders>
            <w:gridSpan w:val="2"/>
          </w:tcPr>
          <w:p>
            <w:pPr>
              <w:ind w:left="260"/>
              <w:spacing w:after="0" w:line="183" w:lineRule="exact"/>
              <w:rPr>
                <w:sz w:val="20"/>
                <w:szCs w:val="20"/>
                <w:color w:val="auto"/>
              </w:rPr>
            </w:pPr>
            <w:r>
              <w:rPr>
                <w:rFonts w:ascii="Arial" w:cs="Arial" w:eastAsia="Arial" w:hAnsi="Arial"/>
                <w:sz w:val="17"/>
                <w:szCs w:val="17"/>
                <w:b w:val="1"/>
                <w:bCs w:val="1"/>
                <w:color w:val="auto"/>
              </w:rPr>
              <w:t>Level 1</w:t>
            </w:r>
          </w:p>
        </w:tc>
        <w:tc>
          <w:tcPr>
            <w:tcW w:w="780" w:type="dxa"/>
            <w:vAlign w:val="bottom"/>
            <w:tcBorders>
              <w:bottom w:val="single" w:sz="8" w:color="auto"/>
            </w:tcBorders>
            <w:gridSpan w:val="2"/>
          </w:tcPr>
          <w:p>
            <w:pPr>
              <w:ind w:left="100"/>
              <w:spacing w:after="0" w:line="183" w:lineRule="exact"/>
              <w:rPr>
                <w:sz w:val="20"/>
                <w:szCs w:val="20"/>
                <w:color w:val="auto"/>
              </w:rPr>
            </w:pPr>
            <w:r>
              <w:rPr>
                <w:rFonts w:ascii="Arial" w:cs="Arial" w:eastAsia="Arial" w:hAnsi="Arial"/>
                <w:sz w:val="17"/>
                <w:szCs w:val="17"/>
                <w:b w:val="1"/>
                <w:bCs w:val="1"/>
                <w:color w:val="auto"/>
              </w:rPr>
              <w:t>Level 2</w:t>
            </w:r>
          </w:p>
        </w:tc>
        <w:tc>
          <w:tcPr>
            <w:tcW w:w="780" w:type="dxa"/>
            <w:vAlign w:val="bottom"/>
            <w:tcBorders>
              <w:bottom w:val="single" w:sz="8" w:color="auto"/>
            </w:tcBorders>
            <w:gridSpan w:val="2"/>
          </w:tcPr>
          <w:p>
            <w:pPr>
              <w:ind w:left="100"/>
              <w:spacing w:after="0" w:line="183" w:lineRule="exact"/>
              <w:rPr>
                <w:sz w:val="20"/>
                <w:szCs w:val="20"/>
                <w:color w:val="auto"/>
              </w:rPr>
            </w:pPr>
            <w:r>
              <w:rPr>
                <w:rFonts w:ascii="Arial" w:cs="Arial" w:eastAsia="Arial" w:hAnsi="Arial"/>
                <w:sz w:val="17"/>
                <w:szCs w:val="17"/>
                <w:b w:val="1"/>
                <w:bCs w:val="1"/>
                <w:color w:val="auto"/>
              </w:rPr>
              <w:t>Level 3</w:t>
            </w:r>
          </w:p>
        </w:tc>
        <w:tc>
          <w:tcPr>
            <w:tcW w:w="800" w:type="dxa"/>
            <w:vAlign w:val="bottom"/>
            <w:tcBorders>
              <w:bottom w:val="single" w:sz="8" w:color="auto"/>
            </w:tcBorders>
            <w:gridSpan w:val="2"/>
          </w:tcPr>
          <w:p>
            <w:pPr>
              <w:ind w:left="100"/>
              <w:spacing w:after="0" w:line="183" w:lineRule="exact"/>
              <w:rPr>
                <w:sz w:val="20"/>
                <w:szCs w:val="20"/>
                <w:color w:val="auto"/>
              </w:rPr>
            </w:pPr>
            <w:r>
              <w:rPr>
                <w:rFonts w:ascii="Arial" w:cs="Arial" w:eastAsia="Arial" w:hAnsi="Arial"/>
                <w:sz w:val="17"/>
                <w:szCs w:val="17"/>
                <w:b w:val="1"/>
                <w:bCs w:val="1"/>
                <w:color w:val="auto"/>
              </w:rPr>
              <w:t>Level 1</w:t>
            </w:r>
          </w:p>
        </w:tc>
        <w:tc>
          <w:tcPr>
            <w:tcW w:w="780" w:type="dxa"/>
            <w:vAlign w:val="bottom"/>
            <w:tcBorders>
              <w:bottom w:val="single" w:sz="8" w:color="auto"/>
            </w:tcBorders>
            <w:gridSpan w:val="2"/>
          </w:tcPr>
          <w:p>
            <w:pPr>
              <w:ind w:left="100"/>
              <w:spacing w:after="0" w:line="183" w:lineRule="exact"/>
              <w:rPr>
                <w:sz w:val="20"/>
                <w:szCs w:val="20"/>
                <w:color w:val="auto"/>
              </w:rPr>
            </w:pPr>
            <w:r>
              <w:rPr>
                <w:rFonts w:ascii="Arial" w:cs="Arial" w:eastAsia="Arial" w:hAnsi="Arial"/>
                <w:sz w:val="17"/>
                <w:szCs w:val="17"/>
                <w:b w:val="1"/>
                <w:bCs w:val="1"/>
                <w:color w:val="auto"/>
              </w:rPr>
              <w:t>Level 2</w:t>
            </w:r>
          </w:p>
        </w:tc>
        <w:tc>
          <w:tcPr>
            <w:tcW w:w="780" w:type="dxa"/>
            <w:vAlign w:val="bottom"/>
            <w:tcBorders>
              <w:bottom w:val="single" w:sz="8" w:color="auto"/>
            </w:tcBorders>
            <w:gridSpan w:val="2"/>
          </w:tcPr>
          <w:p>
            <w:pPr>
              <w:ind w:left="100"/>
              <w:spacing w:after="0" w:line="183" w:lineRule="exact"/>
              <w:rPr>
                <w:sz w:val="20"/>
                <w:szCs w:val="20"/>
                <w:color w:val="auto"/>
              </w:rPr>
            </w:pPr>
            <w:r>
              <w:rPr>
                <w:rFonts w:ascii="Arial" w:cs="Arial" w:eastAsia="Arial" w:hAnsi="Arial"/>
                <w:sz w:val="17"/>
                <w:szCs w:val="17"/>
                <w:b w:val="1"/>
                <w:bCs w:val="1"/>
                <w:color w:val="auto"/>
              </w:rPr>
              <w:t>Level 3</w:t>
            </w:r>
          </w:p>
        </w:tc>
        <w:tc>
          <w:tcPr>
            <w:tcW w:w="800" w:type="dxa"/>
            <w:vAlign w:val="bottom"/>
            <w:tcBorders>
              <w:bottom w:val="single" w:sz="8" w:color="auto"/>
            </w:tcBorders>
            <w:gridSpan w:val="2"/>
          </w:tcPr>
          <w:p>
            <w:pPr>
              <w:ind w:left="120"/>
              <w:spacing w:after="0" w:line="183" w:lineRule="exact"/>
              <w:rPr>
                <w:sz w:val="20"/>
                <w:szCs w:val="20"/>
                <w:color w:val="auto"/>
              </w:rPr>
            </w:pPr>
            <w:r>
              <w:rPr>
                <w:rFonts w:ascii="Arial" w:cs="Arial" w:eastAsia="Arial" w:hAnsi="Arial"/>
                <w:sz w:val="17"/>
                <w:szCs w:val="17"/>
                <w:b w:val="1"/>
                <w:bCs w:val="1"/>
                <w:color w:val="auto"/>
              </w:rPr>
              <w:t>Level 1</w:t>
            </w:r>
          </w:p>
        </w:tc>
        <w:tc>
          <w:tcPr>
            <w:tcW w:w="820" w:type="dxa"/>
            <w:vAlign w:val="bottom"/>
            <w:tcBorders>
              <w:bottom w:val="single" w:sz="8" w:color="auto"/>
            </w:tcBorders>
            <w:gridSpan w:val="2"/>
          </w:tcPr>
          <w:p>
            <w:pPr>
              <w:ind w:left="120"/>
              <w:spacing w:after="0" w:line="183" w:lineRule="exact"/>
              <w:rPr>
                <w:sz w:val="20"/>
                <w:szCs w:val="20"/>
                <w:color w:val="auto"/>
              </w:rPr>
            </w:pPr>
            <w:r>
              <w:rPr>
                <w:rFonts w:ascii="Arial" w:cs="Arial" w:eastAsia="Arial" w:hAnsi="Arial"/>
                <w:sz w:val="17"/>
                <w:szCs w:val="17"/>
                <w:b w:val="1"/>
                <w:bCs w:val="1"/>
                <w:color w:val="auto"/>
              </w:rPr>
              <w:t>Level 2</w:t>
            </w:r>
          </w:p>
        </w:tc>
        <w:tc>
          <w:tcPr>
            <w:tcW w:w="700" w:type="dxa"/>
            <w:vAlign w:val="bottom"/>
            <w:tcBorders>
              <w:bottom w:val="single" w:sz="8" w:color="auto"/>
            </w:tcBorders>
            <w:gridSpan w:val="2"/>
          </w:tcPr>
          <w:p>
            <w:pPr>
              <w:ind w:left="100"/>
              <w:spacing w:after="0" w:line="183" w:lineRule="exact"/>
              <w:rPr>
                <w:sz w:val="20"/>
                <w:szCs w:val="20"/>
                <w:color w:val="auto"/>
              </w:rPr>
            </w:pPr>
            <w:r>
              <w:rPr>
                <w:rFonts w:ascii="Arial" w:cs="Arial" w:eastAsia="Arial" w:hAnsi="Arial"/>
                <w:sz w:val="17"/>
                <w:szCs w:val="17"/>
                <w:b w:val="1"/>
                <w:bCs w:val="1"/>
                <w:color w:val="auto"/>
              </w:rPr>
              <w:t>Level 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Assets</w:t>
            </w: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00" w:type="dxa"/>
            <w:vAlign w:val="bottom"/>
          </w:tcPr>
          <w:p>
            <w:pPr>
              <w:spacing w:after="0" w:line="161" w:lineRule="exact"/>
              <w:rPr>
                <w:sz w:val="20"/>
                <w:szCs w:val="20"/>
                <w:color w:val="auto"/>
              </w:rPr>
            </w:pPr>
            <w:r>
              <w:rPr>
                <w:rFonts w:ascii="Arial" w:cs="Arial" w:eastAsia="Arial" w:hAnsi="Arial"/>
                <w:sz w:val="17"/>
                <w:szCs w:val="17"/>
                <w:color w:val="auto"/>
              </w:rPr>
              <w:t>Available-for-sale</w:t>
            </w: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00" w:type="dxa"/>
            <w:vAlign w:val="bottom"/>
          </w:tcPr>
          <w:p>
            <w:pPr>
              <w:ind w:left="140"/>
              <w:spacing w:after="0"/>
              <w:rPr>
                <w:sz w:val="20"/>
                <w:szCs w:val="20"/>
                <w:color w:val="auto"/>
              </w:rPr>
            </w:pPr>
            <w:r>
              <w:rPr>
                <w:rFonts w:ascii="Arial" w:cs="Arial" w:eastAsia="Arial" w:hAnsi="Arial"/>
                <w:sz w:val="17"/>
                <w:szCs w:val="17"/>
                <w:color w:val="auto"/>
              </w:rPr>
              <w:t>security</w:t>
            </w:r>
          </w:p>
        </w:tc>
        <w:tc>
          <w:tcPr>
            <w:tcW w:w="420" w:type="dxa"/>
            <w:vAlign w:val="bottom"/>
          </w:tcPr>
          <w:p>
            <w:pPr>
              <w:spacing w:after="0"/>
              <w:rPr>
                <w:sz w:val="18"/>
                <w:szCs w:val="18"/>
                <w:color w:val="auto"/>
              </w:rPr>
            </w:pPr>
          </w:p>
        </w:tc>
        <w:tc>
          <w:tcPr>
            <w:tcW w:w="520" w:type="dxa"/>
            <w:vAlign w:val="bottom"/>
          </w:tcPr>
          <w:p>
            <w:pPr>
              <w:ind w:lef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420" w:type="dxa"/>
            <w:vAlign w:val="bottom"/>
          </w:tcPr>
          <w:p>
            <w:pPr>
              <w:jc w:val="right"/>
              <w:ind w:right="75"/>
              <w:spacing w:after="0"/>
              <w:rPr>
                <w:sz w:val="20"/>
                <w:szCs w:val="20"/>
                <w:color w:val="auto"/>
              </w:rPr>
            </w:pPr>
            <w:r>
              <w:rPr>
                <w:rFonts w:ascii="Arial" w:cs="Arial" w:eastAsia="Arial" w:hAnsi="Arial"/>
                <w:sz w:val="17"/>
                <w:szCs w:val="17"/>
                <w:color w:val="auto"/>
              </w:rPr>
              <w:t>7</w:t>
            </w:r>
          </w:p>
        </w:tc>
        <w:tc>
          <w:tcPr>
            <w:tcW w:w="4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520" w:type="dxa"/>
            <w:vAlign w:val="bottom"/>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480" w:type="dxa"/>
            <w:vAlign w:val="bottom"/>
          </w:tcPr>
          <w:p>
            <w:pPr>
              <w:jc w:val="right"/>
              <w:ind w:right="75"/>
              <w:spacing w:after="0"/>
              <w:rPr>
                <w:sz w:val="20"/>
                <w:szCs w:val="20"/>
                <w:color w:val="auto"/>
              </w:rPr>
            </w:pPr>
            <w:r>
              <w:rPr>
                <w:rFonts w:ascii="Arial" w:cs="Arial" w:eastAsia="Arial" w:hAnsi="Arial"/>
                <w:sz w:val="17"/>
                <w:szCs w:val="17"/>
                <w:color w:val="auto"/>
              </w:rPr>
              <w:t>6</w:t>
            </w:r>
          </w:p>
        </w:tc>
        <w:tc>
          <w:tcPr>
            <w:tcW w:w="44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560" w:type="dxa"/>
            <w:vAlign w:val="bottom"/>
          </w:tcPr>
          <w:p>
            <w:pPr>
              <w:ind w:left="2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480" w:type="dxa"/>
            <w:vAlign w:val="bottom"/>
          </w:tcPr>
          <w:p>
            <w:pPr>
              <w:jc w:val="right"/>
              <w:ind w:right="75"/>
              <w:spacing w:after="0"/>
              <w:rPr>
                <w:sz w:val="20"/>
                <w:szCs w:val="20"/>
                <w:color w:val="auto"/>
              </w:rPr>
            </w:pPr>
            <w:r>
              <w:rPr>
                <w:rFonts w:ascii="Arial" w:cs="Arial" w:eastAsia="Arial" w:hAnsi="Arial"/>
                <w:sz w:val="17"/>
                <w:szCs w:val="17"/>
                <w:color w:val="auto"/>
              </w:rPr>
              <w:t>7</w:t>
            </w:r>
          </w:p>
        </w:tc>
        <w:tc>
          <w:tcPr>
            <w:tcW w:w="34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0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Foreign exchange</w:t>
            </w:r>
          </w:p>
        </w:tc>
        <w:tc>
          <w:tcPr>
            <w:tcW w:w="4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forward contracts</w:t>
            </w:r>
          </w:p>
        </w:tc>
        <w:tc>
          <w:tcPr>
            <w:tcW w:w="4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w:t>
            </w:r>
          </w:p>
        </w:tc>
        <w:tc>
          <w:tcPr>
            <w:tcW w:w="4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4</w:t>
            </w:r>
          </w:p>
        </w:tc>
        <w:tc>
          <w:tcPr>
            <w:tcW w:w="4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Assets</w:t>
            </w:r>
          </w:p>
        </w:tc>
        <w:tc>
          <w:tcPr>
            <w:tcW w:w="420" w:type="dxa"/>
            <w:vAlign w:val="bottom"/>
            <w:tcBorders>
              <w:bottom w:val="single" w:sz="8" w:color="auto"/>
            </w:tcBorders>
          </w:tcPr>
          <w:p>
            <w:pPr>
              <w:ind w:left="26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tcPr>
          <w:p>
            <w:pPr>
              <w:ind w:left="200"/>
              <w:spacing w:after="0" w:line="183" w:lineRule="exact"/>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4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8</w:t>
            </w:r>
          </w:p>
        </w:tc>
        <w:tc>
          <w:tcPr>
            <w:tcW w:w="46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ind w:left="180"/>
              <w:spacing w:after="0" w:line="183" w:lineRule="exact"/>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10</w:t>
            </w:r>
          </w:p>
        </w:tc>
        <w:tc>
          <w:tcPr>
            <w:tcW w:w="44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ind w:left="240"/>
              <w:spacing w:after="0" w:line="183" w:lineRule="exact"/>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7</w:t>
            </w:r>
          </w:p>
        </w:tc>
        <w:tc>
          <w:tcPr>
            <w:tcW w:w="34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700" w:type="dxa"/>
            <w:vAlign w:val="bottom"/>
          </w:tcPr>
          <w:p>
            <w:pPr>
              <w:spacing w:after="0" w:line="189" w:lineRule="exact"/>
              <w:rPr>
                <w:sz w:val="20"/>
                <w:szCs w:val="20"/>
                <w:color w:val="auto"/>
              </w:rPr>
            </w:pPr>
            <w:r>
              <w:rPr>
                <w:rFonts w:ascii="Arial" w:cs="Arial" w:eastAsia="Arial" w:hAnsi="Arial"/>
                <w:sz w:val="17"/>
                <w:szCs w:val="17"/>
                <w:b w:val="1"/>
                <w:bCs w:val="1"/>
                <w:color w:val="auto"/>
              </w:rPr>
              <w:t>Liabilities</w:t>
            </w: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0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Foreign exchange</w:t>
            </w:r>
          </w:p>
        </w:tc>
        <w:tc>
          <w:tcPr>
            <w:tcW w:w="4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forward contracts</w:t>
            </w:r>
          </w:p>
        </w:tc>
        <w:tc>
          <w:tcPr>
            <w:tcW w:w="4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4</w:t>
            </w:r>
          </w:p>
        </w:tc>
        <w:tc>
          <w:tcPr>
            <w:tcW w:w="4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4</w:t>
            </w:r>
          </w:p>
        </w:tc>
        <w:tc>
          <w:tcPr>
            <w:tcW w:w="3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Liabilities</w:t>
            </w:r>
          </w:p>
        </w:tc>
        <w:tc>
          <w:tcPr>
            <w:tcW w:w="420" w:type="dxa"/>
            <w:vAlign w:val="bottom"/>
            <w:tcBorders>
              <w:bottom w:val="single" w:sz="8" w:color="auto"/>
            </w:tcBorders>
          </w:tcPr>
          <w:p>
            <w:pPr>
              <w:ind w:left="26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tcPr>
          <w:p>
            <w:pPr>
              <w:ind w:left="200"/>
              <w:spacing w:after="0" w:line="183" w:lineRule="exact"/>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4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4</w:t>
            </w:r>
          </w:p>
        </w:tc>
        <w:tc>
          <w:tcPr>
            <w:tcW w:w="46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ind w:left="180"/>
              <w:spacing w:after="0" w:line="183" w:lineRule="exact"/>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ind w:left="240"/>
              <w:spacing w:after="0" w:line="183" w:lineRule="exact"/>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4</w:t>
            </w:r>
          </w:p>
        </w:tc>
        <w:tc>
          <w:tcPr>
            <w:tcW w:w="34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left="60" w:right="59"/>
        <w:spacing w:after="0" w:line="276" w:lineRule="auto"/>
        <w:rPr>
          <w:sz w:val="20"/>
          <w:szCs w:val="20"/>
          <w:color w:val="auto"/>
        </w:rPr>
      </w:pPr>
      <w:r>
        <w:rPr>
          <w:rFonts w:ascii="Arial" w:cs="Arial" w:eastAsia="Arial" w:hAnsi="Arial"/>
          <w:sz w:val="18"/>
          <w:szCs w:val="18"/>
          <w:color w:val="auto"/>
        </w:rPr>
        <w:t>There were no transfers into or out of Level 1, Level 2, or Level 3 assets and liabilities for any of the periods presented.</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169"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Assets and liabilities recognized or disclosed at fair value on the consolidated financial statements on a nonrecurring basis include items such as property, plant and equipment, operating lease right-of-use assets, goodwill, other intangible assets, and minority investments that are not accounted for under the equity method of accounting. These assets are measured using Level 3 inputs, if determined to be impaired.</w:t>
      </w:r>
    </w:p>
    <w:p>
      <w:pPr>
        <w:spacing w:after="0" w:line="130"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Minority interests measured using the fair value measurement alternative had a carrying value of $137 million, $133 million, and $137 million as of August 1, 2020, August 3, 2019, and February 1, 2020, respectively, and are included within Other assets. During the fourth quarter of 2019, we recorded a non-cash charge of $7 million related to the write-down of such minority investments.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Long-Term Debt</w:t>
      </w:r>
    </w:p>
    <w:p>
      <w:pPr>
        <w:spacing w:after="0" w:line="16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fair value of long-term debt is determined by using model-derived valuations in which all significant inputs or significant value drivers are observable in active markets and therefore are classified as Level 2. The carrying value and estimated fair value of long-term debt were as follows: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3100" w:type="dxa"/>
            <w:vAlign w:val="bottom"/>
            <w:tcBorders>
              <w:bottom w:val="single" w:sz="8" w:color="auto"/>
            </w:tcBorders>
            <w:gridSpan w:val="2"/>
          </w:tcPr>
          <w:p>
            <w:pPr>
              <w:ind w:left="1800"/>
              <w:spacing w:after="0"/>
              <w:rPr>
                <w:sz w:val="20"/>
                <w:szCs w:val="20"/>
                <w:color w:val="auto"/>
              </w:rPr>
            </w:pPr>
            <w:r>
              <w:rPr>
                <w:rFonts w:ascii="Arial" w:cs="Arial" w:eastAsia="Arial" w:hAnsi="Arial"/>
                <w:sz w:val="17"/>
                <w:szCs w:val="17"/>
                <w:b w:val="1"/>
                <w:bCs w:val="1"/>
                <w:color w:val="auto"/>
              </w:rPr>
              <w:t>August 1, 2020</w:t>
            </w: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b w:val="1"/>
                <w:bCs w:val="1"/>
                <w:color w:val="auto"/>
              </w:rPr>
              <w:t>August 3, 2019</w:t>
            </w: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b w:val="1"/>
                <w:bCs w:val="1"/>
                <w:color w:val="auto"/>
                <w:w w:val="99"/>
              </w:rPr>
              <w:t>February 1, 2020</w:t>
            </w:r>
          </w:p>
        </w:tc>
      </w:tr>
      <w:tr>
        <w:trPr>
          <w:trHeight w:val="183"/>
        </w:trPr>
        <w:tc>
          <w:tcPr>
            <w:tcW w:w="29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Carrying value</w:t>
            </w:r>
          </w:p>
        </w:tc>
        <w:tc>
          <w:tcPr>
            <w:tcW w:w="2280" w:type="dxa"/>
            <w:vAlign w:val="bottom"/>
            <w:shd w:val="clear" w:color="auto" w:fill="CCEEFF"/>
          </w:tcPr>
          <w:p>
            <w:pPr>
              <w:ind w:left="1800"/>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121</w:t>
            </w:r>
          </w:p>
        </w:tc>
        <w:tc>
          <w:tcPr>
            <w:tcW w:w="600" w:type="dxa"/>
            <w:vAlign w:val="bottom"/>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123</w:t>
            </w:r>
          </w:p>
        </w:tc>
        <w:tc>
          <w:tcPr>
            <w:tcW w:w="680" w:type="dxa"/>
            <w:vAlign w:val="bottom"/>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122</w:t>
            </w:r>
          </w:p>
        </w:tc>
      </w:tr>
      <w:tr>
        <w:trPr>
          <w:trHeight w:val="189"/>
        </w:trPr>
        <w:tc>
          <w:tcPr>
            <w:tcW w:w="29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Fair value</w:t>
            </w:r>
          </w:p>
        </w:tc>
        <w:tc>
          <w:tcPr>
            <w:tcW w:w="2280" w:type="dxa"/>
            <w:vAlign w:val="bottom"/>
            <w:tcBorders>
              <w:bottom w:val="single" w:sz="8" w:color="auto"/>
            </w:tcBorders>
          </w:tcPr>
          <w:p>
            <w:pPr>
              <w:ind w:left="1800"/>
              <w:spacing w:after="0" w:line="189"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129</w:t>
            </w:r>
          </w:p>
        </w:tc>
        <w:tc>
          <w:tcPr>
            <w:tcW w:w="600" w:type="dxa"/>
            <w:vAlign w:val="bottom"/>
            <w:tcBorders>
              <w:bottom w:val="single" w:sz="8" w:color="auto"/>
            </w:tcBorders>
          </w:tcPr>
          <w:p>
            <w:pPr>
              <w:ind w:left="120"/>
              <w:spacing w:after="0" w:line="189"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136</w:t>
            </w:r>
          </w:p>
        </w:tc>
        <w:tc>
          <w:tcPr>
            <w:tcW w:w="680" w:type="dxa"/>
            <w:vAlign w:val="bottom"/>
            <w:tcBorders>
              <w:bottom w:val="single" w:sz="8" w:color="auto"/>
            </w:tcBorders>
          </w:tcPr>
          <w:p>
            <w:pPr>
              <w:ind w:left="120"/>
              <w:spacing w:after="0" w:line="189"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135</w:t>
            </w:r>
          </w:p>
        </w:tc>
      </w:tr>
    </w:tbl>
    <w:p>
      <w:pPr>
        <w:spacing w:after="0" w:line="180" w:lineRule="exact"/>
        <w:rPr>
          <w:sz w:val="20"/>
          <w:szCs w:val="20"/>
          <w:color w:val="auto"/>
        </w:rPr>
      </w:pPr>
    </w:p>
    <w:p>
      <w:pPr>
        <w:jc w:val="both"/>
        <w:ind w:left="60" w:right="79"/>
        <w:spacing w:after="0" w:line="276" w:lineRule="auto"/>
        <w:rPr>
          <w:sz w:val="20"/>
          <w:szCs w:val="20"/>
          <w:color w:val="auto"/>
        </w:rPr>
      </w:pPr>
      <w:r>
        <w:rPr>
          <w:rFonts w:ascii="Arial" w:cs="Arial" w:eastAsia="Arial" w:hAnsi="Arial"/>
          <w:sz w:val="18"/>
          <w:szCs w:val="18"/>
          <w:color w:val="auto"/>
        </w:rPr>
        <w:t>The carrying values of cash and cash equivalents, and other current receivables and payables approximate their fair value.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2020 Form 10-Q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92" w:right="1440"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337820</wp:posOffset>
            </wp:positionV>
            <wp:extent cx="1834515" cy="214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Earnings Per Share</w:t>
      </w:r>
    </w:p>
    <w:p>
      <w:pPr>
        <w:spacing w:after="0" w:line="173"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We account for earnings per share (“EPS”) using the treasury stock method. Basic EPS is computed by dividing net income (loss) for the period by the weighted-average number of common shares outstanding at the end of the period. Diluted earnings per share reflects the weighted-average number of common shares outstanding during the period used in the basic EPS computation plus dilutive common stock equivalents. The computation of diluted earnings per share does not assume conversion, exercise, or contingent issuance of securities that would have an anti-dilutive effect on EPS.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computation of basic and diluted EPS is as follows:</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34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7"/>
                <w:szCs w:val="17"/>
                <w:b w:val="1"/>
                <w:bCs w:val="1"/>
                <w:color w:val="auto"/>
              </w:rPr>
              <w:t>Thirteen weeks ended</w:t>
            </w:r>
          </w:p>
        </w:tc>
        <w:tc>
          <w:tcPr>
            <w:tcW w:w="2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7"/>
                <w:szCs w:val="17"/>
                <w:b w:val="1"/>
                <w:bCs w:val="1"/>
                <w:color w:val="auto"/>
              </w:rPr>
              <w:t>Twenty-six weeks ended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jc w:val="right"/>
              <w:ind w:right="135"/>
              <w:spacing w:after="0" w:line="153" w:lineRule="exact"/>
              <w:rPr>
                <w:sz w:val="20"/>
                <w:szCs w:val="20"/>
                <w:color w:val="auto"/>
              </w:rPr>
            </w:pPr>
            <w:r>
              <w:rPr>
                <w:rFonts w:ascii="Arial" w:cs="Arial" w:eastAsia="Arial" w:hAnsi="Arial"/>
                <w:sz w:val="17"/>
                <w:szCs w:val="17"/>
                <w:b w:val="1"/>
                <w:bCs w:val="1"/>
                <w:color w:val="auto"/>
              </w:rPr>
              <w:t>August 1,</w:t>
            </w:r>
          </w:p>
        </w:tc>
        <w:tc>
          <w:tcPr>
            <w:tcW w:w="300" w:type="dxa"/>
            <w:vAlign w:val="bottom"/>
          </w:tcPr>
          <w:p>
            <w:pPr>
              <w:spacing w:after="0"/>
              <w:rPr>
                <w:sz w:val="13"/>
                <w:szCs w:val="13"/>
                <w:color w:val="auto"/>
              </w:rPr>
            </w:pPr>
          </w:p>
        </w:tc>
        <w:tc>
          <w:tcPr>
            <w:tcW w:w="1080" w:type="dxa"/>
            <w:vAlign w:val="bottom"/>
          </w:tcPr>
          <w:p>
            <w:pPr>
              <w:jc w:val="right"/>
              <w:ind w:right="175"/>
              <w:spacing w:after="0" w:line="153" w:lineRule="exact"/>
              <w:rPr>
                <w:sz w:val="20"/>
                <w:szCs w:val="20"/>
                <w:color w:val="auto"/>
              </w:rPr>
            </w:pPr>
            <w:r>
              <w:rPr>
                <w:rFonts w:ascii="Arial" w:cs="Arial" w:eastAsia="Arial" w:hAnsi="Arial"/>
                <w:sz w:val="17"/>
                <w:szCs w:val="17"/>
                <w:b w:val="1"/>
                <w:bCs w:val="1"/>
                <w:color w:val="auto"/>
              </w:rPr>
              <w:t>August 3,</w:t>
            </w:r>
          </w:p>
        </w:tc>
        <w:tc>
          <w:tcPr>
            <w:tcW w:w="260" w:type="dxa"/>
            <w:vAlign w:val="bottom"/>
          </w:tcPr>
          <w:p>
            <w:pPr>
              <w:spacing w:after="0"/>
              <w:rPr>
                <w:sz w:val="13"/>
                <w:szCs w:val="13"/>
                <w:color w:val="auto"/>
              </w:rPr>
            </w:pPr>
          </w:p>
        </w:tc>
        <w:tc>
          <w:tcPr>
            <w:tcW w:w="1140" w:type="dxa"/>
            <w:vAlign w:val="bottom"/>
          </w:tcPr>
          <w:p>
            <w:pPr>
              <w:jc w:val="right"/>
              <w:ind w:right="235"/>
              <w:spacing w:after="0" w:line="153" w:lineRule="exact"/>
              <w:rPr>
                <w:sz w:val="20"/>
                <w:szCs w:val="20"/>
                <w:color w:val="auto"/>
              </w:rPr>
            </w:pPr>
            <w:r>
              <w:rPr>
                <w:rFonts w:ascii="Arial" w:cs="Arial" w:eastAsia="Arial" w:hAnsi="Arial"/>
                <w:sz w:val="17"/>
                <w:szCs w:val="17"/>
                <w:b w:val="1"/>
                <w:bCs w:val="1"/>
                <w:color w:val="auto"/>
              </w:rPr>
              <w:t>August 1,</w:t>
            </w:r>
          </w:p>
        </w:tc>
        <w:tc>
          <w:tcPr>
            <w:tcW w:w="220" w:type="dxa"/>
            <w:vAlign w:val="bottom"/>
          </w:tcPr>
          <w:p>
            <w:pPr>
              <w:spacing w:after="0"/>
              <w:rPr>
                <w:sz w:val="13"/>
                <w:szCs w:val="13"/>
                <w:color w:val="auto"/>
              </w:rPr>
            </w:pPr>
          </w:p>
        </w:tc>
        <w:tc>
          <w:tcPr>
            <w:tcW w:w="1020" w:type="dxa"/>
            <w:vAlign w:val="bottom"/>
          </w:tcPr>
          <w:p>
            <w:pPr>
              <w:jc w:val="right"/>
              <w:ind w:right="115"/>
              <w:spacing w:after="0" w:line="153" w:lineRule="exact"/>
              <w:rPr>
                <w:sz w:val="20"/>
                <w:szCs w:val="20"/>
                <w:color w:val="auto"/>
              </w:rPr>
            </w:pPr>
            <w:r>
              <w:rPr>
                <w:rFonts w:ascii="Arial" w:cs="Arial" w:eastAsia="Arial" w:hAnsi="Arial"/>
                <w:sz w:val="17"/>
                <w:szCs w:val="17"/>
                <w:b w:val="1"/>
                <w:bCs w:val="1"/>
                <w:color w:val="auto"/>
              </w:rPr>
              <w:t>August 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2020</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2019</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2020</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780" w:type="dxa"/>
            <w:vAlign w:val="bottom"/>
            <w:gridSpan w:val="4"/>
          </w:tcPr>
          <w:p>
            <w:pPr>
              <w:jc w:val="right"/>
              <w:spacing w:after="0" w:line="183" w:lineRule="exact"/>
              <w:rPr>
                <w:sz w:val="20"/>
                <w:szCs w:val="20"/>
                <w:color w:val="auto"/>
              </w:rPr>
            </w:pPr>
            <w:r>
              <w:rPr>
                <w:rFonts w:ascii="Arial" w:cs="Arial" w:eastAsia="Arial" w:hAnsi="Arial"/>
                <w:sz w:val="17"/>
                <w:szCs w:val="17"/>
                <w:color w:val="auto"/>
              </w:rPr>
              <w:t>(in millions, except per share data)</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income (loss)</w:t>
            </w:r>
          </w:p>
        </w:tc>
        <w:tc>
          <w:tcPr>
            <w:tcW w:w="3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45</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60</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(65)</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344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Weighted-average common shares</w:t>
            </w:r>
          </w:p>
        </w:tc>
        <w:tc>
          <w:tcPr>
            <w:tcW w:w="3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104.5</w:t>
            </w: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104.4</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outstanding</w:t>
            </w:r>
          </w:p>
        </w:tc>
        <w:tc>
          <w:tcPr>
            <w:tcW w:w="3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110.8</w:t>
            </w:r>
          </w:p>
        </w:tc>
        <w:tc>
          <w:tcPr>
            <w:tcW w:w="2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Dilutive effect of potential common shares</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0.6</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0.3</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40" w:type="dxa"/>
            <w:vAlign w:val="bottom"/>
            <w:shd w:val="clear" w:color="auto" w:fill="CCEEFF"/>
          </w:tcPr>
          <w:p>
            <w:pPr>
              <w:spacing w:after="0" w:line="154" w:lineRule="exact"/>
              <w:rPr>
                <w:sz w:val="20"/>
                <w:szCs w:val="20"/>
                <w:color w:val="auto"/>
              </w:rPr>
            </w:pPr>
            <w:r>
              <w:rPr>
                <w:rFonts w:ascii="Arial" w:cs="Arial" w:eastAsia="Arial" w:hAnsi="Arial"/>
                <w:sz w:val="17"/>
                <w:szCs w:val="17"/>
                <w:color w:val="auto"/>
              </w:rPr>
              <w:t>Weighted-average common shares</w:t>
            </w:r>
          </w:p>
        </w:tc>
        <w:tc>
          <w:tcPr>
            <w:tcW w:w="3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105.1</w:t>
            </w: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104.4</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outstanding assuming dilution</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111.1</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3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Earnings (loss) per share - basic</w:t>
            </w:r>
          </w:p>
        </w:tc>
        <w:tc>
          <w:tcPr>
            <w:tcW w:w="3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0.43</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0.55</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(0.62)</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tcPr>
          <w:p>
            <w:pPr>
              <w:spacing w:after="0" w:line="189" w:lineRule="exact"/>
              <w:rPr>
                <w:sz w:val="20"/>
                <w:szCs w:val="20"/>
                <w:color w:val="auto"/>
              </w:rPr>
            </w:pPr>
            <w:r>
              <w:rPr>
                <w:rFonts w:ascii="Arial" w:cs="Arial" w:eastAsia="Arial" w:hAnsi="Arial"/>
                <w:sz w:val="17"/>
                <w:szCs w:val="17"/>
                <w:color w:val="auto"/>
              </w:rPr>
              <w:t>Earnings (loss) per share - diluted</w:t>
            </w:r>
          </w:p>
        </w:tc>
        <w:tc>
          <w:tcPr>
            <w:tcW w:w="3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0.43</w:t>
            </w:r>
          </w:p>
        </w:tc>
        <w:tc>
          <w:tcPr>
            <w:tcW w:w="3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0.55</w:t>
            </w:r>
          </w:p>
        </w:tc>
        <w:tc>
          <w:tcPr>
            <w:tcW w:w="2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(0.62)</w:t>
            </w:r>
          </w:p>
        </w:tc>
        <w:tc>
          <w:tcPr>
            <w:tcW w:w="2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3440" w:type="dxa"/>
            <w:vAlign w:val="bottom"/>
          </w:tcPr>
          <w:p>
            <w:pPr>
              <w:spacing w:after="0" w:line="161" w:lineRule="exact"/>
              <w:rPr>
                <w:sz w:val="20"/>
                <w:szCs w:val="20"/>
                <w:color w:val="auto"/>
              </w:rPr>
            </w:pPr>
            <w:r>
              <w:rPr>
                <w:rFonts w:ascii="Arial" w:cs="Arial" w:eastAsia="Arial" w:hAnsi="Arial"/>
                <w:sz w:val="17"/>
                <w:szCs w:val="17"/>
                <w:color w:val="auto"/>
              </w:rPr>
              <w:t>Anti-dilutive share-based awards excluded</w:t>
            </w:r>
          </w:p>
        </w:tc>
        <w:tc>
          <w:tcPr>
            <w:tcW w:w="380" w:type="dxa"/>
            <w:vAlign w:val="bottom"/>
          </w:tcPr>
          <w:p>
            <w:pPr>
              <w:spacing w:after="0"/>
              <w:rPr>
                <w:sz w:val="13"/>
                <w:szCs w:val="13"/>
                <w:color w:val="auto"/>
              </w:rPr>
            </w:pPr>
          </w:p>
        </w:tc>
        <w:tc>
          <w:tcPr>
            <w:tcW w:w="104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2.7</w:t>
            </w: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vMerge w:val="restart"/>
          </w:tcPr>
          <w:p>
            <w:pPr>
              <w:jc w:val="right"/>
              <w:ind w:right="95"/>
              <w:spacing w:after="0"/>
              <w:rPr>
                <w:sz w:val="20"/>
                <w:szCs w:val="20"/>
                <w:color w:val="auto"/>
              </w:rPr>
            </w:pPr>
            <w:r>
              <w:rPr>
                <w:rFonts w:ascii="Arial" w:cs="Arial" w:eastAsia="Arial" w:hAnsi="Arial"/>
                <w:sz w:val="17"/>
                <w:szCs w:val="17"/>
                <w:b w:val="1"/>
                <w:bCs w:val="1"/>
                <w:color w:val="auto"/>
              </w:rPr>
              <w:t>2.7</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from diluted calculation</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2.4</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Restricted stock units related to our long-term incentive programs of 0.5 million and 0.7 million have been excluded from diluted weighted-average shares for the periods ended August 1, 2020 and August 3, 2019, respectively. The issuance of these shares are contingent on our performance metrics as compared to the pre-established performance goals, which have not been achieved.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Pension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a defined benefit pension plan covering certain of our North American employees.</w:t>
      </w:r>
    </w:p>
    <w:p>
      <w:pPr>
        <w:spacing w:after="0" w:line="212" w:lineRule="exact"/>
        <w:rPr>
          <w:sz w:val="20"/>
          <w:szCs w:val="20"/>
          <w:color w:val="auto"/>
        </w:rPr>
      </w:pPr>
    </w:p>
    <w:p>
      <w:pPr>
        <w:jc w:val="both"/>
        <w:ind w:left="60" w:right="79"/>
        <w:spacing w:after="0" w:line="276" w:lineRule="auto"/>
        <w:rPr>
          <w:sz w:val="20"/>
          <w:szCs w:val="20"/>
          <w:color w:val="auto"/>
        </w:rPr>
      </w:pPr>
      <w:r>
        <w:rPr>
          <w:rFonts w:ascii="Arial" w:cs="Arial" w:eastAsia="Arial" w:hAnsi="Arial"/>
          <w:sz w:val="18"/>
          <w:szCs w:val="18"/>
          <w:color w:val="auto"/>
        </w:rPr>
        <w:t>The components of net periodic pension benefit cost are presented in the table below. Service cost is recognized as part of SG&amp;A expense, while the other components are recognized as part of Other income, net.</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3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80" w:type="dxa"/>
            <w:vAlign w:val="bottom"/>
            <w:gridSpan w:val="3"/>
          </w:tcPr>
          <w:p>
            <w:pPr>
              <w:jc w:val="right"/>
              <w:ind w:right="175"/>
              <w:spacing w:after="0"/>
              <w:rPr>
                <w:sz w:val="20"/>
                <w:szCs w:val="20"/>
                <w:color w:val="auto"/>
              </w:rPr>
            </w:pPr>
            <w:r>
              <w:rPr>
                <w:rFonts w:ascii="Arial" w:cs="Arial" w:eastAsia="Arial" w:hAnsi="Arial"/>
                <w:sz w:val="17"/>
                <w:szCs w:val="17"/>
                <w:b w:val="1"/>
                <w:bCs w:val="1"/>
                <w:color w:val="auto"/>
              </w:rPr>
              <w:t>Thirteen weeks ended</w:t>
            </w:r>
          </w:p>
        </w:tc>
        <w:tc>
          <w:tcPr>
            <w:tcW w:w="300" w:type="dxa"/>
            <w:vAlign w:val="bottom"/>
          </w:tcPr>
          <w:p>
            <w:pPr>
              <w:spacing w:after="0"/>
              <w:rPr>
                <w:sz w:val="19"/>
                <w:szCs w:val="19"/>
                <w:color w:val="auto"/>
              </w:rPr>
            </w:pPr>
          </w:p>
        </w:tc>
        <w:tc>
          <w:tcPr>
            <w:tcW w:w="2500" w:type="dxa"/>
            <w:vAlign w:val="bottom"/>
            <w:gridSpan w:val="4"/>
          </w:tcPr>
          <w:p>
            <w:pPr>
              <w:ind w:left="160"/>
              <w:spacing w:after="0"/>
              <w:rPr>
                <w:sz w:val="20"/>
                <w:szCs w:val="20"/>
                <w:color w:val="auto"/>
              </w:rPr>
            </w:pPr>
            <w:r>
              <w:rPr>
                <w:rFonts w:ascii="Arial" w:cs="Arial" w:eastAsia="Arial" w:hAnsi="Arial"/>
                <w:sz w:val="17"/>
                <w:szCs w:val="17"/>
                <w:b w:val="1"/>
                <w:bCs w:val="1"/>
                <w:color w:val="auto"/>
              </w:rPr>
              <w:t>Twenty-six weeks ended</w:t>
            </w:r>
          </w:p>
        </w:tc>
      </w:tr>
      <w:tr>
        <w:trPr>
          <w:trHeight w:val="152"/>
        </w:trPr>
        <w:tc>
          <w:tcPr>
            <w:tcW w:w="3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5"/>
              <w:spacing w:after="0" w:line="153" w:lineRule="exact"/>
              <w:rPr>
                <w:sz w:val="20"/>
                <w:szCs w:val="20"/>
                <w:color w:val="auto"/>
              </w:rPr>
            </w:pPr>
            <w:r>
              <w:rPr>
                <w:rFonts w:ascii="Arial" w:cs="Arial" w:eastAsia="Arial" w:hAnsi="Arial"/>
                <w:sz w:val="17"/>
                <w:szCs w:val="17"/>
                <w:b w:val="1"/>
                <w:bCs w:val="1"/>
                <w:color w:val="auto"/>
              </w:rPr>
              <w:t>August 1,</w:t>
            </w: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5"/>
              <w:spacing w:after="0" w:line="153" w:lineRule="exact"/>
              <w:rPr>
                <w:sz w:val="20"/>
                <w:szCs w:val="20"/>
                <w:color w:val="auto"/>
              </w:rPr>
            </w:pPr>
            <w:r>
              <w:rPr>
                <w:rFonts w:ascii="Arial" w:cs="Arial" w:eastAsia="Arial" w:hAnsi="Arial"/>
                <w:sz w:val="17"/>
                <w:szCs w:val="17"/>
                <w:b w:val="1"/>
                <w:bCs w:val="1"/>
                <w:color w:val="auto"/>
              </w:rPr>
              <w:t>August 3,</w:t>
            </w:r>
          </w:p>
        </w:tc>
        <w:tc>
          <w:tcPr>
            <w:tcW w:w="3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75"/>
              <w:spacing w:after="0" w:line="153" w:lineRule="exact"/>
              <w:rPr>
                <w:sz w:val="20"/>
                <w:szCs w:val="20"/>
                <w:color w:val="auto"/>
              </w:rPr>
            </w:pPr>
            <w:r>
              <w:rPr>
                <w:rFonts w:ascii="Arial" w:cs="Arial" w:eastAsia="Arial" w:hAnsi="Arial"/>
                <w:sz w:val="17"/>
                <w:szCs w:val="17"/>
                <w:b w:val="1"/>
                <w:bCs w:val="1"/>
                <w:color w:val="auto"/>
              </w:rPr>
              <w:t>August 1,</w:t>
            </w: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75"/>
              <w:spacing w:after="0" w:line="153" w:lineRule="exact"/>
              <w:rPr>
                <w:sz w:val="20"/>
                <w:szCs w:val="20"/>
                <w:color w:val="auto"/>
              </w:rPr>
            </w:pPr>
            <w:r>
              <w:rPr>
                <w:rFonts w:ascii="Arial" w:cs="Arial" w:eastAsia="Arial" w:hAnsi="Arial"/>
                <w:sz w:val="17"/>
                <w:szCs w:val="17"/>
                <w:b w:val="1"/>
                <w:bCs w:val="1"/>
                <w:color w:val="auto"/>
              </w:rPr>
              <w:t>August 3,</w:t>
            </w:r>
          </w:p>
        </w:tc>
        <w:tc>
          <w:tcPr>
            <w:tcW w:w="20" w:type="dxa"/>
            <w:vAlign w:val="bottom"/>
          </w:tcPr>
          <w:p>
            <w:pPr>
              <w:spacing w:after="0"/>
              <w:rPr>
                <w:sz w:val="13"/>
                <w:szCs w:val="13"/>
                <w:color w:val="auto"/>
              </w:rPr>
            </w:pPr>
          </w:p>
        </w:tc>
      </w:tr>
      <w:tr>
        <w:trPr>
          <w:trHeight w:val="219"/>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9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2020</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2019</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2019</w:t>
            </w:r>
          </w:p>
        </w:tc>
        <w:tc>
          <w:tcPr>
            <w:tcW w:w="20" w:type="dxa"/>
            <w:vAlign w:val="bottom"/>
          </w:tcPr>
          <w:p>
            <w:pPr>
              <w:spacing w:after="0"/>
              <w:rPr>
                <w:sz w:val="19"/>
                <w:szCs w:val="19"/>
                <w:color w:val="auto"/>
              </w:rPr>
            </w:pPr>
          </w:p>
        </w:tc>
      </w:tr>
      <w:tr>
        <w:trPr>
          <w:trHeight w:val="183"/>
        </w:trPr>
        <w:tc>
          <w:tcPr>
            <w:tcW w:w="31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Service cost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5</w:t>
            </w:r>
          </w:p>
        </w:tc>
        <w:tc>
          <w:tcPr>
            <w:tcW w:w="3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7</w:t>
            </w:r>
          </w:p>
        </w:tc>
        <w:tc>
          <w:tcPr>
            <w:tcW w:w="3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w:t>
            </w:r>
          </w:p>
        </w:tc>
        <w:tc>
          <w:tcPr>
            <w:tcW w:w="20" w:type="dxa"/>
            <w:vAlign w:val="bottom"/>
          </w:tcPr>
          <w:p>
            <w:pPr>
              <w:spacing w:after="0"/>
              <w:rPr>
                <w:sz w:val="15"/>
                <w:szCs w:val="15"/>
                <w:color w:val="auto"/>
              </w:rPr>
            </w:pPr>
          </w:p>
        </w:tc>
      </w:tr>
      <w:tr>
        <w:trPr>
          <w:trHeight w:val="189"/>
        </w:trPr>
        <w:tc>
          <w:tcPr>
            <w:tcW w:w="3140" w:type="dxa"/>
            <w:vAlign w:val="bottom"/>
          </w:tcPr>
          <w:p>
            <w:pPr>
              <w:ind w:left="20"/>
              <w:spacing w:after="0" w:line="189" w:lineRule="exact"/>
              <w:rPr>
                <w:sz w:val="20"/>
                <w:szCs w:val="20"/>
                <w:color w:val="auto"/>
              </w:rPr>
            </w:pPr>
            <w:r>
              <w:rPr>
                <w:rFonts w:ascii="Arial" w:cs="Arial" w:eastAsia="Arial" w:hAnsi="Arial"/>
                <w:sz w:val="17"/>
                <w:szCs w:val="17"/>
                <w:color w:val="auto"/>
              </w:rPr>
              <w:t>Interest cost</w:t>
            </w:r>
          </w:p>
        </w:tc>
        <w:tc>
          <w:tcPr>
            <w:tcW w:w="900" w:type="dxa"/>
            <w:vAlign w:val="bottom"/>
          </w:tcPr>
          <w:p>
            <w:pPr>
              <w:spacing w:after="0"/>
              <w:rPr>
                <w:sz w:val="16"/>
                <w:szCs w:val="16"/>
                <w:color w:val="auto"/>
              </w:rPr>
            </w:pPr>
          </w:p>
        </w:tc>
        <w:tc>
          <w:tcPr>
            <w:tcW w:w="9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6</w:t>
            </w:r>
          </w:p>
        </w:tc>
        <w:tc>
          <w:tcPr>
            <w:tcW w:w="240" w:type="dxa"/>
            <w:vAlign w:val="bottom"/>
          </w:tcPr>
          <w:p>
            <w:pPr>
              <w:spacing w:after="0"/>
              <w:rPr>
                <w:sz w:val="16"/>
                <w:szCs w:val="16"/>
                <w:color w:val="auto"/>
              </w:rPr>
            </w:pPr>
          </w:p>
        </w:tc>
        <w:tc>
          <w:tcPr>
            <w:tcW w:w="9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6</w:t>
            </w:r>
          </w:p>
        </w:tc>
        <w:tc>
          <w:tcPr>
            <w:tcW w:w="300" w:type="dxa"/>
            <w:vAlign w:val="bottom"/>
          </w:tcPr>
          <w:p>
            <w:pPr>
              <w:spacing w:after="0"/>
              <w:rPr>
                <w:sz w:val="16"/>
                <w:szCs w:val="16"/>
                <w:color w:val="auto"/>
              </w:rPr>
            </w:pPr>
          </w:p>
        </w:tc>
        <w:tc>
          <w:tcPr>
            <w:tcW w:w="11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11</w:t>
            </w:r>
          </w:p>
        </w:tc>
        <w:tc>
          <w:tcPr>
            <w:tcW w:w="3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13</w:t>
            </w:r>
          </w:p>
        </w:tc>
        <w:tc>
          <w:tcPr>
            <w:tcW w:w="20" w:type="dxa"/>
            <w:vAlign w:val="bottom"/>
          </w:tcPr>
          <w:p>
            <w:pPr>
              <w:spacing w:after="0"/>
              <w:rPr>
                <w:sz w:val="16"/>
                <w:szCs w:val="16"/>
                <w:color w:val="auto"/>
              </w:rPr>
            </w:pPr>
          </w:p>
        </w:tc>
      </w:tr>
      <w:tr>
        <w:trPr>
          <w:trHeight w:val="189"/>
        </w:trPr>
        <w:tc>
          <w:tcPr>
            <w:tcW w:w="31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Expected return on plan assets</w:t>
            </w:r>
          </w:p>
        </w:tc>
        <w:tc>
          <w:tcPr>
            <w:tcW w:w="9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(10)</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(9)</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(19)</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w:t>
            </w:r>
          </w:p>
        </w:tc>
        <w:tc>
          <w:tcPr>
            <w:tcW w:w="20" w:type="dxa"/>
            <w:vAlign w:val="bottom"/>
          </w:tcPr>
          <w:p>
            <w:pPr>
              <w:spacing w:after="0"/>
              <w:rPr>
                <w:sz w:val="16"/>
                <w:szCs w:val="16"/>
                <w:color w:val="auto"/>
              </w:rPr>
            </w:pPr>
          </w:p>
        </w:tc>
      </w:tr>
      <w:tr>
        <w:trPr>
          <w:trHeight w:val="189"/>
        </w:trPr>
        <w:tc>
          <w:tcPr>
            <w:tcW w:w="31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Amortization of net loss</w:t>
            </w:r>
          </w:p>
        </w:tc>
        <w:tc>
          <w:tcPr>
            <w:tcW w:w="9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3</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6</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w:t>
            </w:r>
          </w:p>
        </w:tc>
        <w:tc>
          <w:tcPr>
            <w:tcW w:w="20" w:type="dxa"/>
            <w:vAlign w:val="bottom"/>
          </w:tcPr>
          <w:p>
            <w:pPr>
              <w:spacing w:after="0"/>
              <w:rPr>
                <w:sz w:val="16"/>
                <w:szCs w:val="16"/>
                <w:color w:val="auto"/>
              </w:rPr>
            </w:pPr>
          </w:p>
        </w:tc>
      </w:tr>
      <w:tr>
        <w:trPr>
          <w:trHeight w:val="183"/>
        </w:trPr>
        <w:tc>
          <w:tcPr>
            <w:tcW w:w="314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Net benefit expense</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5</w:t>
            </w:r>
          </w:p>
        </w:tc>
        <w:tc>
          <w:tcPr>
            <w:tcW w:w="3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5</w:t>
            </w:r>
          </w:p>
        </w:tc>
        <w:tc>
          <w:tcPr>
            <w:tcW w:w="3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w:t>
            </w:r>
          </w:p>
        </w:tc>
        <w:tc>
          <w:tcPr>
            <w:tcW w:w="20" w:type="dxa"/>
            <w:vAlign w:val="bottom"/>
          </w:tcPr>
          <w:p>
            <w:pPr>
              <w:spacing w:after="0"/>
              <w:rPr>
                <w:sz w:val="15"/>
                <w:szCs w:val="15"/>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Second Quarter 2020 Form 10-Q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361950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992" w:right="1440"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337820</wp:posOffset>
            </wp:positionV>
            <wp:extent cx="1834515" cy="214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Share-Based Compensation</w:t>
      </w:r>
    </w:p>
    <w:p>
      <w:pPr>
        <w:spacing w:after="0" w:line="173" w:lineRule="exact"/>
        <w:rPr>
          <w:sz w:val="20"/>
          <w:szCs w:val="20"/>
          <w:color w:val="auto"/>
        </w:rPr>
      </w:pPr>
    </w:p>
    <w:p>
      <w:pPr>
        <w:jc w:val="both"/>
        <w:ind w:left="60" w:right="79"/>
        <w:spacing w:after="0" w:line="276" w:lineRule="auto"/>
        <w:rPr>
          <w:sz w:val="20"/>
          <w:szCs w:val="20"/>
          <w:color w:val="auto"/>
        </w:rPr>
      </w:pPr>
      <w:r>
        <w:rPr>
          <w:rFonts w:ascii="Arial" w:cs="Arial" w:eastAsia="Arial" w:hAnsi="Arial"/>
          <w:sz w:val="18"/>
          <w:szCs w:val="18"/>
          <w:color w:val="auto"/>
        </w:rPr>
        <w:t>Total compensation expense, included in SG&amp;A, and the associated tax benefits recognized related to our share-based compensation plans, were as follows:</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3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rPr>
              <w:t>Thirteen weeks ended</w:t>
            </w:r>
          </w:p>
        </w:tc>
        <w:tc>
          <w:tcPr>
            <w:tcW w:w="3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Twenty-six weeks ended</w:t>
            </w:r>
          </w:p>
        </w:tc>
        <w:tc>
          <w:tcPr>
            <w:tcW w:w="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4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 in millions)</w:t>
            </w:r>
          </w:p>
        </w:tc>
        <w:tc>
          <w:tcPr>
            <w:tcW w:w="1420" w:type="dxa"/>
            <w:vAlign w:val="bottom"/>
            <w:tcBorders>
              <w:bottom w:val="single" w:sz="8" w:color="auto"/>
            </w:tcBorders>
            <w:gridSpan w:val="2"/>
          </w:tcPr>
          <w:p>
            <w:pPr>
              <w:ind w:left="160"/>
              <w:spacing w:after="0" w:line="183" w:lineRule="exact"/>
              <w:rPr>
                <w:sz w:val="20"/>
                <w:szCs w:val="20"/>
                <w:color w:val="auto"/>
              </w:rPr>
            </w:pPr>
            <w:r>
              <w:rPr>
                <w:rFonts w:ascii="Arial" w:cs="Arial" w:eastAsia="Arial" w:hAnsi="Arial"/>
                <w:sz w:val="17"/>
                <w:szCs w:val="17"/>
                <w:b w:val="1"/>
                <w:bCs w:val="1"/>
                <w:color w:val="auto"/>
              </w:rPr>
              <w:t>August 1, 2020</w:t>
            </w:r>
          </w:p>
        </w:tc>
        <w:tc>
          <w:tcPr>
            <w:tcW w:w="1380" w:type="dxa"/>
            <w:vAlign w:val="bottom"/>
            <w:tcBorders>
              <w:bottom w:val="single" w:sz="8" w:color="auto"/>
            </w:tcBorders>
            <w:gridSpan w:val="2"/>
          </w:tcPr>
          <w:p>
            <w:pPr>
              <w:ind w:left="100"/>
              <w:spacing w:after="0" w:line="183" w:lineRule="exact"/>
              <w:rPr>
                <w:sz w:val="20"/>
                <w:szCs w:val="20"/>
                <w:color w:val="auto"/>
              </w:rPr>
            </w:pPr>
            <w:r>
              <w:rPr>
                <w:rFonts w:ascii="Arial" w:cs="Arial" w:eastAsia="Arial" w:hAnsi="Arial"/>
                <w:sz w:val="17"/>
                <w:szCs w:val="17"/>
                <w:b w:val="1"/>
                <w:bCs w:val="1"/>
                <w:color w:val="auto"/>
              </w:rPr>
              <w:t>August 3, 2019</w:t>
            </w:r>
          </w:p>
        </w:tc>
        <w:tc>
          <w:tcPr>
            <w:tcW w:w="1360" w:type="dxa"/>
            <w:vAlign w:val="bottom"/>
            <w:tcBorders>
              <w:bottom w:val="single" w:sz="8" w:color="auto"/>
            </w:tcBorders>
            <w:gridSpan w:val="2"/>
          </w:tcPr>
          <w:p>
            <w:pPr>
              <w:ind w:left="80"/>
              <w:spacing w:after="0" w:line="183" w:lineRule="exact"/>
              <w:rPr>
                <w:sz w:val="20"/>
                <w:szCs w:val="20"/>
                <w:color w:val="auto"/>
              </w:rPr>
            </w:pPr>
            <w:r>
              <w:rPr>
                <w:rFonts w:ascii="Arial" w:cs="Arial" w:eastAsia="Arial" w:hAnsi="Arial"/>
                <w:sz w:val="17"/>
                <w:szCs w:val="17"/>
                <w:b w:val="1"/>
                <w:bCs w:val="1"/>
                <w:color w:val="auto"/>
              </w:rPr>
              <w:t>August 1, 2020</w:t>
            </w:r>
          </w:p>
        </w:tc>
        <w:tc>
          <w:tcPr>
            <w:tcW w:w="134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7"/>
                <w:szCs w:val="17"/>
                <w:b w:val="1"/>
                <w:bCs w:val="1"/>
                <w:color w:val="auto"/>
              </w:rPr>
              <w:t>August 3, 2019</w:t>
            </w:r>
          </w:p>
        </w:tc>
        <w:tc>
          <w:tcPr>
            <w:tcW w:w="0" w:type="dxa"/>
            <w:vAlign w:val="bottom"/>
          </w:tcPr>
          <w:p>
            <w:pPr>
              <w:spacing w:after="0"/>
              <w:rPr>
                <w:sz w:val="1"/>
                <w:szCs w:val="1"/>
                <w:color w:val="auto"/>
              </w:rPr>
            </w:pPr>
          </w:p>
        </w:tc>
      </w:tr>
      <w:tr>
        <w:trPr>
          <w:trHeight w:val="154"/>
        </w:trPr>
        <w:tc>
          <w:tcPr>
            <w:tcW w:w="340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Options and shares purchased under stock</w:t>
            </w:r>
          </w:p>
        </w:tc>
        <w:tc>
          <w:tcPr>
            <w:tcW w:w="400" w:type="dxa"/>
            <w:vAlign w:val="bottom"/>
            <w:vMerge w:val="restart"/>
            <w:shd w:val="clear" w:color="auto" w:fill="CCEEFF"/>
          </w:tcPr>
          <w:p>
            <w:pPr>
              <w:ind w:left="140"/>
              <w:spacing w:after="0"/>
              <w:rPr>
                <w:sz w:val="20"/>
                <w:szCs w:val="20"/>
                <w:color w:val="auto"/>
              </w:rPr>
            </w:pPr>
            <w:r>
              <w:rPr>
                <w:rFonts w:ascii="Arial" w:cs="Arial" w:eastAsia="Arial" w:hAnsi="Arial"/>
                <w:sz w:val="17"/>
                <w:szCs w:val="17"/>
                <w:b w:val="1"/>
                <w:bCs w:val="1"/>
                <w:color w:val="auto"/>
              </w:rPr>
              <w:t>$</w:t>
            </w:r>
          </w:p>
        </w:tc>
        <w:tc>
          <w:tcPr>
            <w:tcW w:w="10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w:t>
            </w:r>
          </w:p>
        </w:tc>
        <w:tc>
          <w:tcPr>
            <w:tcW w:w="10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108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w:t>
            </w:r>
          </w:p>
        </w:tc>
        <w:tc>
          <w:tcPr>
            <w:tcW w:w="10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purchase plan</w:t>
            </w:r>
          </w:p>
        </w:tc>
        <w:tc>
          <w:tcPr>
            <w:tcW w:w="4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w:t>
            </w:r>
          </w:p>
        </w:tc>
        <w:tc>
          <w:tcPr>
            <w:tcW w:w="28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60" w:type="dxa"/>
            <w:vAlign w:val="bottom"/>
            <w:shd w:val="clear" w:color="auto" w:fill="CCEEFF"/>
          </w:tcPr>
          <w:p>
            <w:pPr>
              <w:jc w:val="right"/>
              <w:ind w:right="79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9"/>
        </w:trPr>
        <w:tc>
          <w:tcPr>
            <w:tcW w:w="34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Restricted stock units</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2</w:t>
            </w:r>
          </w:p>
        </w:tc>
        <w:tc>
          <w:tcPr>
            <w:tcW w:w="10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4</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3</w:t>
            </w:r>
          </w:p>
        </w:tc>
        <w:tc>
          <w:tcPr>
            <w:tcW w:w="10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3"/>
        </w:trPr>
        <w:tc>
          <w:tcPr>
            <w:tcW w:w="340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share-based compensation expense</w:t>
            </w:r>
          </w:p>
        </w:tc>
        <w:tc>
          <w:tcPr>
            <w:tcW w:w="400" w:type="dxa"/>
            <w:vAlign w:val="bottom"/>
            <w:tcBorders>
              <w:bottom w:val="single" w:sz="8" w:color="auto"/>
            </w:tcBorders>
            <w:shd w:val="clear" w:color="auto" w:fill="CCEEFF"/>
          </w:tcPr>
          <w:p>
            <w:pPr>
              <w:ind w:left="140"/>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4</w:t>
            </w:r>
          </w:p>
        </w:tc>
        <w:tc>
          <w:tcPr>
            <w:tcW w:w="1000" w:type="dxa"/>
            <w:vAlign w:val="bottom"/>
            <w:tcBorders>
              <w:bottom w:val="single" w:sz="8" w:color="auto"/>
            </w:tcBorders>
            <w:shd w:val="clear" w:color="auto" w:fill="CCEEFF"/>
          </w:tcPr>
          <w:p>
            <w:pPr>
              <w:ind w:left="80"/>
              <w:spacing w:after="0" w:line="183"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6</w:t>
            </w:r>
          </w:p>
        </w:tc>
        <w:tc>
          <w:tcPr>
            <w:tcW w:w="280" w:type="dxa"/>
            <w:vAlign w:val="bottom"/>
            <w:tcBorders>
              <w:bottom w:val="single" w:sz="8" w:color="auto"/>
            </w:tcBorders>
            <w:shd w:val="clear" w:color="auto" w:fill="CCEEFF"/>
          </w:tcPr>
          <w:p>
            <w:pPr>
              <w:ind w:left="60"/>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7</w:t>
            </w:r>
          </w:p>
        </w:tc>
        <w:tc>
          <w:tcPr>
            <w:tcW w:w="1060" w:type="dxa"/>
            <w:vAlign w:val="bottom"/>
            <w:tcBorders>
              <w:bottom w:val="single" w:sz="8" w:color="auto"/>
            </w:tcBorders>
            <w:shd w:val="clear" w:color="auto" w:fill="CCEEFF"/>
          </w:tcPr>
          <w:p>
            <w:pPr>
              <w:jc w:val="right"/>
              <w:ind w:right="795"/>
              <w:spacing w:after="0" w:line="183"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0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Tax benefit recognized</w:t>
            </w:r>
          </w:p>
        </w:tc>
        <w:tc>
          <w:tcPr>
            <w:tcW w:w="400" w:type="dxa"/>
            <w:vAlign w:val="bottom"/>
            <w:tcBorders>
              <w:bottom w:val="single" w:sz="8" w:color="auto"/>
            </w:tcBorders>
            <w:shd w:val="clear" w:color="auto" w:fill="CCEEFF"/>
          </w:tcPr>
          <w:p>
            <w:pPr>
              <w:ind w:left="140"/>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w:t>
            </w:r>
          </w:p>
        </w:tc>
        <w:tc>
          <w:tcPr>
            <w:tcW w:w="1000" w:type="dxa"/>
            <w:vAlign w:val="bottom"/>
            <w:tcBorders>
              <w:bottom w:val="single" w:sz="8" w:color="auto"/>
            </w:tcBorders>
            <w:shd w:val="clear" w:color="auto" w:fill="CCEEFF"/>
          </w:tcPr>
          <w:p>
            <w:pPr>
              <w:ind w:left="80"/>
              <w:spacing w:after="0" w:line="189"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ind w:left="60"/>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w:t>
            </w:r>
          </w:p>
        </w:tc>
        <w:tc>
          <w:tcPr>
            <w:tcW w:w="1060" w:type="dxa"/>
            <w:vAlign w:val="bottom"/>
            <w:tcBorders>
              <w:bottom w:val="single" w:sz="8" w:color="auto"/>
            </w:tcBorders>
            <w:shd w:val="clear" w:color="auto" w:fill="CCEEFF"/>
          </w:tcPr>
          <w:p>
            <w:pPr>
              <w:jc w:val="right"/>
              <w:ind w:right="795"/>
              <w:spacing w:after="0" w:line="189"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Valuation Model and Assumptions</w:t>
      </w:r>
    </w:p>
    <w:p>
      <w:pPr>
        <w:spacing w:after="0" w:line="183"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use the Black-Scholes option-pricing model to estimate the fair value of share-based awards. The Black-Scholes option-pricing model incorporates various and subjective assumptions, including expected term and expected volatility.</w:t>
      </w:r>
    </w:p>
    <w:p>
      <w:pPr>
        <w:spacing w:after="0" w:line="164" w:lineRule="exact"/>
        <w:rPr>
          <w:sz w:val="20"/>
          <w:szCs w:val="20"/>
          <w:color w:val="auto"/>
        </w:rPr>
      </w:pPr>
    </w:p>
    <w:p>
      <w:pPr>
        <w:jc w:val="both"/>
        <w:ind w:left="60" w:right="79"/>
        <w:spacing w:after="0" w:line="276" w:lineRule="auto"/>
        <w:rPr>
          <w:sz w:val="20"/>
          <w:szCs w:val="20"/>
          <w:color w:val="auto"/>
        </w:rPr>
      </w:pPr>
      <w:r>
        <w:rPr>
          <w:rFonts w:ascii="Arial" w:cs="Arial" w:eastAsia="Arial" w:hAnsi="Arial"/>
          <w:sz w:val="18"/>
          <w:szCs w:val="18"/>
          <w:color w:val="auto"/>
        </w:rPr>
        <w:t>The following table shows assumptions used to compute share-based compensation expense for awards granted during the twenty-six weeks ended August 1, 2020 and August 3, 2019:</w:t>
      </w:r>
    </w:p>
    <w:p>
      <w:pPr>
        <w:spacing w:after="0" w:line="111"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2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7"/>
                <w:szCs w:val="17"/>
                <w:b w:val="1"/>
                <w:bCs w:val="1"/>
                <w:color w:val="auto"/>
              </w:rPr>
              <w:t>Stock Option Plans</w:t>
            </w:r>
          </w:p>
        </w:tc>
        <w:tc>
          <w:tcPr>
            <w:tcW w:w="2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3"/>
          </w:tcPr>
          <w:p>
            <w:pPr>
              <w:jc w:val="right"/>
              <w:ind w:right="635"/>
              <w:spacing w:after="0"/>
              <w:rPr>
                <w:sz w:val="20"/>
                <w:szCs w:val="20"/>
                <w:color w:val="auto"/>
              </w:rPr>
            </w:pPr>
            <w:r>
              <w:rPr>
                <w:rFonts w:ascii="Arial" w:cs="Arial" w:eastAsia="Arial" w:hAnsi="Arial"/>
                <w:sz w:val="17"/>
                <w:szCs w:val="17"/>
                <w:b w:val="1"/>
                <w:bCs w:val="1"/>
                <w:color w:val="auto"/>
              </w:rPr>
              <w:t>Stock Purchase Plan</w:t>
            </w:r>
          </w:p>
        </w:tc>
        <w:tc>
          <w:tcPr>
            <w:tcW w:w="0" w:type="dxa"/>
            <w:vAlign w:val="bottom"/>
          </w:tcPr>
          <w:p>
            <w:pPr>
              <w:spacing w:after="0"/>
              <w:rPr>
                <w:sz w:val="1"/>
                <w:szCs w:val="1"/>
                <w:color w:val="auto"/>
              </w:rPr>
            </w:pPr>
          </w:p>
        </w:tc>
      </w:tr>
      <w:tr>
        <w:trPr>
          <w:trHeight w:val="152"/>
        </w:trPr>
        <w:tc>
          <w:tcPr>
            <w:tcW w:w="2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jc w:val="right"/>
              <w:ind w:right="335"/>
              <w:spacing w:after="0" w:line="153" w:lineRule="exact"/>
              <w:rPr>
                <w:sz w:val="20"/>
                <w:szCs w:val="20"/>
                <w:color w:val="auto"/>
              </w:rPr>
            </w:pPr>
            <w:r>
              <w:rPr>
                <w:rFonts w:ascii="Arial" w:cs="Arial" w:eastAsia="Arial" w:hAnsi="Arial"/>
                <w:sz w:val="17"/>
                <w:szCs w:val="17"/>
                <w:b w:val="1"/>
                <w:bCs w:val="1"/>
                <w:color w:val="auto"/>
              </w:rPr>
              <w:t>August 1,</w:t>
            </w:r>
          </w:p>
        </w:tc>
        <w:tc>
          <w:tcPr>
            <w:tcW w:w="220" w:type="dxa"/>
            <w:vAlign w:val="bottom"/>
          </w:tcPr>
          <w:p>
            <w:pPr>
              <w:spacing w:after="0"/>
              <w:rPr>
                <w:sz w:val="13"/>
                <w:szCs w:val="13"/>
                <w:color w:val="auto"/>
              </w:rPr>
            </w:pPr>
          </w:p>
        </w:tc>
        <w:tc>
          <w:tcPr>
            <w:tcW w:w="1280" w:type="dxa"/>
            <w:vAlign w:val="bottom"/>
          </w:tcPr>
          <w:p>
            <w:pPr>
              <w:jc w:val="right"/>
              <w:ind w:right="355"/>
              <w:spacing w:after="0" w:line="153" w:lineRule="exact"/>
              <w:rPr>
                <w:sz w:val="20"/>
                <w:szCs w:val="20"/>
                <w:color w:val="auto"/>
              </w:rPr>
            </w:pPr>
            <w:r>
              <w:rPr>
                <w:rFonts w:ascii="Arial" w:cs="Arial" w:eastAsia="Arial" w:hAnsi="Arial"/>
                <w:sz w:val="17"/>
                <w:szCs w:val="17"/>
                <w:b w:val="1"/>
                <w:bCs w:val="1"/>
                <w:color w:val="auto"/>
              </w:rPr>
              <w:t>August 3,</w:t>
            </w:r>
          </w:p>
        </w:tc>
        <w:tc>
          <w:tcPr>
            <w:tcW w:w="220" w:type="dxa"/>
            <w:vAlign w:val="bottom"/>
          </w:tcPr>
          <w:p>
            <w:pPr>
              <w:spacing w:after="0"/>
              <w:rPr>
                <w:sz w:val="13"/>
                <w:szCs w:val="13"/>
                <w:color w:val="auto"/>
              </w:rPr>
            </w:pPr>
          </w:p>
        </w:tc>
        <w:tc>
          <w:tcPr>
            <w:tcW w:w="1280" w:type="dxa"/>
            <w:vAlign w:val="bottom"/>
          </w:tcPr>
          <w:p>
            <w:pPr>
              <w:jc w:val="right"/>
              <w:ind w:right="355"/>
              <w:spacing w:after="0" w:line="153" w:lineRule="exact"/>
              <w:rPr>
                <w:sz w:val="20"/>
                <w:szCs w:val="20"/>
                <w:color w:val="auto"/>
              </w:rPr>
            </w:pPr>
            <w:r>
              <w:rPr>
                <w:rFonts w:ascii="Arial" w:cs="Arial" w:eastAsia="Arial" w:hAnsi="Arial"/>
                <w:sz w:val="17"/>
                <w:szCs w:val="17"/>
                <w:b w:val="1"/>
                <w:bCs w:val="1"/>
                <w:color w:val="auto"/>
              </w:rPr>
              <w:t>August 1,</w:t>
            </w:r>
          </w:p>
        </w:tc>
        <w:tc>
          <w:tcPr>
            <w:tcW w:w="220" w:type="dxa"/>
            <w:vAlign w:val="bottom"/>
          </w:tcPr>
          <w:p>
            <w:pPr>
              <w:spacing w:after="0"/>
              <w:rPr>
                <w:sz w:val="13"/>
                <w:szCs w:val="13"/>
                <w:color w:val="auto"/>
              </w:rPr>
            </w:pPr>
          </w:p>
        </w:tc>
        <w:tc>
          <w:tcPr>
            <w:tcW w:w="1380" w:type="dxa"/>
            <w:vAlign w:val="bottom"/>
          </w:tcPr>
          <w:p>
            <w:pPr>
              <w:jc w:val="right"/>
              <w:ind w:right="435"/>
              <w:spacing w:after="0" w:line="153" w:lineRule="exact"/>
              <w:rPr>
                <w:sz w:val="20"/>
                <w:szCs w:val="20"/>
                <w:color w:val="auto"/>
              </w:rPr>
            </w:pPr>
            <w:r>
              <w:rPr>
                <w:rFonts w:ascii="Arial" w:cs="Arial" w:eastAsia="Arial" w:hAnsi="Arial"/>
                <w:sz w:val="17"/>
                <w:szCs w:val="17"/>
                <w:b w:val="1"/>
                <w:bCs w:val="1"/>
                <w:color w:val="auto"/>
              </w:rPr>
              <w:t>August 3,</w:t>
            </w:r>
          </w:p>
        </w:tc>
        <w:tc>
          <w:tcPr>
            <w:tcW w:w="0" w:type="dxa"/>
            <w:vAlign w:val="bottom"/>
          </w:tcPr>
          <w:p>
            <w:pPr>
              <w:spacing w:after="0"/>
              <w:rPr>
                <w:sz w:val="1"/>
                <w:szCs w:val="1"/>
                <w:color w:val="auto"/>
              </w:rPr>
            </w:pPr>
          </w:p>
        </w:tc>
      </w:tr>
      <w:tr>
        <w:trPr>
          <w:trHeight w:val="219"/>
        </w:trPr>
        <w:tc>
          <w:tcPr>
            <w:tcW w:w="2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2020</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2020</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54"/>
        </w:trPr>
        <w:tc>
          <w:tcPr>
            <w:tcW w:w="2760" w:type="dxa"/>
            <w:vAlign w:val="bottom"/>
            <w:shd w:val="clear" w:color="auto" w:fill="CCEEFF"/>
          </w:tcPr>
          <w:p>
            <w:pPr>
              <w:spacing w:after="0" w:line="154" w:lineRule="exact"/>
              <w:rPr>
                <w:sz w:val="20"/>
                <w:szCs w:val="20"/>
                <w:color w:val="auto"/>
              </w:rPr>
            </w:pPr>
            <w:r>
              <w:rPr>
                <w:rFonts w:ascii="Arial" w:cs="Arial" w:eastAsia="Arial" w:hAnsi="Arial"/>
                <w:sz w:val="17"/>
                <w:szCs w:val="17"/>
                <w:color w:val="auto"/>
              </w:rPr>
              <w:t>Weighted-average risk free rate of</w:t>
            </w:r>
          </w:p>
        </w:tc>
        <w:tc>
          <w:tcPr>
            <w:tcW w:w="2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0.6 %</w:t>
            </w:r>
          </w:p>
        </w:tc>
        <w:tc>
          <w:tcPr>
            <w:tcW w:w="2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color w:val="auto"/>
              </w:rPr>
              <w:t>%</w:t>
            </w:r>
          </w:p>
        </w:tc>
        <w:tc>
          <w:tcPr>
            <w:tcW w:w="2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2.0 %</w:t>
            </w:r>
          </w:p>
        </w:tc>
        <w:tc>
          <w:tcPr>
            <w:tcW w:w="22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w:t>
            </w:r>
          </w:p>
        </w:tc>
        <w:tc>
          <w:tcPr>
            <w:tcW w:w="2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60" w:type="dxa"/>
            <w:vAlign w:val="bottom"/>
          </w:tcPr>
          <w:p>
            <w:pPr>
              <w:spacing w:after="0" w:line="189" w:lineRule="exact"/>
              <w:rPr>
                <w:sz w:val="20"/>
                <w:szCs w:val="20"/>
                <w:color w:val="auto"/>
              </w:rPr>
            </w:pPr>
            <w:r>
              <w:rPr>
                <w:rFonts w:ascii="Arial" w:cs="Arial" w:eastAsia="Arial" w:hAnsi="Arial"/>
                <w:sz w:val="17"/>
                <w:szCs w:val="17"/>
                <w:color w:val="auto"/>
              </w:rPr>
              <w:t>Expected volatility</w:t>
            </w:r>
          </w:p>
        </w:tc>
        <w:tc>
          <w:tcPr>
            <w:tcW w:w="28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42 %</w:t>
            </w:r>
          </w:p>
        </w:tc>
        <w:tc>
          <w:tcPr>
            <w:tcW w:w="2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b w:val="1"/>
                <w:bCs w:val="1"/>
                <w:color w:val="auto"/>
              </w:rPr>
              <w:t>%</w:t>
            </w:r>
          </w:p>
        </w:tc>
        <w:tc>
          <w:tcPr>
            <w:tcW w:w="2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48 %</w:t>
            </w:r>
          </w:p>
        </w:tc>
        <w:tc>
          <w:tcPr>
            <w:tcW w:w="220" w:type="dxa"/>
            <w:vAlign w:val="bottom"/>
          </w:tcPr>
          <w:p>
            <w:pPr>
              <w:spacing w:after="0"/>
              <w:rPr>
                <w:sz w:val="16"/>
                <w:szCs w:val="16"/>
                <w:color w:val="auto"/>
              </w:rPr>
            </w:pPr>
          </w:p>
        </w:tc>
        <w:tc>
          <w:tcPr>
            <w:tcW w:w="13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61"/>
        </w:trPr>
        <w:tc>
          <w:tcPr>
            <w:tcW w:w="276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Weighted-average expected award</w:t>
            </w:r>
          </w:p>
        </w:tc>
        <w:tc>
          <w:tcPr>
            <w:tcW w:w="2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5.5</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1.0</w:t>
            </w:r>
          </w:p>
        </w:tc>
        <w:tc>
          <w:tcPr>
            <w:tcW w:w="2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life (in years)</w:t>
            </w:r>
          </w:p>
        </w:tc>
        <w:tc>
          <w:tcPr>
            <w:tcW w:w="2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5.5</w:t>
            </w:r>
          </w:p>
        </w:tc>
        <w:tc>
          <w:tcPr>
            <w:tcW w:w="2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9"/>
        </w:trPr>
        <w:tc>
          <w:tcPr>
            <w:tcW w:w="2760" w:type="dxa"/>
            <w:vAlign w:val="bottom"/>
          </w:tcPr>
          <w:p>
            <w:pPr>
              <w:spacing w:after="0" w:line="189" w:lineRule="exact"/>
              <w:rPr>
                <w:sz w:val="20"/>
                <w:szCs w:val="20"/>
                <w:color w:val="auto"/>
              </w:rPr>
            </w:pPr>
            <w:r>
              <w:rPr>
                <w:rFonts w:ascii="Arial" w:cs="Arial" w:eastAsia="Arial" w:hAnsi="Arial"/>
                <w:sz w:val="17"/>
                <w:szCs w:val="17"/>
                <w:color w:val="auto"/>
              </w:rPr>
              <w:t>Dividend yield</w:t>
            </w:r>
          </w:p>
        </w:tc>
        <w:tc>
          <w:tcPr>
            <w:tcW w:w="28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4.9 %</w:t>
            </w:r>
          </w:p>
        </w:tc>
        <w:tc>
          <w:tcPr>
            <w:tcW w:w="2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b w:val="1"/>
                <w:bCs w:val="1"/>
                <w:color w:val="auto"/>
              </w:rPr>
              <w:t>%</w:t>
            </w:r>
          </w:p>
        </w:tc>
        <w:tc>
          <w:tcPr>
            <w:tcW w:w="2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4.0 %</w:t>
            </w:r>
          </w:p>
        </w:tc>
        <w:tc>
          <w:tcPr>
            <w:tcW w:w="220" w:type="dxa"/>
            <w:vAlign w:val="bottom"/>
          </w:tcPr>
          <w:p>
            <w:pPr>
              <w:spacing w:after="0"/>
              <w:rPr>
                <w:sz w:val="16"/>
                <w:szCs w:val="16"/>
                <w:color w:val="auto"/>
              </w:rPr>
            </w:pPr>
          </w:p>
        </w:tc>
        <w:tc>
          <w:tcPr>
            <w:tcW w:w="13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9"/>
        </w:trPr>
        <w:tc>
          <w:tcPr>
            <w:tcW w:w="27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Weighted-average fair value</w:t>
            </w:r>
          </w:p>
        </w:tc>
        <w:tc>
          <w:tcPr>
            <w:tcW w:w="2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5.03</w:t>
            </w:r>
          </w:p>
        </w:tc>
        <w:tc>
          <w:tcPr>
            <w:tcW w:w="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17.19</w:t>
            </w:r>
          </w:p>
        </w:tc>
        <w:tc>
          <w:tcPr>
            <w:tcW w:w="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15.03</w:t>
            </w:r>
          </w:p>
        </w:tc>
        <w:tc>
          <w:tcPr>
            <w:tcW w:w="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ind w:right="255"/>
              <w:spacing w:after="0" w:line="189" w:lineRule="exact"/>
              <w:rPr>
                <w:sz w:val="20"/>
                <w:szCs w:val="20"/>
                <w:color w:val="auto"/>
              </w:rPr>
            </w:pPr>
            <w:r>
              <w:rPr>
                <w:rFonts w:ascii="Arial" w:cs="Arial" w:eastAsia="Arial" w:hAnsi="Arial"/>
                <w:sz w:val="17"/>
                <w:szCs w:val="17"/>
                <w:color w:val="auto"/>
              </w:rPr>
              <w:t>20.33</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60" w:right="79"/>
        <w:spacing w:after="0" w:line="276" w:lineRule="auto"/>
        <w:rPr>
          <w:sz w:val="20"/>
          <w:szCs w:val="20"/>
          <w:color w:val="auto"/>
        </w:rPr>
      </w:pPr>
      <w:r>
        <w:rPr>
          <w:rFonts w:ascii="Arial" w:cs="Arial" w:eastAsia="Arial" w:hAnsi="Arial"/>
          <w:sz w:val="18"/>
          <w:szCs w:val="18"/>
          <w:color w:val="auto"/>
        </w:rPr>
        <w:t>The information in the following table covers option activity under our stock option plans for the twenty-six weeks ended August 1, 2020:</w:t>
      </w:r>
    </w:p>
    <w:p>
      <w:pPr>
        <w:spacing w:after="0" w:line="104"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860" w:type="dxa"/>
            <w:vAlign w:val="bottom"/>
          </w:tcPr>
          <w:p>
            <w:pPr>
              <w:spacing w:after="0"/>
              <w:rPr>
                <w:sz w:val="16"/>
                <w:szCs w:val="16"/>
                <w:color w:val="auto"/>
              </w:rPr>
            </w:pPr>
          </w:p>
        </w:tc>
        <w:tc>
          <w:tcPr>
            <w:tcW w:w="1600" w:type="dxa"/>
            <w:vAlign w:val="bottom"/>
            <w:vMerge w:val="restart"/>
          </w:tcPr>
          <w:p>
            <w:pPr>
              <w:jc w:val="center"/>
              <w:ind w:right="455"/>
              <w:spacing w:after="0"/>
              <w:rPr>
                <w:sz w:val="20"/>
                <w:szCs w:val="20"/>
                <w:color w:val="auto"/>
              </w:rPr>
            </w:pPr>
            <w:r>
              <w:rPr>
                <w:rFonts w:ascii="Arial" w:cs="Arial" w:eastAsia="Arial" w:hAnsi="Arial"/>
                <w:sz w:val="17"/>
                <w:szCs w:val="17"/>
                <w:b w:val="1"/>
                <w:bCs w:val="1"/>
                <w:color w:val="auto"/>
              </w:rPr>
              <w:t>Number</w:t>
            </w:r>
          </w:p>
        </w:tc>
        <w:tc>
          <w:tcPr>
            <w:tcW w:w="1860" w:type="dxa"/>
            <w:vAlign w:val="bottom"/>
          </w:tcPr>
          <w:p>
            <w:pPr>
              <w:jc w:val="center"/>
              <w:ind w:right="115"/>
              <w:spacing w:after="0"/>
              <w:rPr>
                <w:sz w:val="20"/>
                <w:szCs w:val="20"/>
                <w:color w:val="auto"/>
              </w:rPr>
            </w:pPr>
            <w:r>
              <w:rPr>
                <w:rFonts w:ascii="Arial" w:cs="Arial" w:eastAsia="Arial" w:hAnsi="Arial"/>
                <w:sz w:val="17"/>
                <w:szCs w:val="17"/>
                <w:b w:val="1"/>
                <w:bCs w:val="1"/>
                <w:color w:val="auto"/>
                <w:w w:val="99"/>
              </w:rPr>
              <w:t>Weighted-</w:t>
            </w:r>
          </w:p>
        </w:tc>
        <w:tc>
          <w:tcPr>
            <w:tcW w:w="500" w:type="dxa"/>
            <w:vAlign w:val="bottom"/>
          </w:tcPr>
          <w:p>
            <w:pPr>
              <w:spacing w:after="0"/>
              <w:rPr>
                <w:sz w:val="16"/>
                <w:szCs w:val="16"/>
                <w:color w:val="auto"/>
              </w:rPr>
            </w:pPr>
          </w:p>
        </w:tc>
        <w:tc>
          <w:tcPr>
            <w:tcW w:w="1080" w:type="dxa"/>
            <w:vAlign w:val="bottom"/>
          </w:tcPr>
          <w:p>
            <w:pPr>
              <w:jc w:val="center"/>
              <w:ind w:right="55"/>
              <w:spacing w:after="0"/>
              <w:rPr>
                <w:sz w:val="20"/>
                <w:szCs w:val="20"/>
                <w:color w:val="auto"/>
              </w:rPr>
            </w:pPr>
            <w:r>
              <w:rPr>
                <w:rFonts w:ascii="Arial" w:cs="Arial" w:eastAsia="Arial" w:hAnsi="Arial"/>
                <w:sz w:val="17"/>
                <w:szCs w:val="17"/>
                <w:b w:val="1"/>
                <w:bCs w:val="1"/>
                <w:color w:val="auto"/>
                <w:w w:val="99"/>
              </w:rPr>
              <w:t>Weighted-</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186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w w:val="98"/>
              </w:rPr>
              <w:t>Average</w:t>
            </w:r>
          </w:p>
        </w:tc>
        <w:tc>
          <w:tcPr>
            <w:tcW w:w="500" w:type="dxa"/>
            <w:vAlign w:val="bottom"/>
          </w:tcPr>
          <w:p>
            <w:pPr>
              <w:spacing w:after="0"/>
              <w:rPr>
                <w:sz w:val="16"/>
                <w:szCs w:val="16"/>
                <w:color w:val="auto"/>
              </w:rPr>
            </w:pPr>
          </w:p>
        </w:tc>
        <w:tc>
          <w:tcPr>
            <w:tcW w:w="108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w w:val="98"/>
              </w:rPr>
              <w:t>Average</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600" w:type="dxa"/>
            <w:vAlign w:val="bottom"/>
          </w:tcPr>
          <w:p>
            <w:pPr>
              <w:jc w:val="center"/>
              <w:ind w:right="455"/>
              <w:spacing w:after="0" w:line="189" w:lineRule="exact"/>
              <w:rPr>
                <w:sz w:val="20"/>
                <w:szCs w:val="20"/>
                <w:color w:val="auto"/>
              </w:rPr>
            </w:pPr>
            <w:r>
              <w:rPr>
                <w:rFonts w:ascii="Arial" w:cs="Arial" w:eastAsia="Arial" w:hAnsi="Arial"/>
                <w:sz w:val="17"/>
                <w:szCs w:val="17"/>
                <w:b w:val="1"/>
                <w:bCs w:val="1"/>
                <w:color w:val="auto"/>
              </w:rPr>
              <w:t>of</w:t>
            </w:r>
          </w:p>
        </w:tc>
        <w:tc>
          <w:tcPr>
            <w:tcW w:w="186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w w:val="98"/>
              </w:rPr>
              <w:t>Remaining</w:t>
            </w:r>
          </w:p>
        </w:tc>
        <w:tc>
          <w:tcPr>
            <w:tcW w:w="500" w:type="dxa"/>
            <w:vAlign w:val="bottom"/>
          </w:tcPr>
          <w:p>
            <w:pPr>
              <w:spacing w:after="0"/>
              <w:rPr>
                <w:sz w:val="16"/>
                <w:szCs w:val="16"/>
                <w:color w:val="auto"/>
              </w:rPr>
            </w:pPr>
          </w:p>
        </w:tc>
        <w:tc>
          <w:tcPr>
            <w:tcW w:w="108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rPr>
              <w:t>Exercise</w:t>
            </w:r>
          </w:p>
        </w:tc>
        <w:tc>
          <w:tcPr>
            <w:tcW w:w="0" w:type="dxa"/>
            <w:vAlign w:val="bottom"/>
          </w:tcPr>
          <w:p>
            <w:pPr>
              <w:spacing w:after="0"/>
              <w:rPr>
                <w:sz w:val="1"/>
                <w:szCs w:val="1"/>
                <w:color w:val="auto"/>
              </w:rPr>
            </w:pPr>
          </w:p>
        </w:tc>
      </w:tr>
      <w:tr>
        <w:trPr>
          <w:trHeight w:val="219"/>
        </w:trPr>
        <w:tc>
          <w:tcPr>
            <w:tcW w:w="38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455"/>
              <w:spacing w:after="0"/>
              <w:rPr>
                <w:sz w:val="20"/>
                <w:szCs w:val="20"/>
                <w:color w:val="auto"/>
              </w:rPr>
            </w:pPr>
            <w:r>
              <w:rPr>
                <w:rFonts w:ascii="Arial" w:cs="Arial" w:eastAsia="Arial" w:hAnsi="Arial"/>
                <w:sz w:val="17"/>
                <w:szCs w:val="17"/>
                <w:b w:val="1"/>
                <w:bCs w:val="1"/>
                <w:color w:val="auto"/>
              </w:rPr>
              <w:t>Shares</w:t>
            </w:r>
          </w:p>
        </w:tc>
        <w:tc>
          <w:tcPr>
            <w:tcW w:w="186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rPr>
              <w:t>Contractual Life</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rPr>
              <w:t>Price</w:t>
            </w:r>
          </w:p>
        </w:tc>
        <w:tc>
          <w:tcPr>
            <w:tcW w:w="0" w:type="dxa"/>
            <w:vAlign w:val="bottom"/>
          </w:tcPr>
          <w:p>
            <w:pPr>
              <w:spacing w:after="0"/>
              <w:rPr>
                <w:sz w:val="1"/>
                <w:szCs w:val="1"/>
                <w:color w:val="auto"/>
              </w:rPr>
            </w:pPr>
          </w:p>
        </w:tc>
      </w:tr>
      <w:tr>
        <w:trPr>
          <w:trHeight w:val="183"/>
        </w:trPr>
        <w:tc>
          <w:tcPr>
            <w:tcW w:w="3860" w:type="dxa"/>
            <w:vAlign w:val="bottom"/>
          </w:tcPr>
          <w:p>
            <w:pPr>
              <w:spacing w:after="0"/>
              <w:rPr>
                <w:sz w:val="15"/>
                <w:szCs w:val="15"/>
                <w:color w:val="auto"/>
              </w:rPr>
            </w:pPr>
          </w:p>
        </w:tc>
        <w:tc>
          <w:tcPr>
            <w:tcW w:w="1600" w:type="dxa"/>
            <w:vAlign w:val="bottom"/>
          </w:tcPr>
          <w:p>
            <w:pPr>
              <w:jc w:val="right"/>
              <w:ind w:right="75"/>
              <w:spacing w:after="0" w:line="183" w:lineRule="exact"/>
              <w:rPr>
                <w:sz w:val="20"/>
                <w:szCs w:val="20"/>
                <w:color w:val="auto"/>
              </w:rPr>
            </w:pPr>
            <w:r>
              <w:rPr>
                <w:rFonts w:ascii="Arial" w:cs="Arial" w:eastAsia="Arial" w:hAnsi="Arial"/>
                <w:sz w:val="17"/>
                <w:szCs w:val="17"/>
                <w:color w:val="auto"/>
              </w:rPr>
              <w:t>(in thousands)</w:t>
            </w:r>
          </w:p>
        </w:tc>
        <w:tc>
          <w:tcPr>
            <w:tcW w:w="1860" w:type="dxa"/>
            <w:vAlign w:val="bottom"/>
          </w:tcPr>
          <w:p>
            <w:pPr>
              <w:jc w:val="center"/>
              <w:ind w:right="115"/>
              <w:spacing w:after="0" w:line="183" w:lineRule="exact"/>
              <w:rPr>
                <w:sz w:val="20"/>
                <w:szCs w:val="20"/>
                <w:color w:val="auto"/>
              </w:rPr>
            </w:pPr>
            <w:r>
              <w:rPr>
                <w:rFonts w:ascii="Arial" w:cs="Arial" w:eastAsia="Arial" w:hAnsi="Arial"/>
                <w:sz w:val="17"/>
                <w:szCs w:val="17"/>
                <w:color w:val="auto"/>
                <w:w w:val="98"/>
              </w:rPr>
              <w:t>(in years)</w:t>
            </w:r>
          </w:p>
        </w:tc>
        <w:tc>
          <w:tcPr>
            <w:tcW w:w="500" w:type="dxa"/>
            <w:vAlign w:val="bottom"/>
          </w:tcPr>
          <w:p>
            <w:pPr>
              <w:spacing w:after="0"/>
              <w:rPr>
                <w:sz w:val="15"/>
                <w:szCs w:val="15"/>
                <w:color w:val="auto"/>
              </w:rPr>
            </w:pPr>
          </w:p>
        </w:tc>
        <w:tc>
          <w:tcPr>
            <w:tcW w:w="1080" w:type="dxa"/>
            <w:vAlign w:val="bottom"/>
          </w:tcPr>
          <w:p>
            <w:pPr>
              <w:jc w:val="center"/>
              <w:ind w:right="55"/>
              <w:spacing w:after="0" w:line="183" w:lineRule="exact"/>
              <w:rPr>
                <w:sz w:val="20"/>
                <w:szCs w:val="20"/>
                <w:color w:val="auto"/>
              </w:rPr>
            </w:pPr>
            <w:r>
              <w:rPr>
                <w:rFonts w:ascii="Arial" w:cs="Arial" w:eastAsia="Arial" w:hAnsi="Arial"/>
                <w:sz w:val="17"/>
                <w:szCs w:val="17"/>
                <w:color w:val="auto"/>
                <w:w w:val="98"/>
              </w:rPr>
              <w:t>(per share)</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outstanding at the beginning of the year</w:t>
            </w:r>
          </w:p>
        </w:tc>
        <w:tc>
          <w:tcPr>
            <w:tcW w:w="1600" w:type="dxa"/>
            <w:vAlign w:val="bottom"/>
            <w:shd w:val="clear" w:color="auto" w:fill="CCEEFF"/>
          </w:tcPr>
          <w:p>
            <w:pPr>
              <w:jc w:val="right"/>
              <w:ind w:right="555"/>
              <w:spacing w:after="0" w:line="189" w:lineRule="exact"/>
              <w:rPr>
                <w:sz w:val="20"/>
                <w:szCs w:val="20"/>
                <w:color w:val="auto"/>
              </w:rPr>
            </w:pPr>
            <w:r>
              <w:rPr>
                <w:rFonts w:ascii="Arial" w:cs="Arial" w:eastAsia="Arial" w:hAnsi="Arial"/>
                <w:sz w:val="17"/>
                <w:szCs w:val="17"/>
                <w:color w:val="auto"/>
              </w:rPr>
              <w:t>2,881</w:t>
            </w:r>
          </w:p>
        </w:tc>
        <w:tc>
          <w:tcPr>
            <w:tcW w:w="18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54.21</w:t>
            </w:r>
          </w:p>
        </w:tc>
        <w:tc>
          <w:tcPr>
            <w:tcW w:w="0" w:type="dxa"/>
            <w:vAlign w:val="bottom"/>
          </w:tcPr>
          <w:p>
            <w:pPr>
              <w:spacing w:after="0"/>
              <w:rPr>
                <w:sz w:val="1"/>
                <w:szCs w:val="1"/>
                <w:color w:val="auto"/>
              </w:rPr>
            </w:pPr>
          </w:p>
        </w:tc>
      </w:tr>
      <w:tr>
        <w:trPr>
          <w:trHeight w:val="189"/>
        </w:trPr>
        <w:tc>
          <w:tcPr>
            <w:tcW w:w="386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1600" w:type="dxa"/>
            <w:vAlign w:val="bottom"/>
          </w:tcPr>
          <w:p>
            <w:pPr>
              <w:jc w:val="right"/>
              <w:ind w:right="555"/>
              <w:spacing w:after="0" w:line="189" w:lineRule="exact"/>
              <w:rPr>
                <w:sz w:val="20"/>
                <w:szCs w:val="20"/>
                <w:color w:val="auto"/>
              </w:rPr>
            </w:pPr>
            <w:r>
              <w:rPr>
                <w:rFonts w:ascii="Arial" w:cs="Arial" w:eastAsia="Arial" w:hAnsi="Arial"/>
                <w:sz w:val="17"/>
                <w:szCs w:val="17"/>
                <w:color w:val="auto"/>
              </w:rPr>
              <w:t>1,069</w:t>
            </w:r>
          </w:p>
        </w:tc>
        <w:tc>
          <w:tcPr>
            <w:tcW w:w="1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21.61</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Exercised</w:t>
            </w:r>
          </w:p>
        </w:tc>
        <w:tc>
          <w:tcPr>
            <w:tcW w:w="1600" w:type="dxa"/>
            <w:vAlign w:val="bottom"/>
            <w:shd w:val="clear" w:color="auto" w:fill="CCEEFF"/>
          </w:tcPr>
          <w:p>
            <w:pPr>
              <w:jc w:val="right"/>
              <w:ind w:right="495"/>
              <w:spacing w:after="0" w:line="189" w:lineRule="exact"/>
              <w:rPr>
                <w:sz w:val="20"/>
                <w:szCs w:val="20"/>
                <w:color w:val="auto"/>
              </w:rPr>
            </w:pPr>
            <w:r>
              <w:rPr>
                <w:rFonts w:ascii="Arial" w:cs="Arial" w:eastAsia="Arial" w:hAnsi="Arial"/>
                <w:sz w:val="17"/>
                <w:szCs w:val="17"/>
                <w:color w:val="auto"/>
              </w:rPr>
              <w:t>(4)</w:t>
            </w:r>
          </w:p>
        </w:tc>
        <w:tc>
          <w:tcPr>
            <w:tcW w:w="1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15.10</w:t>
            </w:r>
          </w:p>
        </w:tc>
        <w:tc>
          <w:tcPr>
            <w:tcW w:w="0" w:type="dxa"/>
            <w:vAlign w:val="bottom"/>
          </w:tcPr>
          <w:p>
            <w:pPr>
              <w:spacing w:after="0"/>
              <w:rPr>
                <w:sz w:val="1"/>
                <w:szCs w:val="1"/>
                <w:color w:val="auto"/>
              </w:rPr>
            </w:pPr>
          </w:p>
        </w:tc>
      </w:tr>
      <w:tr>
        <w:trPr>
          <w:trHeight w:val="189"/>
        </w:trPr>
        <w:tc>
          <w:tcPr>
            <w:tcW w:w="38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Expired or cancelled</w:t>
            </w:r>
          </w:p>
        </w:tc>
        <w:tc>
          <w:tcPr>
            <w:tcW w:w="1600" w:type="dxa"/>
            <w:vAlign w:val="bottom"/>
            <w:tcBorders>
              <w:bottom w:val="single" w:sz="8" w:color="auto"/>
            </w:tcBorders>
          </w:tcPr>
          <w:p>
            <w:pPr>
              <w:jc w:val="right"/>
              <w:ind w:right="495"/>
              <w:spacing w:after="0" w:line="189" w:lineRule="exact"/>
              <w:rPr>
                <w:sz w:val="20"/>
                <w:szCs w:val="20"/>
                <w:color w:val="auto"/>
              </w:rPr>
            </w:pPr>
            <w:r>
              <w:rPr>
                <w:rFonts w:ascii="Arial" w:cs="Arial" w:eastAsia="Arial" w:hAnsi="Arial"/>
                <w:sz w:val="17"/>
                <w:szCs w:val="17"/>
                <w:color w:val="auto"/>
              </w:rPr>
              <w:t>(57)</w:t>
            </w:r>
          </w:p>
        </w:tc>
        <w:tc>
          <w:tcPr>
            <w:tcW w:w="1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48.53</w:t>
            </w:r>
          </w:p>
        </w:tc>
        <w:tc>
          <w:tcPr>
            <w:tcW w:w="0" w:type="dxa"/>
            <w:vAlign w:val="bottom"/>
          </w:tcPr>
          <w:p>
            <w:pPr>
              <w:spacing w:after="0"/>
              <w:rPr>
                <w:sz w:val="1"/>
                <w:szCs w:val="1"/>
                <w:color w:val="auto"/>
              </w:rPr>
            </w:pPr>
          </w:p>
        </w:tc>
      </w:tr>
      <w:tr>
        <w:trPr>
          <w:trHeight w:val="183"/>
        </w:trPr>
        <w:tc>
          <w:tcPr>
            <w:tcW w:w="38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Options outstanding at August 1, 2020</w:t>
            </w:r>
          </w:p>
        </w:tc>
        <w:tc>
          <w:tcPr>
            <w:tcW w:w="1600" w:type="dxa"/>
            <w:vAlign w:val="bottom"/>
            <w:tcBorders>
              <w:bottom w:val="single" w:sz="8" w:color="auto"/>
            </w:tcBorders>
            <w:shd w:val="clear" w:color="auto" w:fill="CCEEFF"/>
          </w:tcPr>
          <w:p>
            <w:pPr>
              <w:jc w:val="right"/>
              <w:ind w:right="555"/>
              <w:spacing w:after="0" w:line="183" w:lineRule="exact"/>
              <w:rPr>
                <w:sz w:val="20"/>
                <w:szCs w:val="20"/>
                <w:color w:val="auto"/>
              </w:rPr>
            </w:pPr>
            <w:r>
              <w:rPr>
                <w:rFonts w:ascii="Arial" w:cs="Arial" w:eastAsia="Arial" w:hAnsi="Arial"/>
                <w:sz w:val="17"/>
                <w:szCs w:val="17"/>
                <w:color w:val="auto"/>
              </w:rPr>
              <w:t>3,889</w:t>
            </w:r>
          </w:p>
        </w:tc>
        <w:tc>
          <w:tcPr>
            <w:tcW w:w="1860" w:type="dxa"/>
            <w:vAlign w:val="bottom"/>
            <w:tcBorders>
              <w:bottom w:val="single" w:sz="8" w:color="auto"/>
            </w:tcBorders>
            <w:shd w:val="clear" w:color="auto" w:fill="CCEEFF"/>
          </w:tcPr>
          <w:p>
            <w:pPr>
              <w:jc w:val="right"/>
              <w:ind w:right="335"/>
              <w:spacing w:after="0" w:line="183" w:lineRule="exact"/>
              <w:rPr>
                <w:sz w:val="20"/>
                <w:szCs w:val="20"/>
                <w:color w:val="auto"/>
              </w:rPr>
            </w:pPr>
            <w:r>
              <w:rPr>
                <w:rFonts w:ascii="Arial" w:cs="Arial" w:eastAsia="Arial" w:hAnsi="Arial"/>
                <w:sz w:val="17"/>
                <w:szCs w:val="17"/>
                <w:color w:val="auto"/>
              </w:rPr>
              <w:t>6.4</w:t>
            </w:r>
          </w:p>
        </w:tc>
        <w:tc>
          <w:tcPr>
            <w:tcW w:w="5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45.37</w:t>
            </w:r>
          </w:p>
        </w:tc>
        <w:tc>
          <w:tcPr>
            <w:tcW w:w="0" w:type="dxa"/>
            <w:vAlign w:val="bottom"/>
          </w:tcPr>
          <w:p>
            <w:pPr>
              <w:spacing w:after="0"/>
              <w:rPr>
                <w:sz w:val="1"/>
                <w:szCs w:val="1"/>
                <w:color w:val="auto"/>
              </w:rPr>
            </w:pP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60" w:type="dxa"/>
            <w:vAlign w:val="bottom"/>
            <w:tcBorders>
              <w:bottom w:val="single" w:sz="8" w:color="auto"/>
            </w:tcBorders>
          </w:tcPr>
          <w:p>
            <w:pPr>
              <w:spacing w:after="0" w:line="170" w:lineRule="exact"/>
              <w:rPr>
                <w:sz w:val="20"/>
                <w:szCs w:val="20"/>
                <w:color w:val="auto"/>
              </w:rPr>
            </w:pPr>
            <w:r>
              <w:rPr>
                <w:rFonts w:ascii="Arial" w:cs="Arial" w:eastAsia="Arial" w:hAnsi="Arial"/>
                <w:sz w:val="17"/>
                <w:szCs w:val="17"/>
                <w:color w:val="auto"/>
              </w:rPr>
              <w:t>Options exercisable at August 1, 2020</w:t>
            </w:r>
          </w:p>
        </w:tc>
        <w:tc>
          <w:tcPr>
            <w:tcW w:w="1600" w:type="dxa"/>
            <w:vAlign w:val="bottom"/>
            <w:tcBorders>
              <w:bottom w:val="single" w:sz="8" w:color="auto"/>
            </w:tcBorders>
          </w:tcPr>
          <w:p>
            <w:pPr>
              <w:jc w:val="right"/>
              <w:ind w:right="555"/>
              <w:spacing w:after="0" w:line="170" w:lineRule="exact"/>
              <w:rPr>
                <w:sz w:val="20"/>
                <w:szCs w:val="20"/>
                <w:color w:val="auto"/>
              </w:rPr>
            </w:pPr>
            <w:r>
              <w:rPr>
                <w:rFonts w:ascii="Arial" w:cs="Arial" w:eastAsia="Arial" w:hAnsi="Arial"/>
                <w:sz w:val="17"/>
                <w:szCs w:val="17"/>
                <w:color w:val="auto"/>
              </w:rPr>
              <w:t>2,473</w:t>
            </w:r>
          </w:p>
        </w:tc>
        <w:tc>
          <w:tcPr>
            <w:tcW w:w="1860" w:type="dxa"/>
            <w:vAlign w:val="bottom"/>
            <w:tcBorders>
              <w:bottom w:val="single" w:sz="8" w:color="auto"/>
            </w:tcBorders>
          </w:tcPr>
          <w:p>
            <w:pPr>
              <w:jc w:val="right"/>
              <w:ind w:right="335"/>
              <w:spacing w:after="0" w:line="170" w:lineRule="exact"/>
              <w:rPr>
                <w:sz w:val="20"/>
                <w:szCs w:val="20"/>
                <w:color w:val="auto"/>
              </w:rPr>
            </w:pPr>
            <w:r>
              <w:rPr>
                <w:rFonts w:ascii="Arial" w:cs="Arial" w:eastAsia="Arial" w:hAnsi="Arial"/>
                <w:sz w:val="17"/>
                <w:szCs w:val="17"/>
                <w:color w:val="auto"/>
              </w:rPr>
              <w:t>4.8</w:t>
            </w:r>
          </w:p>
        </w:tc>
        <w:tc>
          <w:tcPr>
            <w:tcW w:w="5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54.67</w:t>
            </w:r>
          </w:p>
        </w:tc>
        <w:tc>
          <w:tcPr>
            <w:tcW w:w="0" w:type="dxa"/>
            <w:vAlign w:val="bottom"/>
          </w:tcPr>
          <w:p>
            <w:pPr>
              <w:spacing w:after="0"/>
              <w:rPr>
                <w:sz w:val="1"/>
                <w:szCs w:val="1"/>
                <w:color w:val="auto"/>
              </w:rPr>
            </w:pPr>
          </w:p>
        </w:tc>
      </w:tr>
      <w:tr>
        <w:trPr>
          <w:trHeight w:val="154"/>
        </w:trPr>
        <w:tc>
          <w:tcPr>
            <w:tcW w:w="3860" w:type="dxa"/>
            <w:vAlign w:val="bottom"/>
            <w:shd w:val="clear" w:color="auto" w:fill="CCEEFF"/>
          </w:tcPr>
          <w:p>
            <w:pPr>
              <w:spacing w:after="0" w:line="154" w:lineRule="exact"/>
              <w:rPr>
                <w:sz w:val="20"/>
                <w:szCs w:val="20"/>
                <w:color w:val="auto"/>
              </w:rPr>
            </w:pPr>
            <w:r>
              <w:rPr>
                <w:rFonts w:ascii="Arial" w:cs="Arial" w:eastAsia="Arial" w:hAnsi="Arial"/>
                <w:sz w:val="17"/>
                <w:szCs w:val="17"/>
                <w:color w:val="auto"/>
              </w:rPr>
              <w:t>Options available for future grant at</w:t>
            </w:r>
          </w:p>
        </w:tc>
        <w:tc>
          <w:tcPr>
            <w:tcW w:w="160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August 1, 2020</w:t>
            </w:r>
          </w:p>
        </w:tc>
        <w:tc>
          <w:tcPr>
            <w:tcW w:w="1600" w:type="dxa"/>
            <w:vAlign w:val="bottom"/>
            <w:shd w:val="clear" w:color="auto" w:fill="CCEEFF"/>
          </w:tcPr>
          <w:p>
            <w:pPr>
              <w:jc w:val="right"/>
              <w:ind w:right="555"/>
              <w:spacing w:after="0"/>
              <w:rPr>
                <w:sz w:val="20"/>
                <w:szCs w:val="20"/>
                <w:color w:val="auto"/>
              </w:rPr>
            </w:pPr>
            <w:r>
              <w:rPr>
                <w:rFonts w:ascii="Arial" w:cs="Arial" w:eastAsia="Arial" w:hAnsi="Arial"/>
                <w:sz w:val="17"/>
                <w:szCs w:val="17"/>
                <w:color w:val="auto"/>
              </w:rPr>
              <w:t>5,655</w:t>
            </w:r>
          </w:p>
        </w:tc>
        <w:tc>
          <w:tcPr>
            <w:tcW w:w="1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2020 Form 10-Q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992" w:right="1440"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337820</wp:posOffset>
            </wp:positionV>
            <wp:extent cx="1834515" cy="21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w:t>
      </w:r>
    </w:p>
    <w:p>
      <w:pPr>
        <w:spacing w:after="0" w:line="33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total fair value of options vested during the thirteen weeks ended August 1, 2020 and August 3, 2019 was $5 million and $6 million, respectively. The cash received and related tax benefits realized from option exercises during the thirteen and twenty-six weeks ended August 1, 2020 was not significant.</w:t>
      </w:r>
    </w:p>
    <w:p>
      <w:pPr>
        <w:spacing w:after="0" w:line="123" w:lineRule="exact"/>
        <w:rPr>
          <w:sz w:val="20"/>
          <w:szCs w:val="20"/>
          <w:color w:val="auto"/>
        </w:rPr>
      </w:pPr>
    </w:p>
    <w:p>
      <w:pPr>
        <w:jc w:val="both"/>
        <w:ind w:left="60" w:right="59"/>
        <w:spacing w:after="0" w:line="276" w:lineRule="auto"/>
        <w:rPr>
          <w:sz w:val="20"/>
          <w:szCs w:val="20"/>
          <w:color w:val="auto"/>
        </w:rPr>
      </w:pPr>
      <w:r>
        <w:rPr>
          <w:rFonts w:ascii="Arial" w:cs="Arial" w:eastAsia="Arial" w:hAnsi="Arial"/>
          <w:sz w:val="18"/>
          <w:szCs w:val="18"/>
          <w:color w:val="auto"/>
        </w:rPr>
        <w:t>The total intrinsic value of options exercised (the difference between the market price of our common stock on the exercise date and the price paid by the optionee to exercise the option) is presented below:</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2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rPr>
              <w:t>Thirteen weeks ended</w:t>
            </w:r>
          </w:p>
        </w:tc>
        <w:tc>
          <w:tcPr>
            <w:tcW w:w="3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b w:val="1"/>
                <w:bCs w:val="1"/>
                <w:color w:val="auto"/>
              </w:rPr>
              <w:t>Twenty-six weeks ended</w:t>
            </w:r>
          </w:p>
        </w:tc>
        <w:tc>
          <w:tcPr>
            <w:tcW w:w="240" w:type="dxa"/>
            <w:vAlign w:val="bottom"/>
            <w:tcBorders>
              <w:bottom w:val="single" w:sz="8" w:color="auto"/>
            </w:tcBorders>
          </w:tcPr>
          <w:p>
            <w:pPr>
              <w:spacing w:after="0"/>
              <w:rPr>
                <w:sz w:val="19"/>
                <w:szCs w:val="19"/>
                <w:color w:val="auto"/>
              </w:rPr>
            </w:pPr>
          </w:p>
        </w:tc>
      </w:tr>
      <w:tr>
        <w:trPr>
          <w:trHeight w:val="183"/>
        </w:trPr>
        <w:tc>
          <w:tcPr>
            <w:tcW w:w="228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 in millions)</w:t>
            </w:r>
          </w:p>
        </w:tc>
        <w:tc>
          <w:tcPr>
            <w:tcW w:w="2540" w:type="dxa"/>
            <w:vAlign w:val="bottom"/>
            <w:tcBorders>
              <w:bottom w:val="single" w:sz="8" w:color="auto"/>
            </w:tcBorders>
            <w:gridSpan w:val="2"/>
          </w:tcPr>
          <w:p>
            <w:pPr>
              <w:ind w:left="1280"/>
              <w:spacing w:after="0" w:line="183" w:lineRule="exact"/>
              <w:rPr>
                <w:sz w:val="20"/>
                <w:szCs w:val="20"/>
                <w:color w:val="auto"/>
              </w:rPr>
            </w:pPr>
            <w:r>
              <w:rPr>
                <w:rFonts w:ascii="Arial" w:cs="Arial" w:eastAsia="Arial" w:hAnsi="Arial"/>
                <w:sz w:val="17"/>
                <w:szCs w:val="17"/>
                <w:b w:val="1"/>
                <w:bCs w:val="1"/>
                <w:color w:val="auto"/>
              </w:rPr>
              <w:t>August 1, 2020</w:t>
            </w:r>
          </w:p>
        </w:tc>
        <w:tc>
          <w:tcPr>
            <w:tcW w:w="1380" w:type="dxa"/>
            <w:vAlign w:val="bottom"/>
            <w:tcBorders>
              <w:bottom w:val="single" w:sz="8" w:color="auto"/>
            </w:tcBorders>
            <w:gridSpan w:val="2"/>
          </w:tcPr>
          <w:p>
            <w:pPr>
              <w:ind w:left="100"/>
              <w:spacing w:after="0" w:line="183" w:lineRule="exact"/>
              <w:rPr>
                <w:sz w:val="20"/>
                <w:szCs w:val="20"/>
                <w:color w:val="auto"/>
              </w:rPr>
            </w:pPr>
            <w:r>
              <w:rPr>
                <w:rFonts w:ascii="Arial" w:cs="Arial" w:eastAsia="Arial" w:hAnsi="Arial"/>
                <w:sz w:val="17"/>
                <w:szCs w:val="17"/>
                <w:b w:val="1"/>
                <w:bCs w:val="1"/>
                <w:color w:val="auto"/>
              </w:rPr>
              <w:t>August 3, 2019</w:t>
            </w:r>
          </w:p>
        </w:tc>
        <w:tc>
          <w:tcPr>
            <w:tcW w:w="1360" w:type="dxa"/>
            <w:vAlign w:val="bottom"/>
            <w:tcBorders>
              <w:bottom w:val="single" w:sz="8" w:color="auto"/>
            </w:tcBorders>
            <w:gridSpan w:val="2"/>
          </w:tcPr>
          <w:p>
            <w:pPr>
              <w:ind w:left="80"/>
              <w:spacing w:after="0" w:line="183" w:lineRule="exact"/>
              <w:rPr>
                <w:sz w:val="20"/>
                <w:szCs w:val="20"/>
                <w:color w:val="auto"/>
              </w:rPr>
            </w:pPr>
            <w:r>
              <w:rPr>
                <w:rFonts w:ascii="Arial" w:cs="Arial" w:eastAsia="Arial" w:hAnsi="Arial"/>
                <w:sz w:val="17"/>
                <w:szCs w:val="17"/>
                <w:b w:val="1"/>
                <w:bCs w:val="1"/>
                <w:color w:val="auto"/>
              </w:rPr>
              <w:t>August 1, 2020</w:t>
            </w:r>
          </w:p>
        </w:tc>
        <w:tc>
          <w:tcPr>
            <w:tcW w:w="1340" w:type="dxa"/>
            <w:vAlign w:val="bottom"/>
            <w:tcBorders>
              <w:bottom w:val="single" w:sz="8" w:color="auto"/>
            </w:tcBorders>
            <w:gridSpan w:val="2"/>
          </w:tcPr>
          <w:p>
            <w:pPr>
              <w:ind w:left="120"/>
              <w:spacing w:after="0" w:line="183" w:lineRule="exact"/>
              <w:rPr>
                <w:sz w:val="20"/>
                <w:szCs w:val="20"/>
                <w:color w:val="auto"/>
              </w:rPr>
            </w:pPr>
            <w:r>
              <w:rPr>
                <w:rFonts w:ascii="Arial" w:cs="Arial" w:eastAsia="Arial" w:hAnsi="Arial"/>
                <w:sz w:val="17"/>
                <w:szCs w:val="17"/>
                <w:b w:val="1"/>
                <w:bCs w:val="1"/>
                <w:color w:val="auto"/>
                <w:w w:val="99"/>
              </w:rPr>
              <w:t>August 3, 2019</w:t>
            </w:r>
          </w:p>
        </w:tc>
      </w:tr>
      <w:tr>
        <w:trPr>
          <w:trHeight w:val="183"/>
        </w:trPr>
        <w:tc>
          <w:tcPr>
            <w:tcW w:w="228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Exercised</w:t>
            </w:r>
          </w:p>
        </w:tc>
        <w:tc>
          <w:tcPr>
            <w:tcW w:w="1520" w:type="dxa"/>
            <w:vAlign w:val="bottom"/>
            <w:tcBorders>
              <w:bottom w:val="single" w:sz="8" w:color="auto"/>
            </w:tcBorders>
            <w:shd w:val="clear" w:color="auto" w:fill="CCEEFF"/>
          </w:tcPr>
          <w:p>
            <w:pPr>
              <w:ind w:left="1260"/>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ind w:left="740"/>
              <w:spacing w:after="0" w:line="183" w:lineRule="exact"/>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ind w:left="80"/>
              <w:spacing w:after="0" w:line="183"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ind w:left="60"/>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ind w:left="780"/>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w:t>
            </w:r>
          </w:p>
        </w:tc>
      </w:tr>
    </w:tbl>
    <w:p>
      <w:pPr>
        <w:spacing w:after="0" w:line="18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aggregate intrinsic value for stock options outstanding, and outstanding and exercisable (the difference between our closing stock price on the last trading day of the period and the exercise price of the options, multiplied by the number of in-the-money stock options) is presented below:</w:t>
      </w:r>
    </w:p>
    <w:p>
      <w:pPr>
        <w:spacing w:after="0" w:line="143" w:lineRule="exact"/>
        <w:rPr>
          <w:sz w:val="20"/>
          <w:szCs w:val="20"/>
          <w:color w:val="auto"/>
        </w:rPr>
      </w:pPr>
    </w:p>
    <w:p>
      <w:pPr>
        <w:ind w:left="6160"/>
        <w:spacing w:after="0"/>
        <w:rPr>
          <w:sz w:val="20"/>
          <w:szCs w:val="20"/>
          <w:color w:val="auto"/>
        </w:rPr>
      </w:pPr>
      <w:r>
        <w:rPr>
          <w:rFonts w:ascii="Arial" w:cs="Arial" w:eastAsia="Arial" w:hAnsi="Arial"/>
          <w:sz w:val="17"/>
          <w:szCs w:val="17"/>
          <w:b w:val="1"/>
          <w:bCs w:val="1"/>
          <w:color w:val="auto"/>
        </w:rPr>
        <w:t>Twenty-six weeks ended</w:t>
      </w:r>
    </w:p>
    <w:p>
      <w:pPr>
        <w:spacing w:after="0" w:line="24"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3740" w:type="dxa"/>
            <w:vAlign w:val="bottom"/>
            <w:tcBorders>
              <w:top w:val="single" w:sz="8" w:color="auto"/>
              <w:bottom w:val="single" w:sz="8" w:color="auto"/>
            </w:tcBorders>
          </w:tcPr>
          <w:p>
            <w:pPr>
              <w:spacing w:after="0"/>
              <w:rPr>
                <w:sz w:val="15"/>
                <w:szCs w:val="15"/>
                <w:color w:val="auto"/>
              </w:rPr>
            </w:pPr>
          </w:p>
        </w:tc>
        <w:tc>
          <w:tcPr>
            <w:tcW w:w="172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255"/>
              <w:spacing w:after="0" w:line="183" w:lineRule="exact"/>
              <w:rPr>
                <w:sz w:val="20"/>
                <w:szCs w:val="20"/>
                <w:color w:val="auto"/>
              </w:rPr>
            </w:pPr>
            <w:r>
              <w:rPr>
                <w:rFonts w:ascii="Arial" w:cs="Arial" w:eastAsia="Arial" w:hAnsi="Arial"/>
                <w:sz w:val="17"/>
                <w:szCs w:val="17"/>
                <w:b w:val="1"/>
                <w:bCs w:val="1"/>
                <w:color w:val="auto"/>
              </w:rPr>
              <w:t>August 1, 2020</w:t>
            </w:r>
          </w:p>
        </w:tc>
        <w:tc>
          <w:tcPr>
            <w:tcW w:w="340" w:type="dxa"/>
            <w:vAlign w:val="bottom"/>
            <w:tcBorders>
              <w:top w:val="single" w:sz="8" w:color="auto"/>
              <w:bottom w:val="single" w:sz="8" w:color="auto"/>
            </w:tcBorders>
          </w:tcPr>
          <w:p>
            <w:pPr>
              <w:spacing w:after="0"/>
              <w:rPr>
                <w:sz w:val="15"/>
                <w:szCs w:val="15"/>
                <w:color w:val="auto"/>
              </w:rPr>
            </w:pPr>
          </w:p>
        </w:tc>
        <w:tc>
          <w:tcPr>
            <w:tcW w:w="1500" w:type="dxa"/>
            <w:vAlign w:val="bottom"/>
            <w:tcBorders>
              <w:top w:val="single" w:sz="8" w:color="auto"/>
              <w:bottom w:val="single" w:sz="8" w:color="auto"/>
            </w:tcBorders>
          </w:tcPr>
          <w:p>
            <w:pPr>
              <w:jc w:val="right"/>
              <w:ind w:right="155"/>
              <w:spacing w:after="0" w:line="183" w:lineRule="exact"/>
              <w:rPr>
                <w:sz w:val="20"/>
                <w:szCs w:val="20"/>
                <w:color w:val="auto"/>
              </w:rPr>
            </w:pPr>
            <w:r>
              <w:rPr>
                <w:rFonts w:ascii="Arial" w:cs="Arial" w:eastAsia="Arial" w:hAnsi="Arial"/>
                <w:sz w:val="17"/>
                <w:szCs w:val="17"/>
                <w:b w:val="1"/>
                <w:bCs w:val="1"/>
                <w:color w:val="auto"/>
              </w:rPr>
              <w:t>August 3, 2019</w:t>
            </w:r>
          </w:p>
        </w:tc>
      </w:tr>
      <w:tr>
        <w:trPr>
          <w:trHeight w:val="183"/>
        </w:trPr>
        <w:tc>
          <w:tcPr>
            <w:tcW w:w="37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440" w:type="dxa"/>
            <w:vAlign w:val="bottom"/>
            <w:gridSpan w:val="3"/>
          </w:tcPr>
          <w:p>
            <w:pPr>
              <w:jc w:val="right"/>
              <w:ind w:right="1215"/>
              <w:spacing w:after="0" w:line="183" w:lineRule="exact"/>
              <w:rPr>
                <w:sz w:val="20"/>
                <w:szCs w:val="20"/>
                <w:color w:val="auto"/>
              </w:rPr>
            </w:pPr>
            <w:r>
              <w:rPr>
                <w:rFonts w:ascii="Arial" w:cs="Arial" w:eastAsia="Arial" w:hAnsi="Arial"/>
                <w:sz w:val="17"/>
                <w:szCs w:val="17"/>
                <w:color w:val="auto"/>
              </w:rPr>
              <w:t>($ in millions)</w:t>
            </w:r>
          </w:p>
        </w:tc>
      </w:tr>
      <w:tr>
        <w:trPr>
          <w:trHeight w:val="189"/>
        </w:trPr>
        <w:tc>
          <w:tcPr>
            <w:tcW w:w="3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Outstanding</w:t>
            </w:r>
          </w:p>
        </w:tc>
        <w:tc>
          <w:tcPr>
            <w:tcW w:w="1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6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10</w:t>
            </w: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r>
      <w:tr>
        <w:trPr>
          <w:trHeight w:val="189"/>
        </w:trPr>
        <w:tc>
          <w:tcPr>
            <w:tcW w:w="37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Outstanding and exercisable</w:t>
            </w:r>
          </w:p>
        </w:tc>
        <w:tc>
          <w:tcPr>
            <w:tcW w:w="1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6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w:t>
            </w:r>
          </w:p>
        </w:tc>
        <w:tc>
          <w:tcPr>
            <w:tcW w:w="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w:t>
            </w:r>
          </w:p>
        </w:tc>
      </w:tr>
    </w:tbl>
    <w:p>
      <w:pPr>
        <w:spacing w:after="0" w:line="180" w:lineRule="exact"/>
        <w:rPr>
          <w:sz w:val="20"/>
          <w:szCs w:val="20"/>
          <w:color w:val="auto"/>
        </w:rPr>
      </w:pPr>
    </w:p>
    <w:p>
      <w:pPr>
        <w:jc w:val="both"/>
        <w:ind w:left="60" w:right="79"/>
        <w:spacing w:after="0" w:line="276" w:lineRule="auto"/>
        <w:rPr>
          <w:sz w:val="20"/>
          <w:szCs w:val="20"/>
          <w:color w:val="auto"/>
        </w:rPr>
      </w:pPr>
      <w:r>
        <w:rPr>
          <w:rFonts w:ascii="Arial" w:cs="Arial" w:eastAsia="Arial" w:hAnsi="Arial"/>
          <w:sz w:val="18"/>
          <w:szCs w:val="18"/>
          <w:color w:val="auto"/>
        </w:rPr>
        <w:t>As of August 1, 2020 there was $6 million of total unrecognized compensation cost related to nonvested stock options, which is expected to be recognized over a remaining weighted-average period of 1.6 years.</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information about stock options outstanding and exercisable at August 1, 2020:</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246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3"/>
          </w:tcPr>
          <w:p>
            <w:pPr>
              <w:jc w:val="center"/>
              <w:ind w:left="1715"/>
              <w:spacing w:after="0"/>
              <w:rPr>
                <w:sz w:val="20"/>
                <w:szCs w:val="20"/>
                <w:color w:val="auto"/>
              </w:rPr>
            </w:pPr>
            <w:r>
              <w:rPr>
                <w:rFonts w:ascii="Arial" w:cs="Arial" w:eastAsia="Arial" w:hAnsi="Arial"/>
                <w:sz w:val="17"/>
                <w:szCs w:val="17"/>
                <w:b w:val="1"/>
                <w:bCs w:val="1"/>
                <w:color w:val="auto"/>
              </w:rPr>
              <w:t>Options Outstanding</w:t>
            </w:r>
          </w:p>
        </w:tc>
        <w:tc>
          <w:tcPr>
            <w:tcW w:w="7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7"/>
                <w:szCs w:val="17"/>
                <w:b w:val="1"/>
                <w:bCs w:val="1"/>
                <w:color w:val="auto"/>
              </w:rPr>
              <w:t>Options Exercisable</w:t>
            </w:r>
          </w:p>
        </w:tc>
        <w:tc>
          <w:tcPr>
            <w:tcW w:w="0" w:type="dxa"/>
            <w:vAlign w:val="bottom"/>
          </w:tcPr>
          <w:p>
            <w:pPr>
              <w:spacing w:after="0"/>
              <w:rPr>
                <w:sz w:val="1"/>
                <w:szCs w:val="1"/>
                <w:color w:val="auto"/>
              </w:rPr>
            </w:pPr>
          </w:p>
        </w:tc>
      </w:tr>
      <w:tr>
        <w:trPr>
          <w:trHeight w:val="152"/>
        </w:trPr>
        <w:tc>
          <w:tcPr>
            <w:tcW w:w="24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160" w:type="dxa"/>
            <w:vAlign w:val="bottom"/>
          </w:tcPr>
          <w:p>
            <w:pPr>
              <w:jc w:val="center"/>
              <w:spacing w:after="0" w:line="153" w:lineRule="exact"/>
              <w:rPr>
                <w:sz w:val="20"/>
                <w:szCs w:val="20"/>
                <w:color w:val="auto"/>
              </w:rPr>
            </w:pPr>
            <w:r>
              <w:rPr>
                <w:rFonts w:ascii="Arial" w:cs="Arial" w:eastAsia="Arial" w:hAnsi="Arial"/>
                <w:sz w:val="17"/>
                <w:szCs w:val="17"/>
                <w:b w:val="1"/>
                <w:bCs w:val="1"/>
                <w:color w:val="auto"/>
                <w:w w:val="99"/>
              </w:rPr>
              <w:t>Weighted-</w:t>
            </w:r>
          </w:p>
        </w:tc>
        <w:tc>
          <w:tcPr>
            <w:tcW w:w="1060" w:type="dxa"/>
            <w:vAlign w:val="bottom"/>
            <w:gridSpan w:val="2"/>
            <w:vMerge w:val="restart"/>
          </w:tcPr>
          <w:p>
            <w:pPr>
              <w:jc w:val="center"/>
              <w:spacing w:after="0"/>
              <w:rPr>
                <w:sz w:val="20"/>
                <w:szCs w:val="20"/>
                <w:color w:val="auto"/>
              </w:rPr>
            </w:pPr>
            <w:r>
              <w:rPr>
                <w:rFonts w:ascii="Arial" w:cs="Arial" w:eastAsia="Arial" w:hAnsi="Arial"/>
                <w:sz w:val="17"/>
                <w:szCs w:val="17"/>
                <w:b w:val="1"/>
                <w:bCs w:val="1"/>
                <w:color w:val="auto"/>
                <w:w w:val="99"/>
              </w:rPr>
              <w:t>Weighted-</w:t>
            </w:r>
          </w:p>
        </w:tc>
        <w:tc>
          <w:tcPr>
            <w:tcW w:w="1160" w:type="dxa"/>
            <w:vAlign w:val="bottom"/>
          </w:tcPr>
          <w:p>
            <w:pPr>
              <w:spacing w:after="0"/>
              <w:rPr>
                <w:sz w:val="13"/>
                <w:szCs w:val="13"/>
                <w:color w:val="auto"/>
              </w:rPr>
            </w:pPr>
          </w:p>
        </w:tc>
        <w:tc>
          <w:tcPr>
            <w:tcW w:w="1000" w:type="dxa"/>
            <w:vAlign w:val="bottom"/>
            <w:gridSpan w:val="2"/>
            <w:vMerge w:val="restart"/>
          </w:tcPr>
          <w:p>
            <w:pPr>
              <w:jc w:val="center"/>
              <w:ind w:left="15"/>
              <w:spacing w:after="0"/>
              <w:rPr>
                <w:sz w:val="20"/>
                <w:szCs w:val="20"/>
                <w:color w:val="auto"/>
              </w:rPr>
            </w:pPr>
            <w:r>
              <w:rPr>
                <w:rFonts w:ascii="Arial" w:cs="Arial" w:eastAsia="Arial" w:hAnsi="Arial"/>
                <w:sz w:val="17"/>
                <w:szCs w:val="17"/>
                <w:b w:val="1"/>
                <w:bCs w:val="1"/>
                <w:color w:val="auto"/>
                <w:w w:val="99"/>
              </w:rPr>
              <w:t>Weighted-</w:t>
            </w: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1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Average</w:t>
            </w:r>
          </w:p>
        </w:tc>
        <w:tc>
          <w:tcPr>
            <w:tcW w:w="1060" w:type="dxa"/>
            <w:vAlign w:val="bottom"/>
            <w:gridSpan w:val="2"/>
            <w:vMerge w:val="continue"/>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Range of Exercise</w:t>
            </w:r>
          </w:p>
        </w:tc>
        <w:tc>
          <w:tcPr>
            <w:tcW w:w="2060" w:type="dxa"/>
            <w:vAlign w:val="bottom"/>
            <w:vMerge w:val="restart"/>
          </w:tcPr>
          <w:p>
            <w:pPr>
              <w:jc w:val="right"/>
              <w:ind w:right="195"/>
              <w:spacing w:after="0"/>
              <w:rPr>
                <w:sz w:val="20"/>
                <w:szCs w:val="20"/>
                <w:color w:val="auto"/>
              </w:rPr>
            </w:pPr>
            <w:r>
              <w:rPr>
                <w:rFonts w:ascii="Arial" w:cs="Arial" w:eastAsia="Arial" w:hAnsi="Arial"/>
                <w:sz w:val="17"/>
                <w:szCs w:val="17"/>
                <w:b w:val="1"/>
                <w:bCs w:val="1"/>
                <w:color w:val="auto"/>
              </w:rPr>
              <w:t>Number</w:t>
            </w:r>
          </w:p>
        </w:tc>
        <w:tc>
          <w:tcPr>
            <w:tcW w:w="11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Remaining</w:t>
            </w:r>
          </w:p>
        </w:tc>
        <w:tc>
          <w:tcPr>
            <w:tcW w:w="106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w w:val="98"/>
              </w:rPr>
              <w:t>Average</w:t>
            </w:r>
          </w:p>
        </w:tc>
        <w:tc>
          <w:tcPr>
            <w:tcW w:w="1160" w:type="dxa"/>
            <w:vAlign w:val="bottom"/>
            <w:vMerge w:val="restart"/>
          </w:tcPr>
          <w:p>
            <w:pPr>
              <w:jc w:val="right"/>
              <w:ind w:right="175"/>
              <w:spacing w:after="0"/>
              <w:rPr>
                <w:sz w:val="20"/>
                <w:szCs w:val="20"/>
                <w:color w:val="auto"/>
              </w:rPr>
            </w:pPr>
            <w:r>
              <w:rPr>
                <w:rFonts w:ascii="Arial" w:cs="Arial" w:eastAsia="Arial" w:hAnsi="Arial"/>
                <w:sz w:val="17"/>
                <w:szCs w:val="17"/>
                <w:b w:val="1"/>
                <w:bCs w:val="1"/>
                <w:color w:val="auto"/>
              </w:rPr>
              <w:t>Number</w:t>
            </w:r>
          </w:p>
        </w:tc>
        <w:tc>
          <w:tcPr>
            <w:tcW w:w="200" w:type="dxa"/>
            <w:vAlign w:val="bottom"/>
          </w:tcPr>
          <w:p>
            <w:pPr>
              <w:spacing w:after="0"/>
              <w:rPr>
                <w:sz w:val="16"/>
                <w:szCs w:val="16"/>
                <w:color w:val="auto"/>
              </w:rPr>
            </w:pPr>
          </w:p>
        </w:tc>
        <w:tc>
          <w:tcPr>
            <w:tcW w:w="800" w:type="dxa"/>
            <w:vAlign w:val="bottom"/>
          </w:tcPr>
          <w:p>
            <w:pPr>
              <w:jc w:val="center"/>
              <w:ind w:right="15"/>
              <w:spacing w:after="0" w:line="189" w:lineRule="exact"/>
              <w:rPr>
                <w:sz w:val="20"/>
                <w:szCs w:val="20"/>
                <w:color w:val="auto"/>
              </w:rPr>
            </w:pPr>
            <w:r>
              <w:rPr>
                <w:rFonts w:ascii="Arial" w:cs="Arial" w:eastAsia="Arial" w:hAnsi="Arial"/>
                <w:sz w:val="17"/>
                <w:szCs w:val="17"/>
                <w:b w:val="1"/>
                <w:bCs w:val="1"/>
                <w:color w:val="auto"/>
                <w:w w:val="98"/>
              </w:rPr>
              <w:t>Average</w:t>
            </w:r>
          </w:p>
        </w:tc>
        <w:tc>
          <w:tcPr>
            <w:tcW w:w="0" w:type="dxa"/>
            <w:vAlign w:val="bottom"/>
          </w:tcPr>
          <w:p>
            <w:pPr>
              <w:spacing w:after="0"/>
              <w:rPr>
                <w:sz w:val="1"/>
                <w:szCs w:val="1"/>
                <w:color w:val="auto"/>
              </w:rPr>
            </w:pPr>
          </w:p>
        </w:tc>
      </w:tr>
      <w:tr>
        <w:trPr>
          <w:trHeight w:val="189"/>
        </w:trPr>
        <w:tc>
          <w:tcPr>
            <w:tcW w:w="2460" w:type="dxa"/>
            <w:vAlign w:val="bottom"/>
            <w:vMerge w:val="continue"/>
          </w:tcPr>
          <w:p>
            <w:pPr>
              <w:spacing w:after="0"/>
              <w:rPr>
                <w:sz w:val="16"/>
                <w:szCs w:val="16"/>
                <w:color w:val="auto"/>
              </w:rPr>
            </w:pPr>
          </w:p>
        </w:tc>
        <w:tc>
          <w:tcPr>
            <w:tcW w:w="2060" w:type="dxa"/>
            <w:vAlign w:val="bottom"/>
            <w:vMerge w:val="continue"/>
          </w:tcPr>
          <w:p>
            <w:pPr>
              <w:spacing w:after="0"/>
              <w:rPr>
                <w:sz w:val="16"/>
                <w:szCs w:val="16"/>
                <w:color w:val="auto"/>
              </w:rPr>
            </w:pPr>
          </w:p>
        </w:tc>
        <w:tc>
          <w:tcPr>
            <w:tcW w:w="11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Contractual</w:t>
            </w:r>
          </w:p>
        </w:tc>
        <w:tc>
          <w:tcPr>
            <w:tcW w:w="106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rPr>
              <w:t>Exercise</w:t>
            </w:r>
          </w:p>
        </w:tc>
        <w:tc>
          <w:tcPr>
            <w:tcW w:w="11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center"/>
              <w:ind w:right="15"/>
              <w:spacing w:after="0" w:line="189" w:lineRule="exact"/>
              <w:rPr>
                <w:sz w:val="20"/>
                <w:szCs w:val="20"/>
                <w:color w:val="auto"/>
              </w:rPr>
            </w:pPr>
            <w:r>
              <w:rPr>
                <w:rFonts w:ascii="Arial" w:cs="Arial" w:eastAsia="Arial" w:hAnsi="Arial"/>
                <w:sz w:val="17"/>
                <w:szCs w:val="17"/>
                <w:b w:val="1"/>
                <w:bCs w:val="1"/>
                <w:color w:val="auto"/>
              </w:rPr>
              <w:t>Exercise</w:t>
            </w:r>
          </w:p>
        </w:tc>
        <w:tc>
          <w:tcPr>
            <w:tcW w:w="0" w:type="dxa"/>
            <w:vAlign w:val="bottom"/>
          </w:tcPr>
          <w:p>
            <w:pPr>
              <w:spacing w:after="0"/>
              <w:rPr>
                <w:sz w:val="1"/>
                <w:szCs w:val="1"/>
                <w:color w:val="auto"/>
              </w:rPr>
            </w:pPr>
          </w:p>
        </w:tc>
      </w:tr>
      <w:tr>
        <w:trPr>
          <w:trHeight w:val="219"/>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Prices</w:t>
            </w:r>
          </w:p>
        </w:tc>
        <w:tc>
          <w:tcPr>
            <w:tcW w:w="2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Outstanding</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Life</w:t>
            </w: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235"/>
              <w:spacing w:after="0"/>
              <w:rPr>
                <w:sz w:val="20"/>
                <w:szCs w:val="20"/>
                <w:color w:val="auto"/>
              </w:rPr>
            </w:pPr>
            <w:r>
              <w:rPr>
                <w:rFonts w:ascii="Arial" w:cs="Arial" w:eastAsia="Arial" w:hAnsi="Arial"/>
                <w:sz w:val="17"/>
                <w:szCs w:val="17"/>
                <w:b w:val="1"/>
                <w:bCs w:val="1"/>
                <w:color w:val="auto"/>
              </w:rPr>
              <w:t>Price</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Exercisable</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rPr>
              <w:t>Price</w:t>
            </w: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6440" w:type="dxa"/>
            <w:vAlign w:val="bottom"/>
            <w:gridSpan w:val="7"/>
          </w:tcPr>
          <w:p>
            <w:pPr>
              <w:jc w:val="right"/>
              <w:ind w:right="435"/>
              <w:spacing w:after="0" w:line="183" w:lineRule="exact"/>
              <w:rPr>
                <w:sz w:val="20"/>
                <w:szCs w:val="20"/>
                <w:color w:val="auto"/>
              </w:rPr>
            </w:pPr>
            <w:r>
              <w:rPr>
                <w:rFonts w:ascii="Arial" w:cs="Arial" w:eastAsia="Arial" w:hAnsi="Arial"/>
                <w:sz w:val="17"/>
                <w:szCs w:val="17"/>
                <w:color w:val="auto"/>
              </w:rPr>
              <w:t>(in thousands, except prices per share and contractual life)</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$18.84 to $23.09</w:t>
            </w:r>
          </w:p>
        </w:tc>
        <w:tc>
          <w:tcPr>
            <w:tcW w:w="20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1,176</w:t>
            </w:r>
          </w:p>
        </w:tc>
        <w:tc>
          <w:tcPr>
            <w:tcW w:w="11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8.8</w:t>
            </w:r>
          </w:p>
        </w:tc>
        <w:tc>
          <w:tcPr>
            <w:tcW w:w="3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21.33</w:t>
            </w: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117</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18.84</w:t>
            </w: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line="189" w:lineRule="exact"/>
              <w:rPr>
                <w:sz w:val="20"/>
                <w:szCs w:val="20"/>
                <w:color w:val="auto"/>
              </w:rPr>
            </w:pPr>
            <w:r>
              <w:rPr>
                <w:rFonts w:ascii="Arial" w:cs="Arial" w:eastAsia="Arial" w:hAnsi="Arial"/>
                <w:sz w:val="17"/>
                <w:szCs w:val="17"/>
                <w:color w:val="auto"/>
              </w:rPr>
              <w:t>$24.75 to $36.51</w:t>
            </w:r>
          </w:p>
        </w:tc>
        <w:tc>
          <w:tcPr>
            <w:tcW w:w="20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376</w:t>
            </w:r>
          </w:p>
        </w:tc>
        <w:tc>
          <w:tcPr>
            <w:tcW w:w="11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2.6</w:t>
            </w:r>
          </w:p>
        </w:tc>
        <w:tc>
          <w:tcPr>
            <w:tcW w:w="320" w:type="dxa"/>
            <w:vAlign w:val="bottom"/>
          </w:tcPr>
          <w:p>
            <w:pPr>
              <w:spacing w:after="0"/>
              <w:rPr>
                <w:sz w:val="16"/>
                <w:szCs w:val="16"/>
                <w:color w:val="auto"/>
              </w:rPr>
            </w:pPr>
          </w:p>
        </w:tc>
        <w:tc>
          <w:tcPr>
            <w:tcW w:w="7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32.13</w:t>
            </w: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333</w:t>
            </w: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31.77</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$44.78 to $45.75</w:t>
            </w:r>
          </w:p>
        </w:tc>
        <w:tc>
          <w:tcPr>
            <w:tcW w:w="20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561</w:t>
            </w:r>
          </w:p>
        </w:tc>
        <w:tc>
          <w:tcPr>
            <w:tcW w:w="11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5.7</w:t>
            </w: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44.91</w:t>
            </w: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454</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44.94</w:t>
            </w: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line="189" w:lineRule="exact"/>
              <w:rPr>
                <w:sz w:val="20"/>
                <w:szCs w:val="20"/>
                <w:color w:val="auto"/>
              </w:rPr>
            </w:pPr>
            <w:r>
              <w:rPr>
                <w:rFonts w:ascii="Arial" w:cs="Arial" w:eastAsia="Arial" w:hAnsi="Arial"/>
                <w:sz w:val="17"/>
                <w:szCs w:val="17"/>
                <w:color w:val="auto"/>
              </w:rPr>
              <w:t>$46.64 to $62.11</w:t>
            </w:r>
          </w:p>
        </w:tc>
        <w:tc>
          <w:tcPr>
            <w:tcW w:w="20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904</w:t>
            </w:r>
          </w:p>
        </w:tc>
        <w:tc>
          <w:tcPr>
            <w:tcW w:w="11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5.8</w:t>
            </w:r>
          </w:p>
        </w:tc>
        <w:tc>
          <w:tcPr>
            <w:tcW w:w="320" w:type="dxa"/>
            <w:vAlign w:val="bottom"/>
          </w:tcPr>
          <w:p>
            <w:pPr>
              <w:spacing w:after="0"/>
              <w:rPr>
                <w:sz w:val="16"/>
                <w:szCs w:val="16"/>
                <w:color w:val="auto"/>
              </w:rPr>
            </w:pPr>
          </w:p>
        </w:tc>
        <w:tc>
          <w:tcPr>
            <w:tcW w:w="7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60.00</w:t>
            </w: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697</w:t>
            </w: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60.51</w:t>
            </w:r>
          </w:p>
        </w:tc>
        <w:tc>
          <w:tcPr>
            <w:tcW w:w="0" w:type="dxa"/>
            <w:vAlign w:val="bottom"/>
          </w:tcPr>
          <w:p>
            <w:pPr>
              <w:spacing w:after="0"/>
              <w:rPr>
                <w:sz w:val="1"/>
                <w:szCs w:val="1"/>
                <w:color w:val="auto"/>
              </w:rPr>
            </w:pPr>
          </w:p>
        </w:tc>
      </w:tr>
      <w:tr>
        <w:trPr>
          <w:trHeight w:val="189"/>
        </w:trPr>
        <w:tc>
          <w:tcPr>
            <w:tcW w:w="246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$63.33 to $73.21</w:t>
            </w:r>
          </w:p>
        </w:tc>
        <w:tc>
          <w:tcPr>
            <w:tcW w:w="20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872</w:t>
            </w:r>
          </w:p>
        </w:tc>
        <w:tc>
          <w:tcPr>
            <w:tcW w:w="11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5.9</w:t>
            </w:r>
          </w:p>
        </w:tc>
        <w:tc>
          <w:tcPr>
            <w:tcW w:w="3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68.60</w:t>
            </w:r>
          </w:p>
        </w:tc>
        <w:tc>
          <w:tcPr>
            <w:tcW w:w="11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872</w:t>
            </w: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68.60</w:t>
            </w:r>
          </w:p>
        </w:tc>
        <w:tc>
          <w:tcPr>
            <w:tcW w:w="0" w:type="dxa"/>
            <w:vAlign w:val="bottom"/>
          </w:tcPr>
          <w:p>
            <w:pPr>
              <w:spacing w:after="0"/>
              <w:rPr>
                <w:sz w:val="1"/>
                <w:szCs w:val="1"/>
                <w:color w:val="auto"/>
              </w:rPr>
            </w:pPr>
          </w:p>
        </w:tc>
      </w:tr>
      <w:tr>
        <w:trPr>
          <w:trHeight w:val="183"/>
        </w:trPr>
        <w:tc>
          <w:tcPr>
            <w:tcW w:w="24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3,889</w:t>
            </w:r>
          </w:p>
        </w:tc>
        <w:tc>
          <w:tcPr>
            <w:tcW w:w="11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6.4</w:t>
            </w:r>
          </w:p>
        </w:tc>
        <w:tc>
          <w:tcPr>
            <w:tcW w:w="3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45.37</w:t>
            </w:r>
          </w:p>
        </w:tc>
        <w:tc>
          <w:tcPr>
            <w:tcW w:w="11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2,473</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54.67</w:t>
            </w:r>
          </w:p>
        </w:tc>
        <w:tc>
          <w:tcPr>
            <w:tcW w:w="0" w:type="dxa"/>
            <w:vAlign w:val="bottom"/>
          </w:tcPr>
          <w:p>
            <w:pPr>
              <w:spacing w:after="0"/>
              <w:rPr>
                <w:sz w:val="1"/>
                <w:szCs w:val="1"/>
                <w:color w:val="auto"/>
              </w:rPr>
            </w:pP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Units</w:t>
      </w:r>
    </w:p>
    <w:p>
      <w:pPr>
        <w:spacing w:after="0" w:line="183"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Restricted stock units (“RSU”) may be awarded to certain officers and key employees of the Company. Additionally, RSU awards are made to employees in connection with our long-term incentive program, and to nonemployee directors. Each RSU award represents the right to receive one share of our common stock provided that the applicable performance and vesting conditions are satisfied.</w:t>
      </w:r>
    </w:p>
    <w:p>
      <w:pPr>
        <w:spacing w:after="0" w:line="38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2020 Form 10-Q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992" w:right="1440"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337185</wp:posOffset>
            </wp:positionV>
            <wp:extent cx="1834515" cy="214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w:t>
      </w:r>
    </w:p>
    <w:p>
      <w:pPr>
        <w:spacing w:after="0" w:line="335"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Generally, awards fully vest after the passage of time, typically three years. However, RSU awards made in connection with our performance-based long-term incentive program are earned after the attainment of certain performance metrics and, with regards to certain awards, vest after an additional one-year period. No dividends are paid or accumulated on any RSU awards.</w:t>
      </w:r>
    </w:p>
    <w:p>
      <w:pPr>
        <w:spacing w:after="0" w:line="130" w:lineRule="exact"/>
        <w:rPr>
          <w:sz w:val="20"/>
          <w:szCs w:val="20"/>
          <w:color w:val="auto"/>
        </w:rPr>
      </w:pPr>
    </w:p>
    <w:p>
      <w:pPr>
        <w:jc w:val="both"/>
        <w:ind w:left="60" w:right="79"/>
        <w:spacing w:after="0" w:line="276" w:lineRule="auto"/>
        <w:rPr>
          <w:sz w:val="20"/>
          <w:szCs w:val="20"/>
          <w:color w:val="auto"/>
        </w:rPr>
      </w:pPr>
      <w:r>
        <w:rPr>
          <w:rFonts w:ascii="Arial" w:cs="Arial" w:eastAsia="Arial" w:hAnsi="Arial"/>
          <w:sz w:val="18"/>
          <w:szCs w:val="18"/>
          <w:color w:val="auto"/>
        </w:rPr>
        <w:t>Compensation expense is recognized using the market value at the date of grant and is amortized over the vesting period, provided the recipient continues to be employed by the Company.</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color w:val="auto"/>
        </w:rPr>
        <w:t>RSU activity for the twenty-six weeks ended August 1, 2020 is summarized as follows:</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9"/>
              </w:rPr>
              <w:t>Number</w:t>
            </w:r>
          </w:p>
        </w:tc>
        <w:tc>
          <w:tcPr>
            <w:tcW w:w="1640" w:type="dxa"/>
            <w:vAlign w:val="bottom"/>
          </w:tcPr>
          <w:p>
            <w:pPr>
              <w:jc w:val="center"/>
              <w:ind w:left="15"/>
              <w:spacing w:after="0"/>
              <w:rPr>
                <w:sz w:val="20"/>
                <w:szCs w:val="20"/>
                <w:color w:val="auto"/>
              </w:rPr>
            </w:pPr>
            <w:r>
              <w:rPr>
                <w:rFonts w:ascii="Arial" w:cs="Arial" w:eastAsia="Arial" w:hAnsi="Arial"/>
                <w:sz w:val="17"/>
                <w:szCs w:val="17"/>
                <w:b w:val="1"/>
                <w:bCs w:val="1"/>
                <w:color w:val="auto"/>
              </w:rPr>
              <w:t>Weighted-Average</w:t>
            </w:r>
          </w:p>
        </w:tc>
        <w:tc>
          <w:tcPr>
            <w:tcW w:w="1560" w:type="dxa"/>
            <w:vAlign w:val="bottom"/>
            <w:gridSpan w:val="2"/>
            <w:vMerge w:val="restart"/>
          </w:tcPr>
          <w:p>
            <w:pPr>
              <w:jc w:val="center"/>
              <w:spacing w:after="0"/>
              <w:rPr>
                <w:sz w:val="20"/>
                <w:szCs w:val="20"/>
                <w:color w:val="auto"/>
              </w:rPr>
            </w:pPr>
            <w:r>
              <w:rPr>
                <w:rFonts w:ascii="Arial" w:cs="Arial" w:eastAsia="Arial" w:hAnsi="Arial"/>
                <w:sz w:val="17"/>
                <w:szCs w:val="17"/>
                <w:b w:val="1"/>
                <w:bCs w:val="1"/>
                <w:color w:val="auto"/>
                <w:w w:val="99"/>
              </w:rPr>
              <w:t>Weighted-Average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64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w w:val="98"/>
              </w:rPr>
              <w:t>Remaining</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of</w:t>
            </w:r>
          </w:p>
        </w:tc>
        <w:tc>
          <w:tcPr>
            <w:tcW w:w="164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w w:val="99"/>
              </w:rPr>
              <w:t>Contractual</w:t>
            </w:r>
          </w:p>
        </w:tc>
        <w:tc>
          <w:tcPr>
            <w:tcW w:w="220" w:type="dxa"/>
            <w:vAlign w:val="bottom"/>
          </w:tcPr>
          <w:p>
            <w:pPr>
              <w:spacing w:after="0"/>
              <w:rPr>
                <w:sz w:val="16"/>
                <w:szCs w:val="16"/>
                <w:color w:val="auto"/>
              </w:rPr>
            </w:pPr>
          </w:p>
        </w:tc>
        <w:tc>
          <w:tcPr>
            <w:tcW w:w="1340" w:type="dxa"/>
            <w:vAlign w:val="bottom"/>
          </w:tcPr>
          <w:p>
            <w:pPr>
              <w:jc w:val="center"/>
              <w:ind w:right="135"/>
              <w:spacing w:after="0" w:line="189" w:lineRule="exact"/>
              <w:rPr>
                <w:sz w:val="20"/>
                <w:szCs w:val="20"/>
                <w:color w:val="auto"/>
              </w:rPr>
            </w:pPr>
            <w:r>
              <w:rPr>
                <w:rFonts w:ascii="Arial" w:cs="Arial" w:eastAsia="Arial" w:hAnsi="Arial"/>
                <w:sz w:val="17"/>
                <w:szCs w:val="17"/>
                <w:b w:val="1"/>
                <w:bCs w:val="1"/>
                <w:color w:val="auto"/>
              </w:rPr>
              <w:t>Grant Date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Shares</w:t>
            </w:r>
          </w:p>
        </w:tc>
        <w:tc>
          <w:tcPr>
            <w:tcW w:w="1640" w:type="dxa"/>
            <w:vAlign w:val="bottom"/>
            <w:tcBorders>
              <w:bottom w:val="single" w:sz="8" w:color="auto"/>
            </w:tcBorders>
          </w:tcPr>
          <w:p>
            <w:pPr>
              <w:jc w:val="center"/>
              <w:ind w:left="15"/>
              <w:spacing w:after="0"/>
              <w:rPr>
                <w:sz w:val="20"/>
                <w:szCs w:val="20"/>
                <w:color w:val="auto"/>
              </w:rPr>
            </w:pPr>
            <w:r>
              <w:rPr>
                <w:rFonts w:ascii="Arial" w:cs="Arial" w:eastAsia="Arial" w:hAnsi="Arial"/>
                <w:sz w:val="17"/>
                <w:szCs w:val="17"/>
                <w:b w:val="1"/>
                <w:bCs w:val="1"/>
                <w:color w:val="auto"/>
                <w:w w:val="99"/>
              </w:rPr>
              <w:t>Life</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w w:val="98"/>
              </w:rPr>
              <w:t>Fair Value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jc w:val="center"/>
              <w:spacing w:after="0" w:line="183" w:lineRule="exact"/>
              <w:rPr>
                <w:sz w:val="20"/>
                <w:szCs w:val="20"/>
                <w:color w:val="auto"/>
              </w:rPr>
            </w:pPr>
            <w:r>
              <w:rPr>
                <w:rFonts w:ascii="Arial" w:cs="Arial" w:eastAsia="Arial" w:hAnsi="Arial"/>
                <w:sz w:val="17"/>
                <w:szCs w:val="17"/>
                <w:color w:val="auto"/>
              </w:rPr>
              <w:t>(in thousands)</w:t>
            </w:r>
          </w:p>
        </w:tc>
        <w:tc>
          <w:tcPr>
            <w:tcW w:w="1640" w:type="dxa"/>
            <w:vAlign w:val="bottom"/>
          </w:tcPr>
          <w:p>
            <w:pPr>
              <w:jc w:val="center"/>
              <w:ind w:left="15"/>
              <w:spacing w:after="0" w:line="183" w:lineRule="exact"/>
              <w:rPr>
                <w:sz w:val="20"/>
                <w:szCs w:val="20"/>
                <w:color w:val="auto"/>
              </w:rPr>
            </w:pPr>
            <w:r>
              <w:rPr>
                <w:rFonts w:ascii="Arial" w:cs="Arial" w:eastAsia="Arial" w:hAnsi="Arial"/>
                <w:sz w:val="17"/>
                <w:szCs w:val="17"/>
                <w:color w:val="auto"/>
                <w:w w:val="98"/>
              </w:rPr>
              <w:t>(in years)</w:t>
            </w:r>
          </w:p>
        </w:tc>
        <w:tc>
          <w:tcPr>
            <w:tcW w:w="220" w:type="dxa"/>
            <w:vAlign w:val="bottom"/>
          </w:tcPr>
          <w:p>
            <w:pPr>
              <w:spacing w:after="0"/>
              <w:rPr>
                <w:sz w:val="15"/>
                <w:szCs w:val="15"/>
                <w:color w:val="auto"/>
              </w:rPr>
            </w:pPr>
          </w:p>
        </w:tc>
        <w:tc>
          <w:tcPr>
            <w:tcW w:w="1340" w:type="dxa"/>
            <w:vAlign w:val="bottom"/>
          </w:tcPr>
          <w:p>
            <w:pPr>
              <w:jc w:val="right"/>
              <w:ind w:right="155"/>
              <w:spacing w:after="0" w:line="183" w:lineRule="exact"/>
              <w:rPr>
                <w:sz w:val="20"/>
                <w:szCs w:val="20"/>
                <w:color w:val="auto"/>
              </w:rPr>
            </w:pPr>
            <w:r>
              <w:rPr>
                <w:rFonts w:ascii="Arial" w:cs="Arial" w:eastAsia="Arial" w:hAnsi="Arial"/>
                <w:sz w:val="17"/>
                <w:szCs w:val="17"/>
                <w:color w:val="auto"/>
              </w:rPr>
              <w:t>(per share)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Nonvested at beginning of year</w:t>
            </w:r>
          </w:p>
        </w:tc>
        <w:tc>
          <w:tcPr>
            <w:tcW w:w="10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936</w:t>
            </w:r>
          </w:p>
        </w:tc>
        <w:tc>
          <w:tcPr>
            <w:tcW w:w="16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49.25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1080" w:type="dxa"/>
            <w:vAlign w:val="bottom"/>
          </w:tcPr>
          <w:p>
            <w:pPr>
              <w:spacing w:after="0"/>
              <w:rPr>
                <w:sz w:val="16"/>
                <w:szCs w:val="16"/>
                <w:color w:val="auto"/>
              </w:rPr>
            </w:pPr>
          </w:p>
        </w:tc>
        <w:tc>
          <w:tcPr>
            <w:tcW w:w="1320" w:type="dxa"/>
            <w:vAlign w:val="bottom"/>
          </w:tcPr>
          <w:p>
            <w:pPr>
              <w:jc w:val="right"/>
              <w:ind w:right="95"/>
              <w:spacing w:after="0" w:line="189" w:lineRule="exact"/>
              <w:rPr>
                <w:sz w:val="20"/>
                <w:szCs w:val="20"/>
                <w:color w:val="auto"/>
              </w:rPr>
            </w:pPr>
            <w:r>
              <w:rPr>
                <w:rFonts w:ascii="Arial" w:cs="Arial" w:eastAsia="Arial" w:hAnsi="Arial"/>
                <w:sz w:val="17"/>
                <w:szCs w:val="17"/>
                <w:color w:val="auto"/>
              </w:rPr>
              <w:t>416</w:t>
            </w: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7"/>
                <w:szCs w:val="17"/>
                <w:color w:val="auto"/>
              </w:rPr>
              <w:t>22.59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Vested</w:t>
            </w:r>
          </w:p>
        </w:tc>
        <w:tc>
          <w:tcPr>
            <w:tcW w:w="10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(67)</w:t>
            </w:r>
          </w:p>
        </w:tc>
        <w:tc>
          <w:tcPr>
            <w:tcW w:w="1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65.83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Pr>
          <w:p>
            <w:pPr>
              <w:spacing w:after="0" w:line="189" w:lineRule="exact"/>
              <w:rPr>
                <w:sz w:val="20"/>
                <w:szCs w:val="20"/>
                <w:color w:val="auto"/>
              </w:rPr>
            </w:pPr>
            <w:r>
              <w:rPr>
                <w:rFonts w:ascii="Arial" w:cs="Arial" w:eastAsia="Arial" w:hAnsi="Arial"/>
                <w:sz w:val="15"/>
                <w:szCs w:val="15"/>
                <w:color w:val="auto"/>
              </w:rPr>
              <w:t xml:space="preserve">Performance adjustment </w:t>
            </w:r>
            <w:r>
              <w:rPr>
                <w:rFonts w:ascii="Arial" w:cs="Arial" w:eastAsia="Arial" w:hAnsi="Arial"/>
                <w:sz w:val="21"/>
                <w:szCs w:val="21"/>
                <w:color w:val="auto"/>
                <w:vertAlign w:val="superscript"/>
              </w:rPr>
              <w:t>(1)</w:t>
            </w:r>
          </w:p>
        </w:tc>
        <w:tc>
          <w:tcPr>
            <w:tcW w:w="1080" w:type="dxa"/>
            <w:vAlign w:val="bottom"/>
          </w:tcPr>
          <w:p>
            <w:pPr>
              <w:spacing w:after="0"/>
              <w:rPr>
                <w:sz w:val="16"/>
                <w:szCs w:val="16"/>
                <w:color w:val="auto"/>
              </w:rPr>
            </w:pPr>
          </w:p>
        </w:tc>
        <w:tc>
          <w:tcPr>
            <w:tcW w:w="13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(132)</w:t>
            </w: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Forfeited</w:t>
            </w:r>
          </w:p>
        </w:tc>
        <w:tc>
          <w:tcPr>
            <w:tcW w:w="10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(44)</w:t>
            </w:r>
          </w:p>
        </w:tc>
        <w:tc>
          <w:tcPr>
            <w:tcW w:w="16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43.45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Nonvested at August 1, 2020</w:t>
            </w:r>
          </w:p>
        </w:tc>
        <w:tc>
          <w:tcPr>
            <w:tcW w:w="10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1,109</w:t>
            </w:r>
          </w:p>
        </w:tc>
        <w:tc>
          <w:tcPr>
            <w:tcW w:w="164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1.4</w:t>
            </w:r>
          </w:p>
        </w:tc>
        <w:tc>
          <w:tcPr>
            <w:tcW w:w="2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37.65</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vMerge w:val="continue"/>
          </w:tcPr>
          <w:p>
            <w:pPr>
              <w:spacing w:after="0"/>
              <w:rPr>
                <w:sz w:val="16"/>
                <w:szCs w:val="16"/>
                <w:color w:val="auto"/>
              </w:rPr>
            </w:pPr>
          </w:p>
        </w:tc>
        <w:tc>
          <w:tcPr>
            <w:tcW w:w="32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Aggregate value ($ in millions)</w:t>
            </w: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42</w:t>
            </w:r>
          </w:p>
        </w:tc>
        <w:tc>
          <w:tcPr>
            <w:tcW w:w="1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80" w:right="79" w:hanging="330"/>
        <w:spacing w:after="0" w:line="29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This represents adjustments made to performance-based RSU awards and reflect changes in estimates based upon our current performance against predefined financial targets.</w:t>
      </w:r>
    </w:p>
    <w:p>
      <w:pPr>
        <w:spacing w:after="0" w:line="9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total value of awards that vested during the twenty-six weeks ended August 1, 2020 and August 3, 2019 was $4 million and $5 million, respectively. As of August 1, 2020, there was $17 million of total unrecognized compensation cost related to nonvested awards.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Income Taxes</w:t>
      </w:r>
    </w:p>
    <w:p>
      <w:pPr>
        <w:spacing w:after="0" w:line="17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For the thirteen and twenty-six weeks ended August 1, 2020, we recorded income tax expense of $25 million and $30 million, respectively, and represented an effective tax rate of 35.4 percent and negative 85.5 percent on a pretax income and pretax loss, respectively. The effective tax rates were adversely impacted by valuation allowances related to losses in certain foreign jurisdictions. Additionally, in the first quarter we recorded a $27 million tax charge related to the revaluation of certain intellectual property rights pursuant to a non-U.S. advance pricing agreement. Due to the improved financial outlook during the second quarter of 2020, we reversed $2 million of the revaluation charge.</w:t>
      </w:r>
    </w:p>
    <w:p>
      <w:pPr>
        <w:spacing w:after="0" w:line="162"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We have historically calculated the provision for income taxes during interim reporting periods by applying an estimate of the annual effective tax rate for the full fiscal year income, excluding unusual or infrequently occurring discrete items, for the reporting period. In accordance with the authoritative guidance, we used a discrete effective tax rate method to calculate income taxes for the first quarter of 2020 because small changes in the estimated level and mix of annual income or loss by jurisdiction would result in significant changes in the estimated annual effective tax rate making the historical method unreliable. However, during the second quarter we returned to the historical practice of using an annual effective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2020 Form 10-Q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92"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337185</wp:posOffset>
            </wp:positionV>
            <wp:extent cx="1834515" cy="214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w:t>
      </w:r>
    </w:p>
    <w:p>
      <w:pPr>
        <w:spacing w:after="0" w:line="33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On March 27, 2020, the Coronavirus Aid, Relief, and Economic Security Act (the “CARES Act”) was signed into law in the U.S. to provide certain relief as a result of the COVID-19 pandemic. In addition, governments around the world enacted or implemented various forms of tax relief measures in response to the economic conditions in the wake of COVID-19. We are required to recognize the effects of tax law changes in the period of enactment. We have assessed the applicability of the CARES Act and changes to income tax laws or regulations in other jurisdictions and determined there is no significant affect to our income tax provision for the twenty-six weeks ended August 1, 2020. We continue to assess the effect of the CARES Act and ongoing government guidance related to COVID-19 that may be issued.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Legal Proceedings</w:t>
      </w:r>
    </w:p>
    <w:p>
      <w:pPr>
        <w:spacing w:after="0" w:line="200"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Legal proceedings pending against the Company or its consolidated subsidiaries consist of ordinary, routine litigation, including administrative proceedings, incidental to the business of the Company or businesses that have been sold or discontinued by the Company in past years. These legal proceedings include commercial, intellectual property, customer, environmental, and employment-related claims.</w:t>
      </w:r>
    </w:p>
    <w:p>
      <w:pPr>
        <w:spacing w:after="0" w:line="170"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We do not believe that the outcome of any such legal proceedings pending against the Company or its consolidated subsidiaries, as described above, would have a material adverse effect on our consolidated financial position, liquidity, or results of operations, taken as a whole, based upon current knowledge and taking into consideration current accruals. Litigation is inherently unpredictable. Judgments could be rendered or settlements made that could adversely affect the Company’s operating results or cash flows in a particular period.</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Subsequent Events</w:t>
      </w:r>
    </w:p>
    <w:p>
      <w:pPr>
        <w:spacing w:after="0" w:line="200"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color w:val="auto"/>
        </w:rPr>
        <w:t>During the first quarter, we suspended our second quarter dividend as a result of the economic uncertainty as a result of the COVID-19 pandemic. On August 20, 2020, our Board of Directors approved the reinstatement of our quarterly dividend program at a rate of $0.15 per share, which will be payable on October 30, 2020 to shareholders of record on October 16, 2020. The Board will continue to evaluate the dividend program on a quarterly basis.</w:t>
      </w:r>
    </w:p>
    <w:p>
      <w:pPr>
        <w:spacing w:after="0" w:line="15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One of our minority investments, which is measured using the fair value measurement alternative, received additional funding in August at a higher valuation than our initial investment. This transaction is expected to generate a significant non-cash gain during the third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2020 Form 10-Q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992"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Overview</w:t>
      </w:r>
    </w:p>
    <w:p>
      <w:pPr>
        <w:spacing w:after="0" w:line="214"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Foot Locker, Inc. leads the celebration of sneaker and youth culture around the globe through a portfolio of banners including Foot Locker, Lady Foot Locker, Kids Foot Locker, Champs Sports, Eastbay, Footaction, Runners Point, and Sidestep. Foot Locker, Inc. and its subsidiaries hereafter are referred to as the “Company,” “we,” “our,” or “us.” We operate primarily mall-based stores, as well as stores in high-traffic urban retail areas and high streets, in 27 countries including the United States, Canada, Europe, Australia, New Zealand, and Asia. Our purpose is to inspire and empower youth culture around the world, by fueling a shared passion for self-expression and creating unrivaled experiences at the heart of the global sneaker community.</w:t>
      </w:r>
    </w:p>
    <w:p>
      <w:pPr>
        <w:spacing w:after="0" w:line="12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use our omni-channel capabilities to bridge the digital world and physical stores, including order-in-store, buy online and pickup-in-store, and buy online and ship-from-store, as well as e-commerce. We operate websites and mobile apps aligned with the names of our store banners (including footlocker.com, ladyfootlocker.com, kidsfootlocker.com, champssports.com, footaction.com, footlocker.ca, footlocker.eu (and related e-commerce sites in the various European countries that we operate), footlocker.com.au, runnerspoint.com, sidestep-shoes.com, footlocker.hk, footlocker.sg, and footlocker.my). These sites offer some of the largest online product selections and provide a seamless link between e-commerce and physical stores. We also operate the websites for eastbay.com, final-score.com, and eastbayteamsales.com.</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Store Count</w:t>
      </w:r>
    </w:p>
    <w:p>
      <w:pPr>
        <w:spacing w:after="0" w:line="169" w:lineRule="exact"/>
        <w:rPr>
          <w:sz w:val="20"/>
          <w:szCs w:val="20"/>
          <w:color w:val="auto"/>
        </w:rPr>
      </w:pPr>
    </w:p>
    <w:p>
      <w:pPr>
        <w:jc w:val="both"/>
        <w:ind w:left="60" w:right="79"/>
        <w:spacing w:after="0" w:line="276" w:lineRule="auto"/>
        <w:rPr>
          <w:sz w:val="20"/>
          <w:szCs w:val="20"/>
          <w:color w:val="auto"/>
        </w:rPr>
      </w:pPr>
      <w:r>
        <w:rPr>
          <w:rFonts w:ascii="Arial" w:cs="Arial" w:eastAsia="Arial" w:hAnsi="Arial"/>
          <w:sz w:val="18"/>
          <w:szCs w:val="18"/>
          <w:color w:val="auto"/>
        </w:rPr>
        <w:t>At August 1, 2020, we operated 3,100 stores as compared with 3,129 and 3,174 stores at February 1, 2020 and August 3, 2019, respectively.</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Franchise Operations</w:t>
      </w:r>
    </w:p>
    <w:p>
      <w:pPr>
        <w:spacing w:after="0" w:line="21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 total of 138 franchised stores were operating at August 1, 2020, as compared with 139 and 133 stores at February 1, 2020 and August 3, 2019, respectively. Revenue from franchised stores was not significant for any of the periods presented. These stores are not included in the operating store count above.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Update</w:t>
      </w:r>
    </w:p>
    <w:p>
      <w:pPr>
        <w:spacing w:after="0" w:line="21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December 2019, a novel strain of coronavirus (COVID-19) was reported to have surfaced in Wuhan, China. In March 2020, the World Health Organization designated COVID-19 a pandemic. COVID-19 is having a significant effect on overall economic conditions in nearly all regions around the world and resulted in travel restrictions and business slowdowns or shutdowns. In March, we closed all our stores in North America, EMEA (Europe, Middle East, and Africa), and most of Asia Pacific. We also transitioned to a work-from-home environment for all our office team members and temporarily closed certain of our distribution centers. Our stores remained closed for a significant portion of the first quarter, however we adjusted our openings in accordance with local government guidelines and operated for approximately 70 percent of the operating days during the second quarter.</w:t>
      </w:r>
    </w:p>
    <w:p>
      <w:pPr>
        <w:spacing w:after="0" w:line="16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have set up a special COVID-19 management committee and the committee is taking the necessary precautionary measures to protect the health and safety of our team members, as well as following the guidance provided by local health authorities. We have been highly focused on the changes we are making to operate more safely in light of the COVID-19 pandemic. We implemented newly-established health protocols, including providing personal protective equipment to our team members and implementing social distancing work- practices. Prior to reopening our stores, we implemented various protocols including: occupancy limits, installing protective shields at the registers, encouraging social distancing, providing markers in our queue lines, implementing new processes for handling merchandise returns, and instituting new cleaning regimens, including enhanced cleaning of high-touch surfaces throughout the day.</w:t>
      </w:r>
    </w:p>
    <w:p>
      <w:pPr>
        <w:spacing w:after="0" w:line="39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Second Quarter 2020 Form 10-Q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361950</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1" w:right="1440" w:bottom="1440" w:gutter="0" w:footer="0" w:header="0"/>
        </w:sectPr>
      </w:pPr>
    </w:p>
    <w:bookmarkStart w:id="22" w:name="page23"/>
    <w:bookmarkEnd w:id="22"/>
    <w:p>
      <w:pPr>
        <w:jc w:val="both"/>
        <w:ind w:left="60" w:right="59"/>
        <w:spacing w:after="0" w:line="238" w:lineRule="auto"/>
        <w:rPr>
          <w:sz w:val="20"/>
          <w:szCs w:val="20"/>
          <w:color w:val="auto"/>
        </w:rPr>
      </w:pPr>
      <w:r>
        <w:rPr>
          <w:rFonts w:ascii="Arial" w:cs="Arial" w:eastAsia="Arial" w:hAnsi="Arial"/>
          <w:sz w:val="18"/>
          <w:szCs w:val="18"/>
          <w:color w:val="auto"/>
        </w:rPr>
        <w:t>We have taken numerous steps to protect the health and well-being of our team members, customers, and communities, while also focusing on further strengthening our financial liquidity and flexibility. On April 21, 2020, we communicated to our United States, Canadian, and Australian employees that we were temporarily furloughing (or its equivalent under applicable local law) the majority of our hourly store and certain of our hourly distribution centers team members. We continued to pay all active employees through the week ended April 26, 2020. All team members were called back to work during the second quarter, except in California where we have temporarily closed all mall-based stores across all of our banners at the direction of the state government. Additionally, other measures to preserve our financial position were taken, such as temporarily reducing executive salaries, temporarily suspending the cash element of director compensation, temporarily suspending share repurchases and dividends, and by significantly reducing planned capital expenditures. In July 2020, we amended our credit facility and increased it to $600 million with a 5-year maturity. Due to the positive performance of the Company’s business, strong liquidity position, and more stable cash outlook, these measures were reversed during the third quarter.</w:t>
      </w:r>
    </w:p>
    <w:p>
      <w:pPr>
        <w:spacing w:after="0" w:line="16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On March 27, 2020, the Coronavirus Aid, Relief, and Economic Security Act (the “CARES Act”) was enacted into law and provided opportunities for additional liquidity, emergency assistance for individuals, families and businesses affected by COVID-19. During the first quarter, we recognized benefits from the CARES Act, including federal retention tax credits of up to $5,000 per employee for the wages and health insurance we continued to provide to team members not providing services, a deferral of employer social security taxes for the remainder of 2020, 50 percent of which is payable by December 2021 and the remainder payable by December 2022. Additionally, various jurisdictions in which we operate implemented similar legislation to encourage the continued employment of team members. We intend to continue to review and consider any available potential benefits under the CARES Act or other governmental support for which we qualify. During the twenty-six weeks ended August 1, 2020, we recognized benefits of $ 57 million from the various governmental support programs. We also deferred $12 million of U.S. employer social security taxes through August 1, 2020.</w:t>
      </w:r>
    </w:p>
    <w:p>
      <w:pPr>
        <w:spacing w:after="0" w:line="183"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Additionally, the CARES Act contains several significant income tax provisions, including a temporary five-year carryback of net operating losses and relaxed restrictions on business interest deductions, as well as a permanent technical correction to the depreciation method applicable to “qualified improvement property” placed in service after 2017. We are required to recognize the effect of tax law changes in the period of enactment. We have assessed the applicability of this legislation on our income tax provision and determined there is no significant effect to our 2020 income tax provision.</w:t>
      </w:r>
    </w:p>
    <w:p>
      <w:pPr>
        <w:spacing w:after="0" w:line="17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continuation of the COVID-19 outbreak may cause prolonged or additional intermittent periods of store closures, modified operating schedules, and may result in changes in customer behaviors, including a potential reduction in consumer discretionary spending in our stores. We are experiencing an increase in operating costs for health and safety protocols for both our team members and customers and increased freight costs. Due to the continued effects of the COVID-19 pandemic, our results may be further negatively affected and may lead to increased asset recovery and valuation risks, such as long-lived tangible and right-of-use asset impairments and an inability to realize deferred tax assets due to sustaining losses in certain jurisdictions. The uncertainties in the global economy will likely affect the financial viability of some number of our vendors and may require other changes to our operations. Given the dynamic nature of these circumstances, the duration of business disruption, and reduced customer traffic in our stores, the related financial affect cannot be reasonably estimated at this time but are expected to materially affect our business for the remainder of 2020. Due to these unprecedented conditions, we have withdrawn our financial guidance for 2020.</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Reconciliation of Non-GAAP Measures</w:t>
      </w:r>
    </w:p>
    <w:p>
      <w:pPr>
        <w:spacing w:after="0" w:line="214"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color w:val="auto"/>
        </w:rPr>
        <w:t>In addition to reporting our financial results in accordance with generally accepted accounting principles (“GAAP”), we report certain financial results that differ from what is reported under GAAP. We have presented certain financial measures identified as non-GAAP, such as sales changes excluding foreign currency fluctuations, adjusted income before income taxes, adjusted net income, and adjusted diluted earnings per share.</w:t>
      </w:r>
    </w:p>
    <w:p>
      <w:pPr>
        <w:spacing w:after="0" w:line="38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2020 Form 10-Q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1" w:right="1440" w:bottom="1440" w:gutter="0" w:footer="0" w:header="0"/>
        </w:sectPr>
      </w:pPr>
    </w:p>
    <w:bookmarkStart w:id="23" w:name="page24"/>
    <w:bookmarkEnd w:id="23"/>
    <w:p>
      <w:pPr>
        <w:jc w:val="both"/>
        <w:ind w:left="60" w:right="59"/>
        <w:spacing w:after="0" w:line="245" w:lineRule="auto"/>
        <w:rPr>
          <w:sz w:val="20"/>
          <w:szCs w:val="20"/>
          <w:color w:val="auto"/>
        </w:rPr>
      </w:pPr>
      <w:r>
        <w:rPr>
          <w:rFonts w:ascii="Arial" w:cs="Arial" w:eastAsia="Arial" w:hAnsi="Arial"/>
          <w:sz w:val="18"/>
          <w:szCs w:val="18"/>
          <w:color w:val="auto"/>
        </w:rPr>
        <w:t>We present certain amounts as excluding the effects of foreign currency fluctuations, which are also considered non-GAAP measures. Where amounts are expressed as excluding the effects of foreign currency fluctuations, such changes are determined by translating all amounts in both years using the prior-year average foreign exchange rates. Presenting amounts on a constant currency basis is useful to investors because it enables them to better understand the changes in our business that are not related to currency movements.</w:t>
      </w:r>
    </w:p>
    <w:p>
      <w:pPr>
        <w:spacing w:after="0" w:line="11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These non-GAAP measures are presented because we believe they assist investors in comparing our performance across reporting periods on a consistent basis by excluding items that we do not believe are indicative of our core business or affect comparability. In addition, these non-GAAP measures are useful in assessing our progress in achieving our long-term financial objectives. We estimate the tax effect of all non-GAAP adjustments by applying a marginal tax rate to each of the respective items. The income tax items represent the discrete amount that affected the period. The non-GAAP financial information is provided in addition to, and not as an alternative to, our reported results prepared in accordance with GAAP. Presented below is a reconciliation of GAAP and non-GAAP results for the thirteen and twenty-six weeks ended August 1, 2020 and August 3, 2019.</w:t>
      </w:r>
    </w:p>
    <w:p>
      <w:pPr>
        <w:spacing w:after="0" w:line="141"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7"/>
                <w:szCs w:val="17"/>
                <w:b w:val="1"/>
                <w:bCs w:val="1"/>
                <w:color w:val="auto"/>
              </w:rPr>
              <w:t>Thirteen weeks ended</w:t>
            </w:r>
          </w:p>
        </w:tc>
        <w:tc>
          <w:tcPr>
            <w:tcW w:w="3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7"/>
                <w:szCs w:val="17"/>
                <w:b w:val="1"/>
                <w:bCs w:val="1"/>
                <w:color w:val="auto"/>
              </w:rPr>
              <w:t>Twenty-six weeks ended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jc w:val="right"/>
              <w:ind w:right="295"/>
              <w:spacing w:after="0" w:line="153" w:lineRule="exact"/>
              <w:rPr>
                <w:sz w:val="20"/>
                <w:szCs w:val="20"/>
                <w:color w:val="auto"/>
              </w:rPr>
            </w:pPr>
            <w:r>
              <w:rPr>
                <w:rFonts w:ascii="Arial" w:cs="Arial" w:eastAsia="Arial" w:hAnsi="Arial"/>
                <w:sz w:val="17"/>
                <w:szCs w:val="17"/>
                <w:b w:val="1"/>
                <w:bCs w:val="1"/>
                <w:color w:val="auto"/>
              </w:rPr>
              <w:t>August 1,</w:t>
            </w:r>
          </w:p>
        </w:tc>
        <w:tc>
          <w:tcPr>
            <w:tcW w:w="300" w:type="dxa"/>
            <w:vAlign w:val="bottom"/>
          </w:tcPr>
          <w:p>
            <w:pPr>
              <w:spacing w:after="0"/>
              <w:rPr>
                <w:sz w:val="13"/>
                <w:szCs w:val="13"/>
                <w:color w:val="auto"/>
              </w:rPr>
            </w:pPr>
          </w:p>
        </w:tc>
        <w:tc>
          <w:tcPr>
            <w:tcW w:w="1220" w:type="dxa"/>
            <w:vAlign w:val="bottom"/>
          </w:tcPr>
          <w:p>
            <w:pPr>
              <w:jc w:val="right"/>
              <w:ind w:right="275"/>
              <w:spacing w:after="0" w:line="153" w:lineRule="exact"/>
              <w:rPr>
                <w:sz w:val="20"/>
                <w:szCs w:val="20"/>
                <w:color w:val="auto"/>
              </w:rPr>
            </w:pPr>
            <w:r>
              <w:rPr>
                <w:rFonts w:ascii="Arial" w:cs="Arial" w:eastAsia="Arial" w:hAnsi="Arial"/>
                <w:sz w:val="17"/>
                <w:szCs w:val="17"/>
                <w:b w:val="1"/>
                <w:bCs w:val="1"/>
                <w:color w:val="auto"/>
              </w:rPr>
              <w:t>August 3,</w:t>
            </w:r>
          </w:p>
        </w:tc>
        <w:tc>
          <w:tcPr>
            <w:tcW w:w="320" w:type="dxa"/>
            <w:vAlign w:val="bottom"/>
          </w:tcPr>
          <w:p>
            <w:pPr>
              <w:spacing w:after="0"/>
              <w:rPr>
                <w:sz w:val="13"/>
                <w:szCs w:val="13"/>
                <w:color w:val="auto"/>
              </w:rPr>
            </w:pPr>
          </w:p>
        </w:tc>
        <w:tc>
          <w:tcPr>
            <w:tcW w:w="1260" w:type="dxa"/>
            <w:vAlign w:val="bottom"/>
          </w:tcPr>
          <w:p>
            <w:pPr>
              <w:jc w:val="right"/>
              <w:ind w:right="315"/>
              <w:spacing w:after="0" w:line="153" w:lineRule="exact"/>
              <w:rPr>
                <w:sz w:val="20"/>
                <w:szCs w:val="20"/>
                <w:color w:val="auto"/>
              </w:rPr>
            </w:pPr>
            <w:r>
              <w:rPr>
                <w:rFonts w:ascii="Arial" w:cs="Arial" w:eastAsia="Arial" w:hAnsi="Arial"/>
                <w:sz w:val="17"/>
                <w:szCs w:val="17"/>
                <w:b w:val="1"/>
                <w:bCs w:val="1"/>
                <w:color w:val="auto"/>
              </w:rPr>
              <w:t>August 1,</w:t>
            </w:r>
          </w:p>
        </w:tc>
        <w:tc>
          <w:tcPr>
            <w:tcW w:w="300" w:type="dxa"/>
            <w:vAlign w:val="bottom"/>
          </w:tcPr>
          <w:p>
            <w:pPr>
              <w:spacing w:after="0"/>
              <w:rPr>
                <w:sz w:val="13"/>
                <w:szCs w:val="13"/>
                <w:color w:val="auto"/>
              </w:rPr>
            </w:pPr>
          </w:p>
        </w:tc>
        <w:tc>
          <w:tcPr>
            <w:tcW w:w="1140" w:type="dxa"/>
            <w:vAlign w:val="bottom"/>
          </w:tcPr>
          <w:p>
            <w:pPr>
              <w:jc w:val="right"/>
              <w:ind w:right="195"/>
              <w:spacing w:after="0" w:line="153" w:lineRule="exact"/>
              <w:rPr>
                <w:sz w:val="20"/>
                <w:szCs w:val="20"/>
                <w:color w:val="auto"/>
              </w:rPr>
            </w:pPr>
            <w:r>
              <w:rPr>
                <w:rFonts w:ascii="Arial" w:cs="Arial" w:eastAsia="Arial" w:hAnsi="Arial"/>
                <w:sz w:val="17"/>
                <w:szCs w:val="17"/>
                <w:b w:val="1"/>
                <w:bCs w:val="1"/>
                <w:color w:val="auto"/>
              </w:rPr>
              <w:t>August 3,</w:t>
            </w:r>
          </w:p>
        </w:tc>
        <w:tc>
          <w:tcPr>
            <w:tcW w:w="0" w:type="dxa"/>
            <w:vAlign w:val="bottom"/>
          </w:tcPr>
          <w:p>
            <w:pPr>
              <w:spacing w:after="0"/>
              <w:rPr>
                <w:sz w:val="1"/>
                <w:szCs w:val="1"/>
                <w:color w:val="auto"/>
              </w:rPr>
            </w:pPr>
          </w:p>
        </w:tc>
      </w:tr>
      <w:tr>
        <w:trPr>
          <w:trHeight w:val="219"/>
        </w:trPr>
        <w:tc>
          <w:tcPr>
            <w:tcW w:w="282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300" w:type="dxa"/>
            <w:vAlign w:val="bottom"/>
          </w:tcPr>
          <w:p>
            <w:pPr>
              <w:spacing w:after="0"/>
              <w:rPr>
                <w:sz w:val="19"/>
                <w:szCs w:val="19"/>
                <w:color w:val="auto"/>
              </w:rPr>
            </w:pPr>
          </w:p>
        </w:tc>
        <w:tc>
          <w:tcPr>
            <w:tcW w:w="1240" w:type="dxa"/>
            <w:vAlign w:val="bottom"/>
          </w:tcPr>
          <w:p>
            <w:pPr>
              <w:jc w:val="right"/>
              <w:ind w:right="495"/>
              <w:spacing w:after="0"/>
              <w:rPr>
                <w:sz w:val="20"/>
                <w:szCs w:val="20"/>
                <w:color w:val="auto"/>
              </w:rPr>
            </w:pPr>
            <w:r>
              <w:rPr>
                <w:rFonts w:ascii="Arial" w:cs="Arial" w:eastAsia="Arial" w:hAnsi="Arial"/>
                <w:sz w:val="17"/>
                <w:szCs w:val="17"/>
                <w:b w:val="1"/>
                <w:bCs w:val="1"/>
                <w:color w:val="auto"/>
              </w:rPr>
              <w:t>2020</w:t>
            </w:r>
          </w:p>
        </w:tc>
        <w:tc>
          <w:tcPr>
            <w:tcW w:w="300" w:type="dxa"/>
            <w:vAlign w:val="bottom"/>
          </w:tcPr>
          <w:p>
            <w:pPr>
              <w:spacing w:after="0"/>
              <w:rPr>
                <w:sz w:val="19"/>
                <w:szCs w:val="19"/>
                <w:color w:val="auto"/>
              </w:rPr>
            </w:pPr>
          </w:p>
        </w:tc>
        <w:tc>
          <w:tcPr>
            <w:tcW w:w="1220" w:type="dxa"/>
            <w:vAlign w:val="bottom"/>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320" w:type="dxa"/>
            <w:vAlign w:val="bottom"/>
          </w:tcPr>
          <w:p>
            <w:pPr>
              <w:spacing w:after="0"/>
              <w:rPr>
                <w:sz w:val="19"/>
                <w:szCs w:val="19"/>
                <w:color w:val="auto"/>
              </w:rPr>
            </w:pPr>
          </w:p>
        </w:tc>
        <w:tc>
          <w:tcPr>
            <w:tcW w:w="1260" w:type="dxa"/>
            <w:vAlign w:val="bottom"/>
          </w:tcPr>
          <w:p>
            <w:pPr>
              <w:jc w:val="right"/>
              <w:ind w:right="515"/>
              <w:spacing w:after="0"/>
              <w:rPr>
                <w:sz w:val="20"/>
                <w:szCs w:val="20"/>
                <w:color w:val="auto"/>
              </w:rPr>
            </w:pPr>
            <w:r>
              <w:rPr>
                <w:rFonts w:ascii="Arial" w:cs="Arial" w:eastAsia="Arial" w:hAnsi="Arial"/>
                <w:sz w:val="17"/>
                <w:szCs w:val="17"/>
                <w:b w:val="1"/>
                <w:bCs w:val="1"/>
                <w:color w:val="auto"/>
              </w:rPr>
              <w:t>2020</w:t>
            </w:r>
          </w:p>
        </w:tc>
        <w:tc>
          <w:tcPr>
            <w:tcW w:w="300" w:type="dxa"/>
            <w:vAlign w:val="bottom"/>
          </w:tcPr>
          <w:p>
            <w:pPr>
              <w:spacing w:after="0"/>
              <w:rPr>
                <w:sz w:val="19"/>
                <w:szCs w:val="19"/>
                <w:color w:val="auto"/>
              </w:rPr>
            </w:pPr>
          </w:p>
        </w:tc>
        <w:tc>
          <w:tcPr>
            <w:tcW w:w="1140" w:type="dxa"/>
            <w:vAlign w:val="bottom"/>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Pre-tax income:</w:t>
            </w:r>
          </w:p>
        </w:tc>
        <w:tc>
          <w:tcPr>
            <w:tcW w:w="3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spacing w:after="0" w:line="189" w:lineRule="exact"/>
              <w:rPr>
                <w:sz w:val="20"/>
                <w:szCs w:val="20"/>
                <w:color w:val="auto"/>
              </w:rPr>
            </w:pPr>
            <w:r>
              <w:rPr>
                <w:rFonts w:ascii="Arial" w:cs="Arial" w:eastAsia="Arial" w:hAnsi="Arial"/>
                <w:sz w:val="17"/>
                <w:szCs w:val="17"/>
                <w:color w:val="auto"/>
              </w:rPr>
              <w:t>Income (loss) before income taxes</w:t>
            </w:r>
          </w:p>
        </w:tc>
        <w:tc>
          <w:tcPr>
            <w:tcW w:w="3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70</w:t>
            </w:r>
          </w:p>
        </w:tc>
        <w:tc>
          <w:tcPr>
            <w:tcW w:w="3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2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85</w:t>
            </w:r>
          </w:p>
        </w:tc>
        <w:tc>
          <w:tcPr>
            <w:tcW w:w="3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26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(35)</w:t>
            </w:r>
          </w:p>
        </w:tc>
        <w:tc>
          <w:tcPr>
            <w:tcW w:w="30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319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80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Pre-tax amounts excluded from</w:t>
            </w:r>
          </w:p>
        </w:tc>
        <w:tc>
          <w:tcPr>
            <w:tcW w:w="3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GAAP:</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Borders>
              <w:bottom w:val="single" w:sz="8" w:color="auto"/>
            </w:tcBorders>
          </w:tcPr>
          <w:p>
            <w:pPr>
              <w:ind w:left="200"/>
              <w:spacing w:after="0" w:line="189" w:lineRule="exact"/>
              <w:rPr>
                <w:sz w:val="20"/>
                <w:szCs w:val="20"/>
                <w:color w:val="auto"/>
              </w:rPr>
            </w:pPr>
            <w:r>
              <w:rPr>
                <w:rFonts w:ascii="Arial" w:cs="Arial" w:eastAsia="Arial" w:hAnsi="Arial"/>
                <w:sz w:val="17"/>
                <w:szCs w:val="17"/>
                <w:color w:val="auto"/>
              </w:rPr>
              <w:t>Impairment and other charges</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38</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14</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54</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800" w:type="dxa"/>
            <w:vAlign w:val="bottom"/>
            <w:shd w:val="clear" w:color="auto" w:fill="CCEEFF"/>
          </w:tcPr>
          <w:p>
            <w:pPr>
              <w:spacing w:after="0" w:line="154" w:lineRule="exact"/>
              <w:rPr>
                <w:sz w:val="20"/>
                <w:szCs w:val="20"/>
                <w:color w:val="auto"/>
              </w:rPr>
            </w:pPr>
            <w:r>
              <w:rPr>
                <w:rFonts w:ascii="Arial" w:cs="Arial" w:eastAsia="Arial" w:hAnsi="Arial"/>
                <w:sz w:val="17"/>
                <w:szCs w:val="17"/>
                <w:color w:val="auto"/>
              </w:rPr>
              <w:t>Adjusted income before income</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108</w:t>
            </w:r>
          </w:p>
        </w:tc>
        <w:tc>
          <w:tcPr>
            <w:tcW w:w="3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19</w:t>
            </w: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taxes (non-GAAP)</w:t>
            </w: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99</w:t>
            </w: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2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After-tax income:</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spacing w:after="0" w:line="189" w:lineRule="exact"/>
              <w:rPr>
                <w:sz w:val="20"/>
                <w:szCs w:val="20"/>
                <w:color w:val="auto"/>
              </w:rPr>
            </w:pPr>
            <w:r>
              <w:rPr>
                <w:rFonts w:ascii="Arial" w:cs="Arial" w:eastAsia="Arial" w:hAnsi="Arial"/>
                <w:sz w:val="17"/>
                <w:szCs w:val="17"/>
                <w:color w:val="auto"/>
              </w:rPr>
              <w:t>Net income (loss)</w:t>
            </w:r>
          </w:p>
        </w:tc>
        <w:tc>
          <w:tcPr>
            <w:tcW w:w="3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45</w:t>
            </w:r>
          </w:p>
        </w:tc>
        <w:tc>
          <w:tcPr>
            <w:tcW w:w="3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2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60</w:t>
            </w:r>
          </w:p>
        </w:tc>
        <w:tc>
          <w:tcPr>
            <w:tcW w:w="3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26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(65)</w:t>
            </w:r>
          </w:p>
        </w:tc>
        <w:tc>
          <w:tcPr>
            <w:tcW w:w="3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80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After-tax adjustments excluded</w:t>
            </w:r>
          </w:p>
        </w:tc>
        <w:tc>
          <w:tcPr>
            <w:tcW w:w="3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from GAAP:</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800" w:type="dxa"/>
            <w:vAlign w:val="bottom"/>
          </w:tcPr>
          <w:p>
            <w:pPr>
              <w:ind w:left="200"/>
              <w:spacing w:after="0" w:line="161" w:lineRule="exact"/>
              <w:rPr>
                <w:sz w:val="20"/>
                <w:szCs w:val="20"/>
                <w:color w:val="auto"/>
              </w:rPr>
            </w:pPr>
            <w:r>
              <w:rPr>
                <w:rFonts w:ascii="Arial" w:cs="Arial" w:eastAsia="Arial" w:hAnsi="Arial"/>
                <w:sz w:val="17"/>
                <w:szCs w:val="17"/>
                <w:color w:val="auto"/>
              </w:rPr>
              <w:t>Impairment and other charges,</w:t>
            </w: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ind w:left="200"/>
              <w:spacing w:after="0" w:line="189" w:lineRule="exact"/>
              <w:rPr>
                <w:sz w:val="20"/>
                <w:szCs w:val="20"/>
                <w:color w:val="auto"/>
              </w:rPr>
            </w:pPr>
            <w:r>
              <w:rPr>
                <w:rFonts w:ascii="Arial" w:cs="Arial" w:eastAsia="Arial" w:hAnsi="Arial"/>
                <w:sz w:val="17"/>
                <w:szCs w:val="17"/>
                <w:color w:val="auto"/>
              </w:rPr>
              <w:t>net of income tax benefit of $6,</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ind w:left="200"/>
              <w:spacing w:after="0" w:line="189" w:lineRule="exact"/>
              <w:rPr>
                <w:sz w:val="20"/>
                <w:szCs w:val="20"/>
                <w:color w:val="auto"/>
              </w:rPr>
            </w:pPr>
            <w:r>
              <w:rPr>
                <w:rFonts w:ascii="Arial" w:cs="Arial" w:eastAsia="Arial" w:hAnsi="Arial"/>
                <w:sz w:val="17"/>
                <w:szCs w:val="17"/>
                <w:color w:val="auto"/>
              </w:rPr>
              <w:t>$4, $9, and $4 million,</w:t>
            </w:r>
          </w:p>
        </w:tc>
        <w:tc>
          <w:tcPr>
            <w:tcW w:w="300" w:type="dxa"/>
            <w:vAlign w:val="bottom"/>
          </w:tcPr>
          <w:p>
            <w:pPr>
              <w:spacing w:after="0"/>
              <w:rPr>
                <w:sz w:val="16"/>
                <w:szCs w:val="16"/>
                <w:color w:val="auto"/>
              </w:rPr>
            </w:pPr>
          </w:p>
        </w:tc>
        <w:tc>
          <w:tcPr>
            <w:tcW w:w="124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32</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vMerge w:val="restart"/>
          </w:tcPr>
          <w:p>
            <w:pPr>
              <w:jc w:val="right"/>
              <w:ind w:right="95"/>
              <w:spacing w:after="0"/>
              <w:rPr>
                <w:sz w:val="20"/>
                <w:szCs w:val="20"/>
                <w:color w:val="auto"/>
              </w:rPr>
            </w:pPr>
            <w:r>
              <w:rPr>
                <w:rFonts w:ascii="Arial" w:cs="Arial" w:eastAsia="Arial" w:hAnsi="Arial"/>
                <w:sz w:val="17"/>
                <w:szCs w:val="17"/>
                <w:b w:val="1"/>
                <w:bCs w:val="1"/>
                <w:color w:val="auto"/>
              </w:rPr>
              <w:t>45</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7"/>
                <w:szCs w:val="17"/>
                <w:color w:val="auto"/>
              </w:rPr>
              <w:t>respectively</w:t>
            </w:r>
          </w:p>
        </w:tc>
        <w:tc>
          <w:tcPr>
            <w:tcW w:w="3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10</w:t>
            </w:r>
          </w:p>
        </w:tc>
        <w:tc>
          <w:tcPr>
            <w:tcW w:w="3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800" w:type="dxa"/>
            <w:vAlign w:val="bottom"/>
            <w:shd w:val="clear" w:color="auto" w:fill="CCEEFF"/>
          </w:tcPr>
          <w:p>
            <w:pPr>
              <w:ind w:left="200"/>
              <w:spacing w:after="0" w:line="161" w:lineRule="exact"/>
              <w:rPr>
                <w:sz w:val="20"/>
                <w:szCs w:val="20"/>
                <w:color w:val="auto"/>
              </w:rPr>
            </w:pPr>
            <w:r>
              <w:rPr>
                <w:rFonts w:ascii="Arial" w:cs="Arial" w:eastAsia="Arial" w:hAnsi="Arial"/>
                <w:sz w:val="17"/>
                <w:szCs w:val="17"/>
                <w:color w:val="auto"/>
              </w:rPr>
              <w:t>Tax (benefit) charge related to</w:t>
            </w:r>
          </w:p>
        </w:tc>
        <w:tc>
          <w:tcPr>
            <w:tcW w:w="3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revaluation of certain intellectual</w:t>
            </w:r>
          </w:p>
        </w:tc>
        <w:tc>
          <w:tcPr>
            <w:tcW w:w="3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25</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property rights</w:t>
            </w:r>
          </w:p>
        </w:tc>
        <w:tc>
          <w:tcPr>
            <w:tcW w:w="3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Borders>
              <w:bottom w:val="single" w:sz="8" w:color="auto"/>
            </w:tcBorders>
          </w:tcPr>
          <w:p>
            <w:pPr>
              <w:ind w:left="200"/>
              <w:spacing w:after="0" w:line="189" w:lineRule="exact"/>
              <w:rPr>
                <w:sz w:val="20"/>
                <w:szCs w:val="20"/>
                <w:color w:val="auto"/>
              </w:rPr>
            </w:pPr>
            <w:r>
              <w:rPr>
                <w:rFonts w:ascii="Arial" w:cs="Arial" w:eastAsia="Arial" w:hAnsi="Arial"/>
                <w:sz w:val="17"/>
                <w:szCs w:val="17"/>
                <w:color w:val="auto"/>
              </w:rPr>
              <w:t>U.S. tax reform</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2</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Adjusted net income (non-GAAP)</w:t>
            </w:r>
          </w:p>
        </w:tc>
        <w:tc>
          <w:tcPr>
            <w:tcW w:w="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75</w:t>
            </w:r>
          </w:p>
        </w:tc>
        <w:tc>
          <w:tcPr>
            <w:tcW w:w="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72</w:t>
            </w:r>
          </w:p>
        </w:tc>
        <w:tc>
          <w:tcPr>
            <w:tcW w:w="3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5</w:t>
            </w:r>
          </w:p>
        </w:tc>
        <w:tc>
          <w:tcPr>
            <w:tcW w:w="3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2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Earnings per share:</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spacing w:after="0" w:line="189" w:lineRule="exact"/>
              <w:rPr>
                <w:sz w:val="20"/>
                <w:szCs w:val="20"/>
                <w:color w:val="auto"/>
              </w:rPr>
            </w:pPr>
            <w:r>
              <w:rPr>
                <w:rFonts w:ascii="Arial" w:cs="Arial" w:eastAsia="Arial" w:hAnsi="Arial"/>
                <w:sz w:val="17"/>
                <w:szCs w:val="17"/>
                <w:color w:val="auto"/>
              </w:rPr>
              <w:t>Diluted earnings (loss) per share</w:t>
            </w:r>
          </w:p>
        </w:tc>
        <w:tc>
          <w:tcPr>
            <w:tcW w:w="3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0.43</w:t>
            </w:r>
          </w:p>
        </w:tc>
        <w:tc>
          <w:tcPr>
            <w:tcW w:w="3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2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0.55</w:t>
            </w:r>
          </w:p>
        </w:tc>
        <w:tc>
          <w:tcPr>
            <w:tcW w:w="3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26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(0.62)</w:t>
            </w:r>
          </w:p>
        </w:tc>
        <w:tc>
          <w:tcPr>
            <w:tcW w:w="3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80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Diluted EPS amounts excluded</w:t>
            </w:r>
          </w:p>
        </w:tc>
        <w:tc>
          <w:tcPr>
            <w:tcW w:w="3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from GAAP:</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ind w:left="200"/>
              <w:spacing w:after="0" w:line="189" w:lineRule="exact"/>
              <w:rPr>
                <w:sz w:val="20"/>
                <w:szCs w:val="20"/>
                <w:color w:val="auto"/>
              </w:rPr>
            </w:pPr>
            <w:r>
              <w:rPr>
                <w:rFonts w:ascii="Arial" w:cs="Arial" w:eastAsia="Arial" w:hAnsi="Arial"/>
                <w:sz w:val="17"/>
                <w:szCs w:val="17"/>
                <w:color w:val="auto"/>
              </w:rPr>
              <w:t>Impairment and other charges</w:t>
            </w:r>
          </w:p>
        </w:tc>
        <w:tc>
          <w:tcPr>
            <w:tcW w:w="300" w:type="dxa"/>
            <w:vAlign w:val="bottom"/>
          </w:tcPr>
          <w:p>
            <w:pPr>
              <w:spacing w:after="0"/>
              <w:rPr>
                <w:sz w:val="16"/>
                <w:szCs w:val="16"/>
                <w:color w:val="auto"/>
              </w:rPr>
            </w:pPr>
          </w:p>
        </w:tc>
        <w:tc>
          <w:tcPr>
            <w:tcW w:w="12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0.30</w:t>
            </w:r>
          </w:p>
        </w:tc>
        <w:tc>
          <w:tcPr>
            <w:tcW w:w="300" w:type="dxa"/>
            <w:vAlign w:val="bottom"/>
          </w:tcPr>
          <w:p>
            <w:pPr>
              <w:spacing w:after="0"/>
              <w:rPr>
                <w:sz w:val="16"/>
                <w:szCs w:val="16"/>
                <w:color w:val="auto"/>
              </w:rPr>
            </w:pPr>
          </w:p>
        </w:tc>
        <w:tc>
          <w:tcPr>
            <w:tcW w:w="12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0.09</w:t>
            </w:r>
          </w:p>
        </w:tc>
        <w:tc>
          <w:tcPr>
            <w:tcW w:w="320" w:type="dxa"/>
            <w:vAlign w:val="bottom"/>
          </w:tcPr>
          <w:p>
            <w:pPr>
              <w:spacing w:after="0"/>
              <w:rPr>
                <w:sz w:val="16"/>
                <w:szCs w:val="16"/>
                <w:color w:val="auto"/>
              </w:rPr>
            </w:pPr>
          </w:p>
        </w:tc>
        <w:tc>
          <w:tcPr>
            <w:tcW w:w="126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0.43</w:t>
            </w:r>
          </w:p>
        </w:tc>
        <w:tc>
          <w:tcPr>
            <w:tcW w:w="3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0.10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800" w:type="dxa"/>
            <w:vAlign w:val="bottom"/>
            <w:shd w:val="clear" w:color="auto" w:fill="CCEEFF"/>
          </w:tcPr>
          <w:p>
            <w:pPr>
              <w:ind w:left="200"/>
              <w:spacing w:after="0" w:line="161" w:lineRule="exact"/>
              <w:rPr>
                <w:sz w:val="20"/>
                <w:szCs w:val="20"/>
                <w:color w:val="auto"/>
              </w:rPr>
            </w:pPr>
            <w:r>
              <w:rPr>
                <w:rFonts w:ascii="Arial" w:cs="Arial" w:eastAsia="Arial" w:hAnsi="Arial"/>
                <w:sz w:val="17"/>
                <w:szCs w:val="17"/>
                <w:color w:val="auto"/>
              </w:rPr>
              <w:t>Tax (benefit) charge related to</w:t>
            </w:r>
          </w:p>
        </w:tc>
        <w:tc>
          <w:tcPr>
            <w:tcW w:w="3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revaluation of certain intellectual</w:t>
            </w:r>
          </w:p>
        </w:tc>
        <w:tc>
          <w:tcPr>
            <w:tcW w:w="3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(0.02)</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0.24</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property rights</w:t>
            </w:r>
          </w:p>
        </w:tc>
        <w:tc>
          <w:tcPr>
            <w:tcW w:w="3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Borders>
              <w:bottom w:val="single" w:sz="8" w:color="auto"/>
            </w:tcBorders>
          </w:tcPr>
          <w:p>
            <w:pPr>
              <w:ind w:left="200"/>
              <w:spacing w:after="0" w:line="189" w:lineRule="exact"/>
              <w:rPr>
                <w:sz w:val="20"/>
                <w:szCs w:val="20"/>
                <w:color w:val="auto"/>
              </w:rPr>
            </w:pPr>
            <w:r>
              <w:rPr>
                <w:rFonts w:ascii="Arial" w:cs="Arial" w:eastAsia="Arial" w:hAnsi="Arial"/>
                <w:sz w:val="17"/>
                <w:szCs w:val="17"/>
                <w:color w:val="auto"/>
              </w:rPr>
              <w:t>Tax reform</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0.02</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800" w:type="dxa"/>
            <w:vAlign w:val="bottom"/>
            <w:shd w:val="clear" w:color="auto" w:fill="CCEEFF"/>
          </w:tcPr>
          <w:p>
            <w:pPr>
              <w:spacing w:after="0" w:line="154" w:lineRule="exact"/>
              <w:rPr>
                <w:sz w:val="20"/>
                <w:szCs w:val="20"/>
                <w:color w:val="auto"/>
              </w:rPr>
            </w:pPr>
            <w:r>
              <w:rPr>
                <w:rFonts w:ascii="Arial" w:cs="Arial" w:eastAsia="Arial" w:hAnsi="Arial"/>
                <w:sz w:val="17"/>
                <w:szCs w:val="17"/>
                <w:color w:val="auto"/>
              </w:rPr>
              <w:t>Adjusted diluted earnings per share</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0.71</w:t>
            </w:r>
          </w:p>
        </w:tc>
        <w:tc>
          <w:tcPr>
            <w:tcW w:w="3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0.05</w:t>
            </w: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(non-GAAP)</w:t>
            </w: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0.66</w:t>
            </w: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Second Quarter 2020 Form 10-Q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361950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711" w:right="1440" w:bottom="1440" w:gutter="0" w:footer="0" w:header="0"/>
        </w:sectPr>
      </w:pPr>
    </w:p>
    <w:bookmarkStart w:id="24" w:name="page25"/>
    <w:bookmarkEnd w:id="24"/>
    <w:p>
      <w:pPr>
        <w:jc w:val="both"/>
        <w:ind w:left="60" w:right="59"/>
        <w:spacing w:after="0" w:line="248" w:lineRule="auto"/>
        <w:rPr>
          <w:sz w:val="20"/>
          <w:szCs w:val="20"/>
          <w:color w:val="auto"/>
        </w:rPr>
      </w:pPr>
      <w:r>
        <w:rPr>
          <w:rFonts w:ascii="Arial" w:cs="Arial" w:eastAsia="Arial" w:hAnsi="Arial"/>
          <w:sz w:val="18"/>
          <w:szCs w:val="18"/>
          <w:color w:val="auto"/>
        </w:rPr>
        <w:t xml:space="preserve">During the thirteen and twenty-six weeks ended August 1, 2020, we recorded pre-tax charges of $38 million and $54 million, respectively, classified as Impairment and Other Charges. This compares with charges of $14 million and $15 million recognized for the thirteen and twenty-six weeks ended August 3, 2019, respectively. See the </w:t>
      </w:r>
      <w:r>
        <w:rPr>
          <w:rFonts w:ascii="Arial" w:cs="Arial" w:eastAsia="Arial" w:hAnsi="Arial"/>
          <w:sz w:val="18"/>
          <w:szCs w:val="18"/>
          <w:i w:val="1"/>
          <w:iCs w:val="1"/>
          <w:color w:val="auto"/>
        </w:rPr>
        <w:t>Impairment and Other Charges</w:t>
      </w:r>
      <w:r>
        <w:rPr>
          <w:rFonts w:ascii="Arial" w:cs="Arial" w:eastAsia="Arial" w:hAnsi="Arial"/>
          <w:sz w:val="18"/>
          <w:szCs w:val="18"/>
          <w:color w:val="auto"/>
        </w:rPr>
        <w:t xml:space="preserve"> section for further information.</w:t>
      </w:r>
    </w:p>
    <w:p>
      <w:pPr>
        <w:spacing w:after="0" w:line="170"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Related to the non-GAAP adjustments for income taxes, during the first quarter of 2020 we recorded a $27 million tax charge related to the revaluation of certain intellectual property rights, pursuant to a non-U.S. advance pricing agreement. Due to the improved financial outlook during the second quarter of 2020, we reversed $2 million of the revaluation charge. In connection with U.S. tax reform, we recorded a charge for $2 million for the thirteen weeks ended August 3, 2019. The charge reflected an adjustment to U.S. tax on foreign income.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Reporting</w:t>
      </w:r>
    </w:p>
    <w:p>
      <w:pPr>
        <w:spacing w:after="0" w:line="214"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We have determined that we have three operating segments, North America, EMEA, and Asia Pacific. Our North America operating segment includes the results of the following banners operating in the U.S. and Canada: Foot Locker, Kids Foot Locker, Lady Foot Locker, Champs Sports, and Footaction, including each of their related e-commerce businesses, as well as our Eastbay business that includes internet, catalog, and team sales. Our EMEA operating segment includes the results of the following banners operating in Europe: Foot Locker, Runners Point, Sidestep, and Kids Foot Locker, including each of their related e-commerce businesses. Our Asia Pacific operating segment includes the results of Foot Locker and Kids Foot Locker and the related e-commerce businesses, as applicable, operating in Australia, New Zealand, and Asia. We have further aggregated these operating segments into one reportable segment based upon their shared customer base and similar economic characteristics.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73"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We evaluate performance based on several factors, of which the primary financial measure is the banner’s financial results referred to as division profit. Division profit reflects income before income taxes, impairment and other charges, corporate expenses, non-operating income, and net interest (expense) income. The following table summarizes our results:</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3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7"/>
                <w:szCs w:val="17"/>
                <w:b w:val="1"/>
                <w:bCs w:val="1"/>
                <w:color w:val="auto"/>
              </w:rPr>
              <w:t>Thirteen weeks ended</w:t>
            </w:r>
          </w:p>
        </w:tc>
        <w:tc>
          <w:tcPr>
            <w:tcW w:w="2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7"/>
                <w:szCs w:val="17"/>
                <w:b w:val="1"/>
                <w:bCs w:val="1"/>
                <w:color w:val="auto"/>
              </w:rPr>
              <w:t>Twenty-six weeks ended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ind w:right="215"/>
              <w:spacing w:after="0" w:line="153" w:lineRule="exact"/>
              <w:rPr>
                <w:sz w:val="20"/>
                <w:szCs w:val="20"/>
                <w:color w:val="auto"/>
              </w:rPr>
            </w:pPr>
            <w:r>
              <w:rPr>
                <w:rFonts w:ascii="Arial" w:cs="Arial" w:eastAsia="Arial" w:hAnsi="Arial"/>
                <w:sz w:val="17"/>
                <w:szCs w:val="17"/>
                <w:b w:val="1"/>
                <w:bCs w:val="1"/>
                <w:color w:val="auto"/>
              </w:rPr>
              <w:t>August 1,</w:t>
            </w:r>
          </w:p>
        </w:tc>
        <w:tc>
          <w:tcPr>
            <w:tcW w:w="240" w:type="dxa"/>
            <w:vAlign w:val="bottom"/>
          </w:tcPr>
          <w:p>
            <w:pPr>
              <w:spacing w:after="0"/>
              <w:rPr>
                <w:sz w:val="13"/>
                <w:szCs w:val="13"/>
                <w:color w:val="auto"/>
              </w:rPr>
            </w:pPr>
          </w:p>
        </w:tc>
        <w:tc>
          <w:tcPr>
            <w:tcW w:w="1080" w:type="dxa"/>
            <w:vAlign w:val="bottom"/>
          </w:tcPr>
          <w:p>
            <w:pPr>
              <w:jc w:val="right"/>
              <w:ind w:right="175"/>
              <w:spacing w:after="0" w:line="153" w:lineRule="exact"/>
              <w:rPr>
                <w:sz w:val="20"/>
                <w:szCs w:val="20"/>
                <w:color w:val="auto"/>
              </w:rPr>
            </w:pPr>
            <w:r>
              <w:rPr>
                <w:rFonts w:ascii="Arial" w:cs="Arial" w:eastAsia="Arial" w:hAnsi="Arial"/>
                <w:sz w:val="17"/>
                <w:szCs w:val="17"/>
                <w:b w:val="1"/>
                <w:bCs w:val="1"/>
                <w:color w:val="auto"/>
              </w:rPr>
              <w:t>August 3,</w:t>
            </w:r>
          </w:p>
        </w:tc>
        <w:tc>
          <w:tcPr>
            <w:tcW w:w="260" w:type="dxa"/>
            <w:vAlign w:val="bottom"/>
          </w:tcPr>
          <w:p>
            <w:pPr>
              <w:spacing w:after="0"/>
              <w:rPr>
                <w:sz w:val="13"/>
                <w:szCs w:val="13"/>
                <w:color w:val="auto"/>
              </w:rPr>
            </w:pPr>
          </w:p>
        </w:tc>
        <w:tc>
          <w:tcPr>
            <w:tcW w:w="1120" w:type="dxa"/>
            <w:vAlign w:val="bottom"/>
          </w:tcPr>
          <w:p>
            <w:pPr>
              <w:jc w:val="right"/>
              <w:ind w:right="215"/>
              <w:spacing w:after="0" w:line="153" w:lineRule="exact"/>
              <w:rPr>
                <w:sz w:val="20"/>
                <w:szCs w:val="20"/>
                <w:color w:val="auto"/>
              </w:rPr>
            </w:pPr>
            <w:r>
              <w:rPr>
                <w:rFonts w:ascii="Arial" w:cs="Arial" w:eastAsia="Arial" w:hAnsi="Arial"/>
                <w:sz w:val="17"/>
                <w:szCs w:val="17"/>
                <w:b w:val="1"/>
                <w:bCs w:val="1"/>
                <w:color w:val="auto"/>
              </w:rPr>
              <w:t>August 1,</w:t>
            </w:r>
          </w:p>
        </w:tc>
        <w:tc>
          <w:tcPr>
            <w:tcW w:w="240" w:type="dxa"/>
            <w:vAlign w:val="bottom"/>
          </w:tcPr>
          <w:p>
            <w:pPr>
              <w:spacing w:after="0"/>
              <w:rPr>
                <w:sz w:val="13"/>
                <w:szCs w:val="13"/>
                <w:color w:val="auto"/>
              </w:rPr>
            </w:pPr>
          </w:p>
        </w:tc>
        <w:tc>
          <w:tcPr>
            <w:tcW w:w="1020" w:type="dxa"/>
            <w:vAlign w:val="bottom"/>
          </w:tcPr>
          <w:p>
            <w:pPr>
              <w:jc w:val="right"/>
              <w:ind w:right="115"/>
              <w:spacing w:after="0" w:line="153" w:lineRule="exact"/>
              <w:rPr>
                <w:sz w:val="20"/>
                <w:szCs w:val="20"/>
                <w:color w:val="auto"/>
              </w:rPr>
            </w:pPr>
            <w:r>
              <w:rPr>
                <w:rFonts w:ascii="Arial" w:cs="Arial" w:eastAsia="Arial" w:hAnsi="Arial"/>
                <w:sz w:val="17"/>
                <w:szCs w:val="17"/>
                <w:b w:val="1"/>
                <w:bCs w:val="1"/>
                <w:color w:val="auto"/>
              </w:rPr>
              <w:t>August 3,</w:t>
            </w:r>
          </w:p>
        </w:tc>
        <w:tc>
          <w:tcPr>
            <w:tcW w:w="0" w:type="dxa"/>
            <w:vAlign w:val="bottom"/>
          </w:tcPr>
          <w:p>
            <w:pPr>
              <w:spacing w:after="0"/>
              <w:rPr>
                <w:sz w:val="1"/>
                <w:szCs w:val="1"/>
                <w:color w:val="auto"/>
              </w:rPr>
            </w:pPr>
          </w:p>
        </w:tc>
      </w:tr>
      <w:tr>
        <w:trPr>
          <w:trHeight w:val="219"/>
        </w:trPr>
        <w:tc>
          <w:tcPr>
            <w:tcW w:w="330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520" w:type="dxa"/>
            <w:vAlign w:val="bottom"/>
          </w:tcPr>
          <w:p>
            <w:pPr>
              <w:spacing w:after="0"/>
              <w:rPr>
                <w:sz w:val="19"/>
                <w:szCs w:val="19"/>
                <w:color w:val="auto"/>
              </w:rPr>
            </w:pPr>
          </w:p>
        </w:tc>
        <w:tc>
          <w:tcPr>
            <w:tcW w:w="1120" w:type="dxa"/>
            <w:vAlign w:val="bottom"/>
          </w:tcPr>
          <w:p>
            <w:pPr>
              <w:jc w:val="right"/>
              <w:ind w:right="415"/>
              <w:spacing w:after="0"/>
              <w:rPr>
                <w:sz w:val="20"/>
                <w:szCs w:val="20"/>
                <w:color w:val="auto"/>
              </w:rPr>
            </w:pPr>
            <w:r>
              <w:rPr>
                <w:rFonts w:ascii="Arial" w:cs="Arial" w:eastAsia="Arial" w:hAnsi="Arial"/>
                <w:sz w:val="17"/>
                <w:szCs w:val="17"/>
                <w:b w:val="1"/>
                <w:bCs w:val="1"/>
                <w:color w:val="auto"/>
              </w:rPr>
              <w:t>2020</w:t>
            </w:r>
          </w:p>
        </w:tc>
        <w:tc>
          <w:tcPr>
            <w:tcW w:w="240" w:type="dxa"/>
            <w:vAlign w:val="bottom"/>
          </w:tcPr>
          <w:p>
            <w:pPr>
              <w:spacing w:after="0"/>
              <w:rPr>
                <w:sz w:val="19"/>
                <w:szCs w:val="19"/>
                <w:color w:val="auto"/>
              </w:rPr>
            </w:pPr>
          </w:p>
        </w:tc>
        <w:tc>
          <w:tcPr>
            <w:tcW w:w="1080" w:type="dxa"/>
            <w:vAlign w:val="bottom"/>
          </w:tcPr>
          <w:p>
            <w:pPr>
              <w:jc w:val="right"/>
              <w:ind w:right="375"/>
              <w:spacing w:after="0"/>
              <w:rPr>
                <w:sz w:val="20"/>
                <w:szCs w:val="20"/>
                <w:color w:val="auto"/>
              </w:rPr>
            </w:pPr>
            <w:r>
              <w:rPr>
                <w:rFonts w:ascii="Arial" w:cs="Arial" w:eastAsia="Arial" w:hAnsi="Arial"/>
                <w:sz w:val="17"/>
                <w:szCs w:val="17"/>
                <w:b w:val="1"/>
                <w:bCs w:val="1"/>
                <w:color w:val="auto"/>
              </w:rPr>
              <w:t>2019</w:t>
            </w:r>
          </w:p>
        </w:tc>
        <w:tc>
          <w:tcPr>
            <w:tcW w:w="260" w:type="dxa"/>
            <w:vAlign w:val="bottom"/>
          </w:tcPr>
          <w:p>
            <w:pPr>
              <w:spacing w:after="0"/>
              <w:rPr>
                <w:sz w:val="19"/>
                <w:szCs w:val="19"/>
                <w:color w:val="auto"/>
              </w:rPr>
            </w:pPr>
          </w:p>
        </w:tc>
        <w:tc>
          <w:tcPr>
            <w:tcW w:w="1120" w:type="dxa"/>
            <w:vAlign w:val="bottom"/>
          </w:tcPr>
          <w:p>
            <w:pPr>
              <w:jc w:val="right"/>
              <w:ind w:right="415"/>
              <w:spacing w:after="0"/>
              <w:rPr>
                <w:sz w:val="20"/>
                <w:szCs w:val="20"/>
                <w:color w:val="auto"/>
              </w:rPr>
            </w:pPr>
            <w:r>
              <w:rPr>
                <w:rFonts w:ascii="Arial" w:cs="Arial" w:eastAsia="Arial" w:hAnsi="Arial"/>
                <w:sz w:val="17"/>
                <w:szCs w:val="17"/>
                <w:b w:val="1"/>
                <w:bCs w:val="1"/>
                <w:color w:val="auto"/>
              </w:rPr>
              <w:t>2020</w:t>
            </w:r>
          </w:p>
        </w:tc>
        <w:tc>
          <w:tcPr>
            <w:tcW w:w="240" w:type="dxa"/>
            <w:vAlign w:val="bottom"/>
          </w:tcPr>
          <w:p>
            <w:pPr>
              <w:spacing w:after="0"/>
              <w:rPr>
                <w:sz w:val="19"/>
                <w:szCs w:val="19"/>
                <w:color w:val="auto"/>
              </w:rPr>
            </w:pPr>
          </w:p>
        </w:tc>
        <w:tc>
          <w:tcPr>
            <w:tcW w:w="1020" w:type="dxa"/>
            <w:vAlign w:val="bottom"/>
          </w:tcPr>
          <w:p>
            <w:pPr>
              <w:jc w:val="right"/>
              <w:ind w:right="31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Sales</w:t>
            </w:r>
          </w:p>
        </w:tc>
        <w:tc>
          <w:tcPr>
            <w:tcW w:w="5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2,077</w:t>
            </w:r>
          </w:p>
        </w:tc>
        <w:tc>
          <w:tcPr>
            <w:tcW w:w="2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1,774</w:t>
            </w:r>
          </w:p>
        </w:tc>
        <w:tc>
          <w:tcPr>
            <w:tcW w:w="2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3,253</w:t>
            </w:r>
          </w:p>
        </w:tc>
        <w:tc>
          <w:tcPr>
            <w:tcW w:w="2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3,852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Results</w:t>
            </w: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Pr>
          <w:p>
            <w:pPr>
              <w:spacing w:after="0" w:line="189" w:lineRule="exact"/>
              <w:rPr>
                <w:sz w:val="20"/>
                <w:szCs w:val="20"/>
                <w:color w:val="auto"/>
              </w:rPr>
            </w:pPr>
            <w:r>
              <w:rPr>
                <w:rFonts w:ascii="Arial" w:cs="Arial" w:eastAsia="Arial" w:hAnsi="Arial"/>
                <w:sz w:val="17"/>
                <w:szCs w:val="17"/>
                <w:color w:val="auto"/>
              </w:rPr>
              <w:t>Division profit</w:t>
            </w:r>
          </w:p>
        </w:tc>
        <w:tc>
          <w:tcPr>
            <w:tcW w:w="520" w:type="dxa"/>
            <w:vAlign w:val="bottom"/>
          </w:tcPr>
          <w:p>
            <w:pPr>
              <w:spacing w:after="0"/>
              <w:rPr>
                <w:sz w:val="16"/>
                <w:szCs w:val="16"/>
                <w:color w:val="auto"/>
              </w:rPr>
            </w:pPr>
          </w:p>
        </w:tc>
        <w:tc>
          <w:tcPr>
            <w:tcW w:w="11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125</w:t>
            </w:r>
          </w:p>
        </w:tc>
        <w:tc>
          <w:tcPr>
            <w:tcW w:w="240" w:type="dxa"/>
            <w:vAlign w:val="bottom"/>
          </w:tcPr>
          <w:p>
            <w:pPr>
              <w:spacing w:after="0"/>
              <w:rPr>
                <w:sz w:val="16"/>
                <w:szCs w:val="16"/>
                <w:color w:val="auto"/>
              </w:rPr>
            </w:pPr>
          </w:p>
        </w:tc>
        <w:tc>
          <w:tcPr>
            <w:tcW w:w="10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115</w:t>
            </w:r>
          </w:p>
        </w:tc>
        <w:tc>
          <w:tcPr>
            <w:tcW w:w="260" w:type="dxa"/>
            <w:vAlign w:val="bottom"/>
          </w:tcPr>
          <w:p>
            <w:pPr>
              <w:spacing w:after="0"/>
              <w:rPr>
                <w:sz w:val="16"/>
                <w:szCs w:val="16"/>
                <w:color w:val="auto"/>
              </w:rPr>
            </w:pPr>
          </w:p>
        </w:tc>
        <w:tc>
          <w:tcPr>
            <w:tcW w:w="11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46</w:t>
            </w:r>
          </w:p>
        </w:tc>
        <w:tc>
          <w:tcPr>
            <w:tcW w:w="2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365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shd w:val="clear" w:color="auto" w:fill="CCEEFF"/>
          </w:tcPr>
          <w:p>
            <w:pPr>
              <w:spacing w:after="0" w:line="189" w:lineRule="exact"/>
              <w:rPr>
                <w:sz w:val="20"/>
                <w:szCs w:val="20"/>
                <w:color w:val="auto"/>
              </w:rPr>
            </w:pPr>
            <w:r>
              <w:rPr>
                <w:rFonts w:ascii="Arial" w:cs="Arial" w:eastAsia="Arial" w:hAnsi="Arial"/>
                <w:sz w:val="15"/>
                <w:szCs w:val="15"/>
                <w:color w:val="auto"/>
              </w:rPr>
              <w:t xml:space="preserve">Less: Impairment and other charges </w:t>
            </w:r>
            <w:r>
              <w:rPr>
                <w:rFonts w:ascii="Arial" w:cs="Arial" w:eastAsia="Arial" w:hAnsi="Arial"/>
                <w:sz w:val="21"/>
                <w:szCs w:val="21"/>
                <w:color w:val="auto"/>
                <w:vertAlign w:val="superscript"/>
              </w:rPr>
              <w:t>(1)</w:t>
            </w: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38</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14</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54</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Borders>
              <w:bottom w:val="single" w:sz="8" w:color="auto"/>
            </w:tcBorders>
          </w:tcPr>
          <w:p>
            <w:pPr>
              <w:spacing w:after="0" w:line="189" w:lineRule="exact"/>
              <w:rPr>
                <w:sz w:val="20"/>
                <w:szCs w:val="20"/>
                <w:color w:val="auto"/>
              </w:rPr>
            </w:pPr>
            <w:r>
              <w:rPr>
                <w:rFonts w:ascii="Arial" w:cs="Arial" w:eastAsia="Arial" w:hAnsi="Arial"/>
                <w:sz w:val="15"/>
                <w:szCs w:val="15"/>
                <w:color w:val="auto"/>
              </w:rPr>
              <w:t xml:space="preserve">Less: Corporate expense </w:t>
            </w:r>
            <w:r>
              <w:rPr>
                <w:rFonts w:ascii="Arial" w:cs="Arial" w:eastAsia="Arial" w:hAnsi="Arial"/>
                <w:sz w:val="21"/>
                <w:szCs w:val="21"/>
                <w:color w:val="auto"/>
                <w:vertAlign w:val="superscript"/>
              </w:rPr>
              <w:t>(2)</w:t>
            </w: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18</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20</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28</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(loss) from operations</w:t>
            </w: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69</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81</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(36)</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Pr>
          <w:p>
            <w:pPr>
              <w:spacing w:after="0" w:line="189" w:lineRule="exact"/>
              <w:rPr>
                <w:sz w:val="20"/>
                <w:szCs w:val="20"/>
                <w:color w:val="auto"/>
              </w:rPr>
            </w:pPr>
            <w:r>
              <w:rPr>
                <w:rFonts w:ascii="Arial" w:cs="Arial" w:eastAsia="Arial" w:hAnsi="Arial"/>
                <w:sz w:val="17"/>
                <w:szCs w:val="17"/>
                <w:color w:val="auto"/>
              </w:rPr>
              <w:t>Interest (expense) income, net</w:t>
            </w:r>
          </w:p>
        </w:tc>
        <w:tc>
          <w:tcPr>
            <w:tcW w:w="520" w:type="dxa"/>
            <w:vAlign w:val="bottom"/>
          </w:tcPr>
          <w:p>
            <w:pPr>
              <w:spacing w:after="0"/>
              <w:rPr>
                <w:sz w:val="16"/>
                <w:szCs w:val="16"/>
                <w:color w:val="auto"/>
              </w:rPr>
            </w:pPr>
          </w:p>
        </w:tc>
        <w:tc>
          <w:tcPr>
            <w:tcW w:w="112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(2)</w:t>
            </w:r>
          </w:p>
        </w:tc>
        <w:tc>
          <w:tcPr>
            <w:tcW w:w="240" w:type="dxa"/>
            <w:vAlign w:val="bottom"/>
          </w:tcPr>
          <w:p>
            <w:pPr>
              <w:spacing w:after="0"/>
              <w:rPr>
                <w:sz w:val="16"/>
                <w:szCs w:val="16"/>
                <w:color w:val="auto"/>
              </w:rPr>
            </w:pPr>
          </w:p>
        </w:tc>
        <w:tc>
          <w:tcPr>
            <w:tcW w:w="10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2</w:t>
            </w:r>
          </w:p>
        </w:tc>
        <w:tc>
          <w:tcPr>
            <w:tcW w:w="260" w:type="dxa"/>
            <w:vAlign w:val="bottom"/>
          </w:tcPr>
          <w:p>
            <w:pPr>
              <w:spacing w:after="0"/>
              <w:rPr>
                <w:sz w:val="16"/>
                <w:szCs w:val="16"/>
                <w:color w:val="auto"/>
              </w:rPr>
            </w:pPr>
          </w:p>
        </w:tc>
        <w:tc>
          <w:tcPr>
            <w:tcW w:w="112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(3)</w:t>
            </w:r>
          </w:p>
        </w:tc>
        <w:tc>
          <w:tcPr>
            <w:tcW w:w="2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5"/>
                <w:szCs w:val="15"/>
                <w:color w:val="auto"/>
              </w:rPr>
              <w:t xml:space="preserve">Other income, net </w:t>
            </w:r>
            <w:r>
              <w:rPr>
                <w:rFonts w:ascii="Arial" w:cs="Arial" w:eastAsia="Arial" w:hAnsi="Arial"/>
                <w:sz w:val="21"/>
                <w:szCs w:val="21"/>
                <w:color w:val="auto"/>
                <w:vertAlign w:val="superscript"/>
              </w:rPr>
              <w:t>(3)</w:t>
            </w:r>
          </w:p>
        </w:tc>
        <w:tc>
          <w:tcPr>
            <w:tcW w:w="5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w:t>
            </w: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2</w:t>
            </w: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4</w:t>
            </w: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2"/>
        </w:trPr>
        <w:tc>
          <w:tcPr>
            <w:tcW w:w="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Income (loss) before income taxes</w:t>
            </w:r>
          </w:p>
        </w:tc>
        <w:tc>
          <w:tcPr>
            <w:tcW w:w="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70</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85</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(35)</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both"/>
        <w:ind w:left="380" w:right="79" w:hanging="330"/>
        <w:spacing w:after="0" w:line="266"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caption includes impairment charges, losses related to social unrest, Runners Point shutdown costs, Eastbay reorganization costs, SIX:02 lease termination costs, and administrative costs related to the pension plan reformation. See the Impairment and Other Charges section for further information.</w:t>
      </w:r>
    </w:p>
    <w:p>
      <w:pPr>
        <w:spacing w:after="0" w:line="58" w:lineRule="exact"/>
        <w:rPr>
          <w:rFonts w:ascii="Arial" w:cs="Arial" w:eastAsia="Arial" w:hAnsi="Arial"/>
          <w:sz w:val="14"/>
          <w:szCs w:val="14"/>
          <w:color w:val="auto"/>
        </w:rPr>
      </w:pPr>
    </w:p>
    <w:p>
      <w:pPr>
        <w:jc w:val="both"/>
        <w:ind w:left="380" w:right="79" w:hanging="330"/>
        <w:spacing w:after="0" w:line="266"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Corporate expense consists of unallocated selling, general and administrative expenses as well as depreciation and amortization related to the Company’s corporate headquarters, centrally managed departments, unallocated insurance and benefit programs, certain foreign exchange transaction gains and losses, and other items.</w:t>
      </w:r>
    </w:p>
    <w:p>
      <w:pPr>
        <w:spacing w:after="0" w:line="58" w:lineRule="exact"/>
        <w:rPr>
          <w:rFonts w:ascii="Arial" w:cs="Arial" w:eastAsia="Arial" w:hAnsi="Arial"/>
          <w:sz w:val="14"/>
          <w:szCs w:val="14"/>
          <w:color w:val="auto"/>
        </w:rPr>
      </w:pPr>
    </w:p>
    <w:p>
      <w:pPr>
        <w:jc w:val="both"/>
        <w:ind w:left="380" w:right="79" w:hanging="330"/>
        <w:spacing w:after="0" w:line="266"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Other income includes non-operating items, franchise royalty income, changes in the market value of our available-for-sale security, our share of earnings or losses related to our equity method investments, and net benefit expense related to our pension and postretirement programs excluding the service cost component.</w:t>
      </w:r>
    </w:p>
    <w:p>
      <w:pPr>
        <w:spacing w:after="0" w:line="37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2020 Form 10-Q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711"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i w:val="1"/>
          <w:iCs w:val="1"/>
          <w:u w:val="single" w:color="auto"/>
          <w:color w:val="auto"/>
        </w:rPr>
        <w:t>Sales</w:t>
      </w:r>
    </w:p>
    <w:p>
      <w:pPr>
        <w:spacing w:after="0" w:line="210"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All references to comparable-store sales for a given period relate to sales of stores that were open at the period-end and had been open for more than one year. The computation of consolidated comparable sales also includes our direct-to-customers channel. Stores opened or closed during the period are not included in the comparable-store base; however, stores closed temporarily for relocation or remodeling are included. Stores that were temporarily closed due to the COVID-19 pandemic are also included in the computation of comparable-store sales. Computations exclude the effect of foreign currency fluctuations. The information shown below represents certain sales metrics by sales channel:</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3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7"/>
                <w:szCs w:val="17"/>
                <w:b w:val="1"/>
                <w:bCs w:val="1"/>
                <w:color w:val="auto"/>
              </w:rPr>
              <w:t>Thirteen weeks ended</w:t>
            </w:r>
          </w:p>
        </w:tc>
        <w:tc>
          <w:tcPr>
            <w:tcW w:w="18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7"/>
                <w:szCs w:val="17"/>
                <w:b w:val="1"/>
                <w:bCs w:val="1"/>
                <w:color w:val="auto"/>
              </w:rPr>
              <w:t>Twenty-six weeks ended</w:t>
            </w:r>
          </w:p>
        </w:tc>
      </w:tr>
      <w:tr>
        <w:trPr>
          <w:trHeight w:val="152"/>
        </w:trPr>
        <w:tc>
          <w:tcPr>
            <w:tcW w:w="3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ind w:right="175"/>
              <w:spacing w:after="0" w:line="153" w:lineRule="exact"/>
              <w:rPr>
                <w:sz w:val="20"/>
                <w:szCs w:val="20"/>
                <w:color w:val="auto"/>
              </w:rPr>
            </w:pPr>
            <w:r>
              <w:rPr>
                <w:rFonts w:ascii="Arial" w:cs="Arial" w:eastAsia="Arial" w:hAnsi="Arial"/>
                <w:sz w:val="17"/>
                <w:szCs w:val="17"/>
                <w:b w:val="1"/>
                <w:bCs w:val="1"/>
                <w:color w:val="auto"/>
              </w:rPr>
              <w:t>August 1,</w:t>
            </w:r>
          </w:p>
        </w:tc>
        <w:tc>
          <w:tcPr>
            <w:tcW w:w="200" w:type="dxa"/>
            <w:vAlign w:val="bottom"/>
          </w:tcPr>
          <w:p>
            <w:pPr>
              <w:spacing w:after="0"/>
              <w:rPr>
                <w:sz w:val="13"/>
                <w:szCs w:val="13"/>
                <w:color w:val="auto"/>
              </w:rPr>
            </w:pPr>
          </w:p>
        </w:tc>
        <w:tc>
          <w:tcPr>
            <w:tcW w:w="1100" w:type="dxa"/>
            <w:vAlign w:val="bottom"/>
          </w:tcPr>
          <w:p>
            <w:pPr>
              <w:jc w:val="right"/>
              <w:ind w:right="155"/>
              <w:spacing w:after="0" w:line="153" w:lineRule="exact"/>
              <w:rPr>
                <w:sz w:val="20"/>
                <w:szCs w:val="20"/>
                <w:color w:val="auto"/>
              </w:rPr>
            </w:pPr>
            <w:r>
              <w:rPr>
                <w:rFonts w:ascii="Arial" w:cs="Arial" w:eastAsia="Arial" w:hAnsi="Arial"/>
                <w:sz w:val="17"/>
                <w:szCs w:val="17"/>
                <w:b w:val="1"/>
                <w:bCs w:val="1"/>
                <w:color w:val="auto"/>
              </w:rPr>
              <w:t>August 3,</w:t>
            </w:r>
          </w:p>
        </w:tc>
        <w:tc>
          <w:tcPr>
            <w:tcW w:w="180" w:type="dxa"/>
            <w:vAlign w:val="bottom"/>
          </w:tcPr>
          <w:p>
            <w:pPr>
              <w:spacing w:after="0"/>
              <w:rPr>
                <w:sz w:val="13"/>
                <w:szCs w:val="13"/>
                <w:color w:val="auto"/>
              </w:rPr>
            </w:pPr>
          </w:p>
        </w:tc>
        <w:tc>
          <w:tcPr>
            <w:tcW w:w="1140" w:type="dxa"/>
            <w:vAlign w:val="bottom"/>
          </w:tcPr>
          <w:p>
            <w:pPr>
              <w:jc w:val="right"/>
              <w:ind w:right="175"/>
              <w:spacing w:after="0" w:line="153" w:lineRule="exact"/>
              <w:rPr>
                <w:sz w:val="20"/>
                <w:szCs w:val="20"/>
                <w:color w:val="auto"/>
              </w:rPr>
            </w:pPr>
            <w:r>
              <w:rPr>
                <w:rFonts w:ascii="Arial" w:cs="Arial" w:eastAsia="Arial" w:hAnsi="Arial"/>
                <w:sz w:val="17"/>
                <w:szCs w:val="17"/>
                <w:b w:val="1"/>
                <w:bCs w:val="1"/>
                <w:color w:val="auto"/>
              </w:rPr>
              <w:t>August 1,</w:t>
            </w:r>
          </w:p>
        </w:tc>
        <w:tc>
          <w:tcPr>
            <w:tcW w:w="200" w:type="dxa"/>
            <w:vAlign w:val="bottom"/>
          </w:tcPr>
          <w:p>
            <w:pPr>
              <w:spacing w:after="0"/>
              <w:rPr>
                <w:sz w:val="13"/>
                <w:szCs w:val="13"/>
                <w:color w:val="auto"/>
              </w:rPr>
            </w:pPr>
          </w:p>
        </w:tc>
        <w:tc>
          <w:tcPr>
            <w:tcW w:w="1140" w:type="dxa"/>
            <w:vAlign w:val="bottom"/>
          </w:tcPr>
          <w:p>
            <w:pPr>
              <w:jc w:val="right"/>
              <w:ind w:right="195"/>
              <w:spacing w:after="0" w:line="153" w:lineRule="exact"/>
              <w:rPr>
                <w:sz w:val="20"/>
                <w:szCs w:val="20"/>
                <w:color w:val="auto"/>
              </w:rPr>
            </w:pPr>
            <w:r>
              <w:rPr>
                <w:rFonts w:ascii="Arial" w:cs="Arial" w:eastAsia="Arial" w:hAnsi="Arial"/>
                <w:sz w:val="17"/>
                <w:szCs w:val="17"/>
                <w:b w:val="1"/>
                <w:bCs w:val="1"/>
                <w:color w:val="auto"/>
              </w:rPr>
              <w:t>August 1,</w:t>
            </w:r>
          </w:p>
        </w:tc>
      </w:tr>
      <w:tr>
        <w:trPr>
          <w:trHeight w:val="219"/>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2019</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r>
      <w:tr>
        <w:trPr>
          <w:trHeight w:val="183"/>
        </w:trPr>
        <w:tc>
          <w:tcPr>
            <w:tcW w:w="3300" w:type="dxa"/>
            <w:vAlign w:val="bottom"/>
          </w:tcPr>
          <w:p>
            <w:pPr>
              <w:ind w:left="20"/>
              <w:spacing w:after="0" w:line="183" w:lineRule="exact"/>
              <w:rPr>
                <w:sz w:val="20"/>
                <w:szCs w:val="20"/>
                <w:color w:val="auto"/>
              </w:rPr>
            </w:pPr>
            <w:r>
              <w:rPr>
                <w:rFonts w:ascii="Arial" w:cs="Arial" w:eastAsia="Arial" w:hAnsi="Arial"/>
                <w:sz w:val="17"/>
                <w:szCs w:val="17"/>
                <w:b w:val="1"/>
                <w:bCs w:val="1"/>
                <w:color w:val="auto"/>
              </w:rPr>
              <w:t>Stores</w:t>
            </w:r>
          </w:p>
        </w:tc>
        <w:tc>
          <w:tcPr>
            <w:tcW w:w="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9"/>
        </w:trPr>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Sales</w:t>
            </w: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1,388</w:t>
            </w:r>
          </w:p>
        </w:tc>
        <w:tc>
          <w:tcPr>
            <w:tcW w:w="2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1,521</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2,202</w:t>
            </w:r>
          </w:p>
        </w:tc>
        <w:tc>
          <w:tcPr>
            <w:tcW w:w="2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3,279</w:t>
            </w: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5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(133)</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(1,077)</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(8.7)%</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(32.9)%</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color w:val="auto"/>
              </w:rPr>
              <w:t>% of total sales</w:t>
            </w:r>
          </w:p>
        </w:tc>
        <w:tc>
          <w:tcPr>
            <w:tcW w:w="5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66.8 %</w:t>
            </w:r>
          </w:p>
        </w:tc>
        <w:tc>
          <w:tcPr>
            <w:tcW w:w="2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85.7 %</w:t>
            </w:r>
          </w:p>
        </w:tc>
        <w:tc>
          <w:tcPr>
            <w:tcW w:w="18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67.7 %</w:t>
            </w:r>
          </w:p>
        </w:tc>
        <w:tc>
          <w:tcPr>
            <w:tcW w:w="2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85.1 %</w:t>
            </w:r>
          </w:p>
        </w:tc>
      </w:tr>
      <w:tr>
        <w:trPr>
          <w:trHeight w:val="189"/>
        </w:trPr>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Comparable sales (decrease) increase</w:t>
            </w: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(7.6)%</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(0.1)%</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(32.1)%</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1.5 %</w:t>
            </w:r>
          </w:p>
        </w:tc>
      </w:tr>
      <w:tr>
        <w:trPr>
          <w:trHeight w:val="216"/>
        </w:trPr>
        <w:tc>
          <w:tcPr>
            <w:tcW w:w="3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89"/>
        </w:trPr>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Direct-to-customers</w:t>
            </w: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color w:val="auto"/>
              </w:rPr>
              <w:t>Sales</w:t>
            </w:r>
          </w:p>
        </w:tc>
        <w:tc>
          <w:tcPr>
            <w:tcW w:w="5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689</w:t>
            </w:r>
          </w:p>
        </w:tc>
        <w:tc>
          <w:tcPr>
            <w:tcW w:w="200" w:type="dxa"/>
            <w:vAlign w:val="bottom"/>
          </w:tcPr>
          <w:p>
            <w:pPr>
              <w:spacing w:after="0"/>
              <w:rPr>
                <w:sz w:val="16"/>
                <w:szCs w:val="16"/>
                <w:color w:val="auto"/>
              </w:rPr>
            </w:pPr>
          </w:p>
        </w:tc>
        <w:tc>
          <w:tcPr>
            <w:tcW w:w="110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253</w:t>
            </w:r>
          </w:p>
        </w:tc>
        <w:tc>
          <w:tcPr>
            <w:tcW w:w="1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1,051</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573</w:t>
            </w:r>
          </w:p>
        </w:tc>
      </w:tr>
      <w:tr>
        <w:trPr>
          <w:trHeight w:val="189"/>
        </w:trPr>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436</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478</w:t>
            </w:r>
          </w:p>
        </w:tc>
        <w:tc>
          <w:tcPr>
            <w:tcW w:w="2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spacing w:after="0"/>
              <w:rPr>
                <w:sz w:val="16"/>
                <w:szCs w:val="16"/>
                <w:color w:val="auto"/>
              </w:rPr>
            </w:pP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5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172.3 %</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83.4 %</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of total sales</w:t>
            </w: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33.2 %</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14.3 %</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32.3 %</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14.9 %</w:t>
            </w:r>
          </w:p>
        </w:tc>
      </w:tr>
      <w:tr>
        <w:trPr>
          <w:trHeight w:val="189"/>
        </w:trPr>
        <w:tc>
          <w:tcPr>
            <w:tcW w:w="33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Comparable sales increase</w:t>
            </w: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172.8 %</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6.5 %</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84.3 %</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10.9 %</w:t>
            </w:r>
          </w:p>
        </w:tc>
      </w:tr>
    </w:tbl>
    <w:p>
      <w:pPr>
        <w:spacing w:after="0" w:line="193"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For the thirteen weeks ended August 1, 2020, total sales increased by $ 303 million, or 17.1 percent, to $2,077 million, compared with the comparable period ended August 3, 2019. For the twenty-six weeks ended August 1, 2020, total sales decreased by $599 million, or 15.6 percent, to $3,253 million, as compared with the comparable period of the prior year. Excluding the effect of foreign currency fluctuations, total sales increased by $308 million, or 17.3 percent, for the thirteen weeks ended August 1, 2020 and decreased by $583 million, or 15.1 percent, for the twenty-six weeks ended August 1, 2020.</w:t>
      </w:r>
    </w:p>
    <w:p>
      <w:pPr>
        <w:spacing w:after="0" w:line="17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Total comparable sales increased by 18.6 percent for the thirteen weeks ending August 1, 2020 and decreased by 14.5 percent for the twenty-six weeks ended August 1, 2020, as compared with the comparable prior-year periods. For both periods, our direct-to-customers channel generated significant increases and was offset by sales declines in the stores channel. Our previous investments in our omnichannel ecosystem, including supply chain capabilities, have been instrumental in delivering a seamless customer experience resulting in our digital business representing approximately a third of our sales for both the second quarter and year-to-date periods of 2020. Our investments allowed us to leverage our direct-to-customers business to continue to serve our customers achieving peak daily volume levels. Pent-up demand for classic basketball styles and key launch footwear, coupled with governmental stimulus payments, positively affected our sales during the second quarter. For the year-to-date period, the overall decrease in sales was a result of the temporary closure of our stores across all of our banners around the world beginning in mid-March, as well as reduced store traffic upon reopening due to the ongoing concerns about the COVID-19 pandemic.</w:t>
      </w:r>
    </w:p>
    <w:p>
      <w:pPr>
        <w:spacing w:after="0" w:line="183"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For the combined channels, our operating segments in North America and Asia Pacific generated positive sales, while EMEA declined for the thirteen weeks ended August 1, 2020. In North America, all banners and Eastbay generated positive comparable sales increases. Sales were led by Foot Locker, Champs Sports, Footaction, and Kids Foot Locker. The sales increases in Asia Pacific was led by sales in Australia and New Zealand. In EMEA, our customers were more conservative coming out of the stay at home orders and coupled with the fact that our customer’s acceptance of digital shopping is not as strong, resulted in an overall decline in sales.</w:t>
      </w:r>
    </w:p>
    <w:p>
      <w:pPr>
        <w:spacing w:after="0" w:line="395"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2020 Form 10-Q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3" w:right="1440" w:bottom="1440" w:gutter="0" w:footer="0" w:header="0"/>
        </w:sectPr>
      </w:pPr>
    </w:p>
    <w:bookmarkStart w:id="26" w:name="page27"/>
    <w:bookmarkEnd w:id="26"/>
    <w:p>
      <w:pPr>
        <w:jc w:val="both"/>
        <w:ind w:left="60" w:right="59"/>
        <w:spacing w:after="0" w:line="255" w:lineRule="auto"/>
        <w:rPr>
          <w:sz w:val="20"/>
          <w:szCs w:val="20"/>
          <w:color w:val="auto"/>
        </w:rPr>
      </w:pPr>
      <w:r>
        <w:rPr>
          <w:rFonts w:ascii="Arial" w:cs="Arial" w:eastAsia="Arial" w:hAnsi="Arial"/>
          <w:sz w:val="18"/>
          <w:szCs w:val="18"/>
          <w:color w:val="auto"/>
        </w:rPr>
        <w:t>Both our North American and EMEA operating segments had significant declines in the stores channel for the twenty-six weeks ended August 1, 2020, due to the temporary closures beginning in mid-March related to the pandemic, while Asia Pacific was slightly positive.</w:t>
      </w:r>
    </w:p>
    <w:p>
      <w:pPr>
        <w:spacing w:after="0" w:line="164"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Sales of footwear and apparel increased for thirteen weeks ended August 1, 2020, as compared with the corresponding prior-year period, while sales of accessories declined primarily from decreased sales of back packs due to the uncertainties around the return to school since some jurisdictions are opting for remote learning. All wearer segments within the footwear category experienced increases, which was primarily related to lower sales of men’s and children’s basketball footwear styles. Our women's footwear business reflected the ongoing popularity of classic basketball and court styles. Apparel sales benefited from the athleisure trend with increased demand for comfortable clothing.</w:t>
      </w:r>
    </w:p>
    <w:p>
      <w:pPr>
        <w:spacing w:after="0" w:line="179" w:lineRule="exact"/>
        <w:rPr>
          <w:sz w:val="20"/>
          <w:szCs w:val="20"/>
          <w:color w:val="auto"/>
        </w:rPr>
      </w:pPr>
    </w:p>
    <w:p>
      <w:pPr>
        <w:jc w:val="both"/>
        <w:ind w:left="60" w:right="59"/>
        <w:spacing w:after="0" w:line="276" w:lineRule="auto"/>
        <w:rPr>
          <w:sz w:val="20"/>
          <w:szCs w:val="20"/>
          <w:color w:val="auto"/>
        </w:rPr>
      </w:pPr>
      <w:r>
        <w:rPr>
          <w:rFonts w:ascii="Arial" w:cs="Arial" w:eastAsia="Arial" w:hAnsi="Arial"/>
          <w:sz w:val="18"/>
          <w:szCs w:val="18"/>
          <w:color w:val="auto"/>
        </w:rPr>
        <w:t>For the year-to-date period, we experienced a decline across all product categories and wearer segments primarily due to closures necessitated by the pandemic.</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Gross Margin</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36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2"/>
          </w:tcPr>
          <w:p>
            <w:pPr>
              <w:jc w:val="right"/>
              <w:ind w:right="475"/>
              <w:spacing w:after="0"/>
              <w:rPr>
                <w:sz w:val="20"/>
                <w:szCs w:val="20"/>
                <w:color w:val="auto"/>
              </w:rPr>
            </w:pPr>
            <w:r>
              <w:rPr>
                <w:rFonts w:ascii="Arial" w:cs="Arial" w:eastAsia="Arial" w:hAnsi="Arial"/>
                <w:sz w:val="17"/>
                <w:szCs w:val="17"/>
                <w:b w:val="1"/>
                <w:bCs w:val="1"/>
                <w:color w:val="auto"/>
              </w:rPr>
              <w:t>Thirteen weeks ended</w:t>
            </w:r>
          </w:p>
        </w:tc>
        <w:tc>
          <w:tcPr>
            <w:tcW w:w="2560" w:type="dxa"/>
            <w:vAlign w:val="bottom"/>
            <w:tcBorders>
              <w:bottom w:val="single" w:sz="8" w:color="auto"/>
            </w:tcBorders>
            <w:gridSpan w:val="2"/>
          </w:tcPr>
          <w:p>
            <w:pPr>
              <w:jc w:val="right"/>
              <w:ind w:right="275"/>
              <w:spacing w:after="0"/>
              <w:rPr>
                <w:sz w:val="20"/>
                <w:szCs w:val="20"/>
                <w:color w:val="auto"/>
              </w:rPr>
            </w:pPr>
            <w:r>
              <w:rPr>
                <w:rFonts w:ascii="Arial" w:cs="Arial" w:eastAsia="Arial" w:hAnsi="Arial"/>
                <w:sz w:val="17"/>
                <w:szCs w:val="17"/>
                <w:b w:val="1"/>
                <w:bCs w:val="1"/>
                <w:color w:val="auto"/>
              </w:rPr>
              <w:t>Twenty-six weeks ended</w:t>
            </w: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360" w:type="dxa"/>
            <w:vAlign w:val="bottom"/>
          </w:tcPr>
          <w:p>
            <w:pPr>
              <w:jc w:val="right"/>
              <w:ind w:right="255"/>
              <w:spacing w:after="0" w:line="153" w:lineRule="exact"/>
              <w:rPr>
                <w:sz w:val="20"/>
                <w:szCs w:val="20"/>
                <w:color w:val="auto"/>
              </w:rPr>
            </w:pPr>
            <w:r>
              <w:rPr>
                <w:rFonts w:ascii="Arial" w:cs="Arial" w:eastAsia="Arial" w:hAnsi="Arial"/>
                <w:sz w:val="17"/>
                <w:szCs w:val="17"/>
                <w:b w:val="1"/>
                <w:bCs w:val="1"/>
                <w:color w:val="auto"/>
              </w:rPr>
              <w:t>August 1,</w:t>
            </w:r>
          </w:p>
        </w:tc>
        <w:tc>
          <w:tcPr>
            <w:tcW w:w="1320" w:type="dxa"/>
            <w:vAlign w:val="bottom"/>
          </w:tcPr>
          <w:p>
            <w:pPr>
              <w:jc w:val="right"/>
              <w:ind w:right="355"/>
              <w:spacing w:after="0" w:line="153" w:lineRule="exact"/>
              <w:rPr>
                <w:sz w:val="20"/>
                <w:szCs w:val="20"/>
                <w:color w:val="auto"/>
              </w:rPr>
            </w:pPr>
            <w:r>
              <w:rPr>
                <w:rFonts w:ascii="Arial" w:cs="Arial" w:eastAsia="Arial" w:hAnsi="Arial"/>
                <w:sz w:val="17"/>
                <w:szCs w:val="17"/>
                <w:b w:val="1"/>
                <w:bCs w:val="1"/>
                <w:color w:val="auto"/>
              </w:rPr>
              <w:t>August 3,</w:t>
            </w:r>
          </w:p>
        </w:tc>
        <w:tc>
          <w:tcPr>
            <w:tcW w:w="1320" w:type="dxa"/>
            <w:vAlign w:val="bottom"/>
          </w:tcPr>
          <w:p>
            <w:pPr>
              <w:jc w:val="right"/>
              <w:ind w:right="255"/>
              <w:spacing w:after="0" w:line="153" w:lineRule="exact"/>
              <w:rPr>
                <w:sz w:val="20"/>
                <w:szCs w:val="20"/>
                <w:color w:val="auto"/>
              </w:rPr>
            </w:pPr>
            <w:r>
              <w:rPr>
                <w:rFonts w:ascii="Arial" w:cs="Arial" w:eastAsia="Arial" w:hAnsi="Arial"/>
                <w:sz w:val="17"/>
                <w:szCs w:val="17"/>
                <w:b w:val="1"/>
                <w:bCs w:val="1"/>
                <w:color w:val="auto"/>
              </w:rPr>
              <w:t>August 1,</w:t>
            </w:r>
          </w:p>
        </w:tc>
        <w:tc>
          <w:tcPr>
            <w:tcW w:w="1240" w:type="dxa"/>
            <w:vAlign w:val="bottom"/>
          </w:tcPr>
          <w:p>
            <w:pPr>
              <w:jc w:val="right"/>
              <w:ind w:right="275"/>
              <w:spacing w:after="0" w:line="153" w:lineRule="exact"/>
              <w:rPr>
                <w:sz w:val="20"/>
                <w:szCs w:val="20"/>
                <w:color w:val="auto"/>
              </w:rPr>
            </w:pPr>
            <w:r>
              <w:rPr>
                <w:rFonts w:ascii="Arial" w:cs="Arial" w:eastAsia="Arial" w:hAnsi="Arial"/>
                <w:sz w:val="17"/>
                <w:szCs w:val="17"/>
                <w:b w:val="1"/>
                <w:bCs w:val="1"/>
                <w:color w:val="auto"/>
              </w:rPr>
              <w:t>August 3,</w:t>
            </w:r>
          </w:p>
        </w:tc>
        <w:tc>
          <w:tcPr>
            <w:tcW w:w="0" w:type="dxa"/>
            <w:vAlign w:val="bottom"/>
          </w:tcPr>
          <w:p>
            <w:pPr>
              <w:spacing w:after="0"/>
              <w:rPr>
                <w:sz w:val="1"/>
                <w:szCs w:val="1"/>
                <w:color w:val="auto"/>
              </w:rPr>
            </w:pPr>
          </w:p>
        </w:tc>
      </w:tr>
      <w:tr>
        <w:trPr>
          <w:trHeight w:val="219"/>
        </w:trPr>
        <w:tc>
          <w:tcPr>
            <w:tcW w:w="3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2020</w:t>
            </w: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2019</w:t>
            </w:r>
          </w:p>
        </w:tc>
        <w:tc>
          <w:tcPr>
            <w:tcW w:w="13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2020</w:t>
            </w:r>
          </w:p>
        </w:tc>
        <w:tc>
          <w:tcPr>
            <w:tcW w:w="12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83"/>
        </w:trPr>
        <w:tc>
          <w:tcPr>
            <w:tcW w:w="36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Gross margin rate</w:t>
            </w:r>
          </w:p>
        </w:tc>
        <w:tc>
          <w:tcPr>
            <w:tcW w:w="136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25.9 %</w:t>
            </w:r>
          </w:p>
        </w:tc>
        <w:tc>
          <w:tcPr>
            <w:tcW w:w="132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30.1 %</w:t>
            </w:r>
          </w:p>
        </w:tc>
        <w:tc>
          <w:tcPr>
            <w:tcW w:w="13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24.9 %</w:t>
            </w:r>
          </w:p>
        </w:tc>
        <w:tc>
          <w:tcPr>
            <w:tcW w:w="124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31.7 %</w:t>
            </w:r>
          </w:p>
        </w:tc>
        <w:tc>
          <w:tcPr>
            <w:tcW w:w="0" w:type="dxa"/>
            <w:vAlign w:val="bottom"/>
          </w:tcPr>
          <w:p>
            <w:pPr>
              <w:spacing w:after="0"/>
              <w:rPr>
                <w:sz w:val="1"/>
                <w:szCs w:val="1"/>
                <w:color w:val="auto"/>
              </w:rPr>
            </w:pPr>
          </w:p>
        </w:tc>
      </w:tr>
      <w:tr>
        <w:trPr>
          <w:trHeight w:val="189"/>
        </w:trPr>
        <w:tc>
          <w:tcPr>
            <w:tcW w:w="3660" w:type="dxa"/>
            <w:vAlign w:val="bottom"/>
          </w:tcPr>
          <w:p>
            <w:pPr>
              <w:spacing w:after="0" w:line="189" w:lineRule="exact"/>
              <w:rPr>
                <w:sz w:val="20"/>
                <w:szCs w:val="20"/>
                <w:color w:val="auto"/>
              </w:rPr>
            </w:pPr>
            <w:r>
              <w:rPr>
                <w:rFonts w:ascii="Arial" w:cs="Arial" w:eastAsia="Arial" w:hAnsi="Arial"/>
                <w:sz w:val="17"/>
                <w:szCs w:val="17"/>
                <w:color w:val="auto"/>
              </w:rPr>
              <w:t>Basis point decrease in the gross margin rate</w:t>
            </w:r>
          </w:p>
        </w:tc>
        <w:tc>
          <w:tcPr>
            <w:tcW w:w="136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(420)</w:t>
            </w:r>
          </w:p>
        </w:tc>
        <w:tc>
          <w:tcPr>
            <w:tcW w:w="1320" w:type="dxa"/>
            <w:vAlign w:val="bottom"/>
          </w:tcPr>
          <w:p>
            <w:pPr>
              <w:spacing w:after="0"/>
              <w:rPr>
                <w:sz w:val="16"/>
                <w:szCs w:val="16"/>
                <w:color w:val="auto"/>
              </w:rPr>
            </w:pPr>
          </w:p>
        </w:tc>
        <w:tc>
          <w:tcPr>
            <w:tcW w:w="132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(680)</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Components of the change-</w:t>
            </w:r>
          </w:p>
        </w:tc>
        <w:tc>
          <w:tcPr>
            <w:tcW w:w="13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220"/>
              <w:spacing w:after="0" w:line="189" w:lineRule="exact"/>
              <w:rPr>
                <w:sz w:val="20"/>
                <w:szCs w:val="20"/>
                <w:color w:val="auto"/>
              </w:rPr>
            </w:pPr>
            <w:r>
              <w:rPr>
                <w:rFonts w:ascii="Arial" w:cs="Arial" w:eastAsia="Arial" w:hAnsi="Arial"/>
                <w:sz w:val="17"/>
                <w:szCs w:val="17"/>
                <w:color w:val="auto"/>
              </w:rPr>
              <w:t>Merchandise margin rate decline</w:t>
            </w:r>
          </w:p>
        </w:tc>
        <w:tc>
          <w:tcPr>
            <w:tcW w:w="136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(700)</w:t>
            </w:r>
          </w:p>
        </w:tc>
        <w:tc>
          <w:tcPr>
            <w:tcW w:w="1320" w:type="dxa"/>
            <w:vAlign w:val="bottom"/>
          </w:tcPr>
          <w:p>
            <w:pPr>
              <w:jc w:val="right"/>
              <w:ind w:right="275"/>
              <w:spacing w:after="0" w:line="189" w:lineRule="exact"/>
              <w:rPr>
                <w:sz w:val="20"/>
                <w:szCs w:val="20"/>
                <w:color w:val="auto"/>
              </w:rPr>
            </w:pPr>
            <w:r>
              <w:rPr>
                <w:rFonts w:ascii="Arial" w:cs="Arial" w:eastAsia="Arial" w:hAnsi="Arial"/>
                <w:sz w:val="17"/>
                <w:szCs w:val="17"/>
                <w:color w:val="auto"/>
              </w:rPr>
              <w:t>(20)</w:t>
            </w:r>
          </w:p>
        </w:tc>
        <w:tc>
          <w:tcPr>
            <w:tcW w:w="132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(510)</w:t>
            </w:r>
          </w:p>
        </w:tc>
        <w:tc>
          <w:tcPr>
            <w:tcW w:w="124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161"/>
        </w:trPr>
        <w:tc>
          <w:tcPr>
            <w:tcW w:w="3660" w:type="dxa"/>
            <w:vAlign w:val="bottom"/>
            <w:shd w:val="clear" w:color="auto" w:fill="CCEEFF"/>
          </w:tcPr>
          <w:p>
            <w:pPr>
              <w:ind w:left="220"/>
              <w:spacing w:after="0" w:line="161" w:lineRule="exact"/>
              <w:rPr>
                <w:sz w:val="20"/>
                <w:szCs w:val="20"/>
                <w:color w:val="auto"/>
              </w:rPr>
            </w:pPr>
            <w:r>
              <w:rPr>
                <w:rFonts w:ascii="Arial" w:cs="Arial" w:eastAsia="Arial" w:hAnsi="Arial"/>
                <w:sz w:val="17"/>
                <w:szCs w:val="17"/>
                <w:color w:val="auto"/>
              </w:rPr>
              <w:t>Lower/(Higher) occupancy and buyers’</w:t>
            </w:r>
          </w:p>
        </w:tc>
        <w:tc>
          <w:tcPr>
            <w:tcW w:w="1360" w:type="dxa"/>
            <w:vAlign w:val="bottom"/>
            <w:vMerge w:val="restart"/>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280</w:t>
            </w:r>
          </w:p>
        </w:tc>
        <w:tc>
          <w:tcPr>
            <w:tcW w:w="132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(170)</w:t>
            </w: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6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compensation expense rate</w:t>
            </w: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10</w:t>
            </w: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Gross margin is calculated as sales minus cost of sales. Cost of sales includes: the cost of merchandise, freight, distribution costs including related depreciation expense, shipping and handling, occupancy and buyers’ compensation. Occupancy costs include rent (including fixed common area maintenance charges and other fixed non-lease components), real estate taxes, general maintenance, and utilities.</w:t>
      </w:r>
    </w:p>
    <w:p>
      <w:pPr>
        <w:spacing w:after="0" w:line="170"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The gross margin rate decreased for both the thirteen weeks and twenty-six weeks ended August 1, 2020, as compared with corresponding prior-year periods. The decline in the gross margin rate was due to increased promotions to remain competitive in the marketplace and to clear inventory to ensure we maintained a healthy inventory position, as well as the higher portion of direct-to-customer sales, which bear higher freight costs. Offsetting, in part, the higher promotional markdowns taken was increased vendor support, which positively affected both the second quarter and year-to-date gross margin rate by 90 basis points as compared with the corresponding prior-year periods.</w:t>
      </w:r>
    </w:p>
    <w:p>
      <w:pPr>
        <w:spacing w:after="0" w:line="17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occupancy rate for the second quarter and the year-to-date period was positively affected by the increase in direct-to-customer sales. Additionally, due to lease negotiations we were able to record $6 million of rent savings due to rent abatements during the thirteen weeks ended August 1, 2020. The occupancy and buyers’ compensation expense rate deleveraged for the twenty-six weeks ended August 1, 2020 due primarily to temporary store closures in the first quarter. Although we withheld rent payments due to the COVID-19 pandemic, we are actively negotiating rent deferrals or abatements with our landlords for the period that our stores were closed. However, only a portion of the abatements is reflected in the rent expense as not all the negotiations are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2020 Form 10-Q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1"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i w:val="1"/>
          <w:iCs w:val="1"/>
          <w:u w:val="single" w:color="auto"/>
          <w:color w:val="auto"/>
        </w:rPr>
        <w:t>Selling, General and Administrative Expenses (SG&amp;A)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2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540" w:type="dxa"/>
            <w:vAlign w:val="bottom"/>
            <w:gridSpan w:val="3"/>
          </w:tcPr>
          <w:p>
            <w:pPr>
              <w:jc w:val="right"/>
              <w:ind w:right="495"/>
              <w:spacing w:after="0"/>
              <w:rPr>
                <w:sz w:val="20"/>
                <w:szCs w:val="20"/>
                <w:color w:val="auto"/>
              </w:rPr>
            </w:pPr>
            <w:r>
              <w:rPr>
                <w:rFonts w:ascii="Arial" w:cs="Arial" w:eastAsia="Arial" w:hAnsi="Arial"/>
                <w:sz w:val="17"/>
                <w:szCs w:val="17"/>
                <w:b w:val="1"/>
                <w:bCs w:val="1"/>
                <w:color w:val="auto"/>
              </w:rPr>
              <w:t>Thirteen weeks ended</w:t>
            </w:r>
          </w:p>
        </w:tc>
        <w:tc>
          <w:tcPr>
            <w:tcW w:w="260" w:type="dxa"/>
            <w:vAlign w:val="bottom"/>
          </w:tcPr>
          <w:p>
            <w:pPr>
              <w:spacing w:after="0"/>
              <w:rPr>
                <w:sz w:val="19"/>
                <w:szCs w:val="19"/>
                <w:color w:val="auto"/>
              </w:rPr>
            </w:pPr>
          </w:p>
        </w:tc>
        <w:tc>
          <w:tcPr>
            <w:tcW w:w="2500" w:type="dxa"/>
            <w:vAlign w:val="bottom"/>
            <w:gridSpan w:val="4"/>
          </w:tcPr>
          <w:p>
            <w:pPr>
              <w:jc w:val="right"/>
              <w:ind w:right="440"/>
              <w:spacing w:after="0"/>
              <w:rPr>
                <w:sz w:val="20"/>
                <w:szCs w:val="20"/>
                <w:color w:val="auto"/>
              </w:rPr>
            </w:pPr>
            <w:r>
              <w:rPr>
                <w:rFonts w:ascii="Arial" w:cs="Arial" w:eastAsia="Arial" w:hAnsi="Arial"/>
                <w:sz w:val="17"/>
                <w:szCs w:val="17"/>
                <w:b w:val="1"/>
                <w:bCs w:val="1"/>
                <w:color w:val="auto"/>
              </w:rPr>
              <w:t>Twenty-six weeks ended</w:t>
            </w:r>
          </w:p>
        </w:tc>
      </w:tr>
      <w:tr>
        <w:trPr>
          <w:trHeight w:val="152"/>
        </w:trPr>
        <w:tc>
          <w:tcPr>
            <w:tcW w:w="29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255"/>
              <w:spacing w:after="0" w:line="153" w:lineRule="exact"/>
              <w:rPr>
                <w:sz w:val="20"/>
                <w:szCs w:val="20"/>
                <w:color w:val="auto"/>
              </w:rPr>
            </w:pPr>
            <w:r>
              <w:rPr>
                <w:rFonts w:ascii="Arial" w:cs="Arial" w:eastAsia="Arial" w:hAnsi="Arial"/>
                <w:sz w:val="17"/>
                <w:szCs w:val="17"/>
                <w:b w:val="1"/>
                <w:bCs w:val="1"/>
                <w:color w:val="auto"/>
              </w:rPr>
              <w:t>August 1,</w:t>
            </w: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55"/>
              <w:spacing w:after="0" w:line="153" w:lineRule="exact"/>
              <w:rPr>
                <w:sz w:val="20"/>
                <w:szCs w:val="20"/>
                <w:color w:val="auto"/>
              </w:rPr>
            </w:pPr>
            <w:r>
              <w:rPr>
                <w:rFonts w:ascii="Arial" w:cs="Arial" w:eastAsia="Arial" w:hAnsi="Arial"/>
                <w:sz w:val="17"/>
                <w:szCs w:val="17"/>
                <w:b w:val="1"/>
                <w:bCs w:val="1"/>
                <w:color w:val="auto"/>
              </w:rPr>
              <w:t>August 3,</w:t>
            </w: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255"/>
              <w:spacing w:after="0" w:line="153" w:lineRule="exact"/>
              <w:rPr>
                <w:sz w:val="20"/>
                <w:szCs w:val="20"/>
                <w:color w:val="auto"/>
              </w:rPr>
            </w:pPr>
            <w:r>
              <w:rPr>
                <w:rFonts w:ascii="Arial" w:cs="Arial" w:eastAsia="Arial" w:hAnsi="Arial"/>
                <w:sz w:val="17"/>
                <w:szCs w:val="17"/>
                <w:b w:val="1"/>
                <w:bCs w:val="1"/>
                <w:color w:val="auto"/>
              </w:rPr>
              <w:t>August 1,</w:t>
            </w: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7"/>
                <w:szCs w:val="17"/>
                <w:b w:val="1"/>
                <w:bCs w:val="1"/>
                <w:color w:val="auto"/>
              </w:rPr>
              <w:t>August 3,</w:t>
            </w:r>
          </w:p>
        </w:tc>
        <w:tc>
          <w:tcPr>
            <w:tcW w:w="260" w:type="dxa"/>
            <w:vAlign w:val="bottom"/>
          </w:tcPr>
          <w:p>
            <w:pPr>
              <w:spacing w:after="0"/>
              <w:rPr>
                <w:sz w:val="13"/>
                <w:szCs w:val="13"/>
                <w:color w:val="auto"/>
              </w:rPr>
            </w:pPr>
          </w:p>
        </w:tc>
      </w:tr>
      <w:tr>
        <w:trPr>
          <w:trHeight w:val="219"/>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2020</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2019</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2020</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2019</w:t>
            </w:r>
          </w:p>
        </w:tc>
        <w:tc>
          <w:tcPr>
            <w:tcW w:w="260" w:type="dxa"/>
            <w:vAlign w:val="bottom"/>
            <w:tcBorders>
              <w:bottom w:val="single" w:sz="8" w:color="auto"/>
            </w:tcBorders>
          </w:tcPr>
          <w:p>
            <w:pPr>
              <w:spacing w:after="0"/>
              <w:rPr>
                <w:sz w:val="19"/>
                <w:szCs w:val="19"/>
                <w:color w:val="auto"/>
              </w:rPr>
            </w:pPr>
          </w:p>
        </w:tc>
      </w:tr>
      <w:tr>
        <w:trPr>
          <w:trHeight w:val="183"/>
        </w:trPr>
        <w:tc>
          <w:tcPr>
            <w:tcW w:w="29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SG&amp;A</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387</w:t>
            </w: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75"/>
              <w:spacing w:after="0" w:line="183" w:lineRule="exact"/>
              <w:rPr>
                <w:sz w:val="20"/>
                <w:szCs w:val="20"/>
                <w:color w:val="auto"/>
              </w:rPr>
            </w:pPr>
            <w:r>
              <w:rPr>
                <w:rFonts w:ascii="Arial" w:cs="Arial" w:eastAsia="Arial" w:hAnsi="Arial"/>
                <w:sz w:val="17"/>
                <w:szCs w:val="17"/>
                <w:color w:val="auto"/>
              </w:rPr>
              <w:t>393</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703</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809</w:t>
            </w:r>
          </w:p>
        </w:tc>
        <w:tc>
          <w:tcPr>
            <w:tcW w:w="260" w:type="dxa"/>
            <w:vAlign w:val="bottom"/>
            <w:shd w:val="clear" w:color="auto" w:fill="CCEEFF"/>
          </w:tcPr>
          <w:p>
            <w:pPr>
              <w:spacing w:after="0"/>
              <w:rPr>
                <w:sz w:val="15"/>
                <w:szCs w:val="15"/>
                <w:color w:val="auto"/>
              </w:rPr>
            </w:pPr>
          </w:p>
        </w:tc>
      </w:tr>
      <w:tr>
        <w:trPr>
          <w:trHeight w:val="189"/>
        </w:trPr>
        <w:tc>
          <w:tcPr>
            <w:tcW w:w="294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6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(6)</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(106)</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2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6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(1.5)%</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(13.1)%</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9"/>
        </w:trPr>
        <w:tc>
          <w:tcPr>
            <w:tcW w:w="29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SG&amp;A as a percentage of sales</w:t>
            </w:r>
          </w:p>
        </w:tc>
        <w:tc>
          <w:tcPr>
            <w:tcW w:w="6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18.6 %</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22.2 %</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21.6 %</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120"/>
              <w:spacing w:after="0" w:line="189" w:lineRule="exact"/>
              <w:rPr>
                <w:sz w:val="20"/>
                <w:szCs w:val="20"/>
                <w:color w:val="auto"/>
              </w:rPr>
            </w:pPr>
            <w:r>
              <w:rPr>
                <w:rFonts w:ascii="Arial" w:cs="Arial" w:eastAsia="Arial" w:hAnsi="Arial"/>
                <w:sz w:val="17"/>
                <w:szCs w:val="17"/>
                <w:color w:val="auto"/>
              </w:rPr>
              <w:t>21.0 %</w:t>
            </w:r>
          </w:p>
        </w:tc>
      </w:tr>
    </w:tbl>
    <w:p>
      <w:pPr>
        <w:spacing w:after="0" w:line="180"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SG&amp;A decreased by $6 million and $106 million for the thirteen weeks and the twenty-six weeks ended August 1, 2020, respectively, as compared with the corresponding prior-year period. Excluding the effect of foreign currency fluctuations, SG&amp;A decreased by $6 million and $102 million for the thirteen and twenty-six weeks ended August 1, 2020, respectively, as compared with the corresponding prior-year periods.</w:t>
      </w:r>
    </w:p>
    <w:p>
      <w:pPr>
        <w:spacing w:after="0" w:line="17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As a percentage of sales, SG&amp;A decreased to 18.6 percent for the thirteen weeks ended August 1, 2020. The lower percentage is due to strong sales in the second quarter, as well as CARES Act retention credits of $17 million, partially offset by $6 million incurred for personal protective equipment and higher incentive compensation expense. For the twenty-six weeks ended August 1, 2020, SG&amp;A, as a percentage of sales, increased to 21.6 percent. The SG&amp;A rate reflected significantly lower sales as a result of temporary store closures during the first quarter in connection with the COVID-19 pandemic. This was partially offset by CARES Act retention credits of $57 million as we continued to pay our employees throughout most of the first quarter despite the temporary store closures. We carefully managed expenses by reducing spending in all areas of the business, including marketing and travel, among other categories.</w:t>
      </w:r>
    </w:p>
    <w:p>
      <w:pPr>
        <w:spacing w:after="0" w:line="176"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Corporate expense (a component of SG&amp;A) decreased for both the thirteen and twenty-six weeks ended August 1, 2020 which reflected a change in allocation of expense. Annually the allocation of corporate expense to the operating divisions is adjusted based upon an internal study. The allocation reduced corporate expense by $7 million and $15 million for the thirteen and twenty-six weeks ended August 1, 2020, respectively. Excluding the change in allocation, the increase in corporate expense was related primarily to increased incentive compensation expense.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Depreciation and Amortization</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2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60" w:type="dxa"/>
            <w:vAlign w:val="bottom"/>
            <w:gridSpan w:val="3"/>
          </w:tcPr>
          <w:p>
            <w:pPr>
              <w:jc w:val="right"/>
              <w:ind w:right="395"/>
              <w:spacing w:after="0"/>
              <w:rPr>
                <w:sz w:val="20"/>
                <w:szCs w:val="20"/>
                <w:color w:val="auto"/>
              </w:rPr>
            </w:pPr>
            <w:r>
              <w:rPr>
                <w:rFonts w:ascii="Arial" w:cs="Arial" w:eastAsia="Arial" w:hAnsi="Arial"/>
                <w:sz w:val="17"/>
                <w:szCs w:val="17"/>
                <w:b w:val="1"/>
                <w:bCs w:val="1"/>
                <w:color w:val="auto"/>
              </w:rPr>
              <w:t>Thirteen weeks ended</w:t>
            </w:r>
          </w:p>
        </w:tc>
        <w:tc>
          <w:tcPr>
            <w:tcW w:w="340" w:type="dxa"/>
            <w:vAlign w:val="bottom"/>
          </w:tcPr>
          <w:p>
            <w:pPr>
              <w:spacing w:after="0"/>
              <w:rPr>
                <w:sz w:val="19"/>
                <w:szCs w:val="19"/>
                <w:color w:val="auto"/>
              </w:rPr>
            </w:pPr>
          </w:p>
        </w:tc>
        <w:tc>
          <w:tcPr>
            <w:tcW w:w="2480" w:type="dxa"/>
            <w:vAlign w:val="bottom"/>
            <w:gridSpan w:val="4"/>
          </w:tcPr>
          <w:p>
            <w:pPr>
              <w:ind w:left="80"/>
              <w:spacing w:after="0"/>
              <w:rPr>
                <w:sz w:val="20"/>
                <w:szCs w:val="20"/>
                <w:color w:val="auto"/>
              </w:rPr>
            </w:pPr>
            <w:r>
              <w:rPr>
                <w:rFonts w:ascii="Arial" w:cs="Arial" w:eastAsia="Arial" w:hAnsi="Arial"/>
                <w:sz w:val="17"/>
                <w:szCs w:val="17"/>
                <w:b w:val="1"/>
                <w:bCs w:val="1"/>
                <w:color w:val="auto"/>
              </w:rPr>
              <w:t>Twenty-six weeks ended</w:t>
            </w:r>
          </w:p>
        </w:tc>
      </w:tr>
      <w:tr>
        <w:trPr>
          <w:trHeight w:val="152"/>
        </w:trPr>
        <w:tc>
          <w:tcPr>
            <w:tcW w:w="28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275"/>
              <w:spacing w:after="0" w:line="153" w:lineRule="exact"/>
              <w:rPr>
                <w:sz w:val="20"/>
                <w:szCs w:val="20"/>
                <w:color w:val="auto"/>
              </w:rPr>
            </w:pPr>
            <w:r>
              <w:rPr>
                <w:rFonts w:ascii="Arial" w:cs="Arial" w:eastAsia="Arial" w:hAnsi="Arial"/>
                <w:sz w:val="17"/>
                <w:szCs w:val="17"/>
                <w:b w:val="1"/>
                <w:bCs w:val="1"/>
                <w:color w:val="auto"/>
              </w:rPr>
              <w:t>August 1,</w:t>
            </w: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195"/>
              <w:spacing w:after="0" w:line="153" w:lineRule="exact"/>
              <w:rPr>
                <w:sz w:val="20"/>
                <w:szCs w:val="20"/>
                <w:color w:val="auto"/>
              </w:rPr>
            </w:pPr>
            <w:r>
              <w:rPr>
                <w:rFonts w:ascii="Arial" w:cs="Arial" w:eastAsia="Arial" w:hAnsi="Arial"/>
                <w:sz w:val="17"/>
                <w:szCs w:val="17"/>
                <w:b w:val="1"/>
                <w:bCs w:val="1"/>
                <w:color w:val="auto"/>
              </w:rPr>
              <w:t>August 3,</w:t>
            </w: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275"/>
              <w:spacing w:after="0" w:line="153" w:lineRule="exact"/>
              <w:rPr>
                <w:sz w:val="20"/>
                <w:szCs w:val="20"/>
                <w:color w:val="auto"/>
              </w:rPr>
            </w:pPr>
            <w:r>
              <w:rPr>
                <w:rFonts w:ascii="Arial" w:cs="Arial" w:eastAsia="Arial" w:hAnsi="Arial"/>
                <w:sz w:val="17"/>
                <w:szCs w:val="17"/>
                <w:b w:val="1"/>
                <w:bCs w:val="1"/>
                <w:color w:val="auto"/>
              </w:rPr>
              <w:t>August 1,</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5"/>
              <w:spacing w:after="0" w:line="153" w:lineRule="exact"/>
              <w:rPr>
                <w:sz w:val="20"/>
                <w:szCs w:val="20"/>
                <w:color w:val="auto"/>
              </w:rPr>
            </w:pPr>
            <w:r>
              <w:rPr>
                <w:rFonts w:ascii="Arial" w:cs="Arial" w:eastAsia="Arial" w:hAnsi="Arial"/>
                <w:sz w:val="17"/>
                <w:szCs w:val="17"/>
                <w:b w:val="1"/>
                <w:bCs w:val="1"/>
                <w:color w:val="auto"/>
              </w:rPr>
              <w:t>August 3,</w:t>
            </w:r>
          </w:p>
        </w:tc>
        <w:tc>
          <w:tcPr>
            <w:tcW w:w="200" w:type="dxa"/>
            <w:vAlign w:val="bottom"/>
          </w:tcPr>
          <w:p>
            <w:pPr>
              <w:spacing w:after="0"/>
              <w:rPr>
                <w:sz w:val="13"/>
                <w:szCs w:val="13"/>
                <w:color w:val="auto"/>
              </w:rPr>
            </w:pPr>
          </w:p>
        </w:tc>
      </w:tr>
      <w:tr>
        <w:trPr>
          <w:trHeight w:val="219"/>
        </w:trPr>
        <w:tc>
          <w:tcPr>
            <w:tcW w:w="2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7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2019</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2019</w:t>
            </w:r>
          </w:p>
        </w:tc>
        <w:tc>
          <w:tcPr>
            <w:tcW w:w="200" w:type="dxa"/>
            <w:vAlign w:val="bottom"/>
            <w:tcBorders>
              <w:bottom w:val="single" w:sz="8" w:color="auto"/>
            </w:tcBorders>
          </w:tcPr>
          <w:p>
            <w:pPr>
              <w:spacing w:after="0"/>
              <w:rPr>
                <w:sz w:val="19"/>
                <w:szCs w:val="19"/>
                <w:color w:val="auto"/>
              </w:rPr>
            </w:pPr>
          </w:p>
        </w:tc>
      </w:tr>
      <w:tr>
        <w:trPr>
          <w:trHeight w:val="183"/>
        </w:trPr>
        <w:tc>
          <w:tcPr>
            <w:tcW w:w="28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Depreciation and amortization</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44</w:t>
            </w: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46</w:t>
            </w:r>
          </w:p>
        </w:tc>
        <w:tc>
          <w:tcPr>
            <w:tcW w:w="3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88</w:t>
            </w: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90</w:t>
            </w:r>
          </w:p>
        </w:tc>
        <w:tc>
          <w:tcPr>
            <w:tcW w:w="200" w:type="dxa"/>
            <w:vAlign w:val="bottom"/>
            <w:shd w:val="clear" w:color="auto" w:fill="CCEEFF"/>
          </w:tcPr>
          <w:p>
            <w:pPr>
              <w:spacing w:after="0"/>
              <w:rPr>
                <w:sz w:val="15"/>
                <w:szCs w:val="15"/>
                <w:color w:val="auto"/>
              </w:rPr>
            </w:pPr>
          </w:p>
        </w:tc>
      </w:tr>
      <w:tr>
        <w:trPr>
          <w:trHeight w:val="189"/>
        </w:trPr>
        <w:tc>
          <w:tcPr>
            <w:tcW w:w="2880" w:type="dxa"/>
            <w:vAlign w:val="bottom"/>
          </w:tcPr>
          <w:p>
            <w:pPr>
              <w:spacing w:after="0" w:line="189" w:lineRule="exact"/>
              <w:rPr>
                <w:sz w:val="20"/>
                <w:szCs w:val="20"/>
                <w:color w:val="auto"/>
              </w:rPr>
            </w:pPr>
            <w:r>
              <w:rPr>
                <w:rFonts w:ascii="Arial" w:cs="Arial" w:eastAsia="Arial" w:hAnsi="Arial"/>
                <w:sz w:val="17"/>
                <w:szCs w:val="17"/>
                <w:color w:val="auto"/>
              </w:rPr>
              <w:t>$ Change</w:t>
            </w:r>
          </w:p>
        </w:tc>
        <w:tc>
          <w:tcPr>
            <w:tcW w:w="7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(2)</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(2)</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9"/>
        </w:trPr>
        <w:tc>
          <w:tcPr>
            <w:tcW w:w="28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 Change</w:t>
            </w:r>
          </w:p>
        </w:tc>
        <w:tc>
          <w:tcPr>
            <w:tcW w:w="7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(4.4)%</w:t>
            </w: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(2.2)%</w:t>
            </w: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r>
    </w:tbl>
    <w:p>
      <w:pPr>
        <w:spacing w:after="0" w:line="180"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Depreciation and amortization expense decreased $ 2 million for both the thirteen and twenty-six weeks ended August 1, 2020 as compared with the corresponding prior-year periods. Excluding the effect of foreign currency fluctuations, depreciation and amortization decreased $ 3 million and $2 million for the thirteen and twenty-six weeks ended August 1, 2020, respectively, as compared with the corresponding prior-year periods.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Impairment and Other Charges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29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7"/>
                <w:szCs w:val="17"/>
                <w:b w:val="1"/>
                <w:bCs w:val="1"/>
                <w:color w:val="auto"/>
              </w:rPr>
              <w:t>Thirteen weeks ended</w:t>
            </w:r>
          </w:p>
        </w:tc>
        <w:tc>
          <w:tcPr>
            <w:tcW w:w="3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7"/>
                <w:szCs w:val="17"/>
                <w:b w:val="1"/>
                <w:bCs w:val="1"/>
                <w:color w:val="auto"/>
              </w:rPr>
              <w:t>Twenty-six weeks ended</w:t>
            </w:r>
          </w:p>
        </w:tc>
      </w:tr>
      <w:tr>
        <w:trPr>
          <w:trHeight w:val="152"/>
        </w:trPr>
        <w:tc>
          <w:tcPr>
            <w:tcW w:w="2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jc w:val="center"/>
              <w:ind w:right="115"/>
              <w:spacing w:after="0" w:line="153" w:lineRule="exact"/>
              <w:rPr>
                <w:sz w:val="20"/>
                <w:szCs w:val="20"/>
                <w:color w:val="auto"/>
              </w:rPr>
            </w:pPr>
            <w:r>
              <w:rPr>
                <w:rFonts w:ascii="Arial" w:cs="Arial" w:eastAsia="Arial" w:hAnsi="Arial"/>
                <w:sz w:val="17"/>
                <w:szCs w:val="17"/>
                <w:b w:val="1"/>
                <w:bCs w:val="1"/>
                <w:color w:val="auto"/>
              </w:rPr>
              <w:t>August 1,</w:t>
            </w:r>
          </w:p>
        </w:tc>
        <w:tc>
          <w:tcPr>
            <w:tcW w:w="260" w:type="dxa"/>
            <w:vAlign w:val="bottom"/>
          </w:tcPr>
          <w:p>
            <w:pPr>
              <w:spacing w:after="0"/>
              <w:rPr>
                <w:sz w:val="13"/>
                <w:szCs w:val="13"/>
                <w:color w:val="auto"/>
              </w:rPr>
            </w:pPr>
          </w:p>
        </w:tc>
        <w:tc>
          <w:tcPr>
            <w:tcW w:w="1140" w:type="dxa"/>
            <w:vAlign w:val="bottom"/>
          </w:tcPr>
          <w:p>
            <w:pPr>
              <w:jc w:val="center"/>
              <w:ind w:right="195"/>
              <w:spacing w:after="0" w:line="153" w:lineRule="exact"/>
              <w:rPr>
                <w:sz w:val="20"/>
                <w:szCs w:val="20"/>
                <w:color w:val="auto"/>
              </w:rPr>
            </w:pPr>
            <w:r>
              <w:rPr>
                <w:rFonts w:ascii="Arial" w:cs="Arial" w:eastAsia="Arial" w:hAnsi="Arial"/>
                <w:sz w:val="17"/>
                <w:szCs w:val="17"/>
                <w:b w:val="1"/>
                <w:bCs w:val="1"/>
                <w:color w:val="auto"/>
              </w:rPr>
              <w:t>August 3,</w:t>
            </w:r>
          </w:p>
        </w:tc>
        <w:tc>
          <w:tcPr>
            <w:tcW w:w="360" w:type="dxa"/>
            <w:vAlign w:val="bottom"/>
          </w:tcPr>
          <w:p>
            <w:pPr>
              <w:spacing w:after="0"/>
              <w:rPr>
                <w:sz w:val="13"/>
                <w:szCs w:val="13"/>
                <w:color w:val="auto"/>
              </w:rPr>
            </w:pPr>
          </w:p>
        </w:tc>
        <w:tc>
          <w:tcPr>
            <w:tcW w:w="1060" w:type="dxa"/>
            <w:vAlign w:val="bottom"/>
          </w:tcPr>
          <w:p>
            <w:pPr>
              <w:jc w:val="center"/>
              <w:ind w:right="115"/>
              <w:spacing w:after="0" w:line="153" w:lineRule="exact"/>
              <w:rPr>
                <w:sz w:val="20"/>
                <w:szCs w:val="20"/>
                <w:color w:val="auto"/>
              </w:rPr>
            </w:pPr>
            <w:r>
              <w:rPr>
                <w:rFonts w:ascii="Arial" w:cs="Arial" w:eastAsia="Arial" w:hAnsi="Arial"/>
                <w:sz w:val="17"/>
                <w:szCs w:val="17"/>
                <w:b w:val="1"/>
                <w:bCs w:val="1"/>
                <w:color w:val="auto"/>
              </w:rPr>
              <w:t>August 1,</w:t>
            </w:r>
          </w:p>
        </w:tc>
        <w:tc>
          <w:tcPr>
            <w:tcW w:w="240" w:type="dxa"/>
            <w:vAlign w:val="bottom"/>
          </w:tcPr>
          <w:p>
            <w:pPr>
              <w:spacing w:after="0"/>
              <w:rPr>
                <w:sz w:val="13"/>
                <w:szCs w:val="13"/>
                <w:color w:val="auto"/>
              </w:rPr>
            </w:pPr>
          </w:p>
        </w:tc>
        <w:tc>
          <w:tcPr>
            <w:tcW w:w="1000" w:type="dxa"/>
            <w:vAlign w:val="bottom"/>
          </w:tcPr>
          <w:p>
            <w:pPr>
              <w:jc w:val="center"/>
              <w:ind w:right="35"/>
              <w:spacing w:after="0" w:line="153" w:lineRule="exact"/>
              <w:rPr>
                <w:sz w:val="20"/>
                <w:szCs w:val="20"/>
                <w:color w:val="auto"/>
              </w:rPr>
            </w:pPr>
            <w:r>
              <w:rPr>
                <w:rFonts w:ascii="Arial" w:cs="Arial" w:eastAsia="Arial" w:hAnsi="Arial"/>
                <w:sz w:val="17"/>
                <w:szCs w:val="17"/>
                <w:b w:val="1"/>
                <w:bCs w:val="1"/>
                <w:color w:val="auto"/>
                <w:w w:val="98"/>
              </w:rPr>
              <w:t>August 3,</w:t>
            </w:r>
          </w:p>
        </w:tc>
      </w:tr>
      <w:tr>
        <w:trPr>
          <w:trHeight w:val="219"/>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8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2020</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2019</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2020</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2019</w:t>
            </w:r>
          </w:p>
        </w:tc>
      </w:tr>
      <w:tr>
        <w:trPr>
          <w:trHeight w:val="183"/>
        </w:trPr>
        <w:tc>
          <w:tcPr>
            <w:tcW w:w="298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Impairment and other charges</w:t>
            </w: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38</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14</w:t>
            </w:r>
          </w:p>
        </w:tc>
        <w:tc>
          <w:tcPr>
            <w:tcW w:w="3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54</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2020 Form 10-Q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3" w:right="1440" w:bottom="1440" w:gutter="0" w:footer="0" w:header="0"/>
        </w:sectPr>
      </w:pPr>
    </w:p>
    <w:bookmarkStart w:id="28" w:name="page29"/>
    <w:bookmarkEnd w:id="28"/>
    <w:p>
      <w:pPr>
        <w:jc w:val="both"/>
        <w:ind w:left="60" w:right="59"/>
        <w:spacing w:after="0" w:line="243" w:lineRule="auto"/>
        <w:rPr>
          <w:sz w:val="20"/>
          <w:szCs w:val="20"/>
          <w:color w:val="auto"/>
        </w:rPr>
      </w:pPr>
      <w:r>
        <w:rPr>
          <w:rFonts w:ascii="Arial" w:cs="Arial" w:eastAsia="Arial" w:hAnsi="Arial"/>
          <w:sz w:val="18"/>
          <w:szCs w:val="18"/>
          <w:color w:val="auto"/>
        </w:rPr>
        <w:t>We recorded charges of $18 million related to social unrest in the second quarter of 2020, which resulted in physical damage and inventory loss to approximately 135 stores. This charge included inventory losses of $14 million, damages to store property of $ 2 million, and repairs and other costs of $ 2 million. We are currently working with our insurers to determine the amount of our covered losses under our property insurance policy. Insurance recovery for losses in excess of our deductible will be recorded in the period in which we conclude our settlement discussions with our insurance providers.</w:t>
      </w:r>
    </w:p>
    <w:p>
      <w:pPr>
        <w:spacing w:after="0" w:line="160"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In May 2020, we made the strategic decision to shut down our Runners Point business and to consolidate our Sidestep support staff into our other operations in Europe. Also, as part of the next phase of the Champs Sports and Eastbay strategic initiative, we restructured positions and aligned several functions across the banners and plan to consolidate certain Eastbay operations into Champs Sports. We recorded charges of $16 million related to the shutdown of the Runners Point business and $3 million related to the reorganization associated with Eastbay.</w:t>
      </w:r>
    </w:p>
    <w:p>
      <w:pPr>
        <w:spacing w:after="0" w:line="174"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color w:val="auto"/>
        </w:rPr>
        <w:t>Due to the COVID-19 pandemic and its effect on our actual and projected results, during the first quarter of 2020 we determined that a triggering event occurred for certain underperforming stores operating in Europe and, therefore, we conducted an impairment review. We evaluated the long-lived assets, including the right-of-use assets, of 70 stores and recorded non-cash charges of $15 million to write down store fixtures, leasehold improvements, and right-of-use assets.</w:t>
      </w:r>
    </w:p>
    <w:p>
      <w:pPr>
        <w:spacing w:after="0" w:line="172"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color w:val="auto"/>
        </w:rPr>
        <w:t>The Company and its U.S. pension plan were involved in litigation related to the conversion of the plan to a cash balance plan. The court entered its final judgment in 2018, which required the plan to be reformed as directed by the court order. Administrative expenses in connection with the reformation were $1 million for both the thirteen weeks ended August 1, 2020 and August 3, 2019 and were $2 million for both the twenty-six weeks ended August 1, 2020 and August 3, 2019.</w:t>
      </w:r>
    </w:p>
    <w:p>
      <w:pPr>
        <w:spacing w:after="0" w:line="172" w:lineRule="exact"/>
        <w:rPr>
          <w:sz w:val="20"/>
          <w:szCs w:val="20"/>
          <w:color w:val="auto"/>
        </w:rPr>
      </w:pPr>
    </w:p>
    <w:p>
      <w:pPr>
        <w:jc w:val="both"/>
        <w:ind w:left="60" w:right="59"/>
        <w:spacing w:after="0" w:line="276" w:lineRule="auto"/>
        <w:rPr>
          <w:sz w:val="20"/>
          <w:szCs w:val="20"/>
          <w:color w:val="auto"/>
        </w:rPr>
      </w:pPr>
      <w:r>
        <w:rPr>
          <w:rFonts w:ascii="Arial" w:cs="Arial" w:eastAsia="Arial" w:hAnsi="Arial"/>
          <w:sz w:val="18"/>
          <w:szCs w:val="18"/>
          <w:color w:val="auto"/>
        </w:rPr>
        <w:t>For the thirteen and twenty-six weeks ended August 3, 2019, we incurred $13 million of lease termination costs related to the closure of our SIX:02 locations.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Division Profit</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2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7"/>
                <w:szCs w:val="17"/>
                <w:b w:val="1"/>
                <w:bCs w:val="1"/>
                <w:color w:val="auto"/>
              </w:rPr>
              <w:t>Thirteen weeks ended</w:t>
            </w:r>
          </w:p>
        </w:tc>
        <w:tc>
          <w:tcPr>
            <w:tcW w:w="2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7"/>
                <w:szCs w:val="17"/>
                <w:b w:val="1"/>
                <w:bCs w:val="1"/>
                <w:color w:val="auto"/>
              </w:rPr>
              <w:t>Twenty-six weeks ended</w:t>
            </w:r>
          </w:p>
        </w:tc>
      </w:tr>
      <w:tr>
        <w:trPr>
          <w:trHeight w:val="152"/>
        </w:trPr>
        <w:tc>
          <w:tcPr>
            <w:tcW w:w="2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jc w:val="right"/>
              <w:ind w:right="255"/>
              <w:spacing w:after="0" w:line="153" w:lineRule="exact"/>
              <w:rPr>
                <w:sz w:val="20"/>
                <w:szCs w:val="20"/>
                <w:color w:val="auto"/>
              </w:rPr>
            </w:pPr>
            <w:r>
              <w:rPr>
                <w:rFonts w:ascii="Arial" w:cs="Arial" w:eastAsia="Arial" w:hAnsi="Arial"/>
                <w:sz w:val="17"/>
                <w:szCs w:val="17"/>
                <w:b w:val="1"/>
                <w:bCs w:val="1"/>
                <w:color w:val="auto"/>
              </w:rPr>
              <w:t>August 1,</w:t>
            </w:r>
          </w:p>
        </w:tc>
        <w:tc>
          <w:tcPr>
            <w:tcW w:w="180" w:type="dxa"/>
            <w:vAlign w:val="bottom"/>
          </w:tcPr>
          <w:p>
            <w:pPr>
              <w:spacing w:after="0"/>
              <w:rPr>
                <w:sz w:val="13"/>
                <w:szCs w:val="13"/>
                <w:color w:val="auto"/>
              </w:rPr>
            </w:pPr>
          </w:p>
        </w:tc>
        <w:tc>
          <w:tcPr>
            <w:tcW w:w="1240" w:type="dxa"/>
            <w:vAlign w:val="bottom"/>
          </w:tcPr>
          <w:p>
            <w:pPr>
              <w:jc w:val="right"/>
              <w:ind w:right="355"/>
              <w:spacing w:after="0" w:line="153" w:lineRule="exact"/>
              <w:rPr>
                <w:sz w:val="20"/>
                <w:szCs w:val="20"/>
                <w:color w:val="auto"/>
              </w:rPr>
            </w:pPr>
            <w:r>
              <w:rPr>
                <w:rFonts w:ascii="Arial" w:cs="Arial" w:eastAsia="Arial" w:hAnsi="Arial"/>
                <w:sz w:val="17"/>
                <w:szCs w:val="17"/>
                <w:b w:val="1"/>
                <w:bCs w:val="1"/>
                <w:color w:val="auto"/>
              </w:rPr>
              <w:t>August 3,</w:t>
            </w:r>
          </w:p>
        </w:tc>
        <w:tc>
          <w:tcPr>
            <w:tcW w:w="260" w:type="dxa"/>
            <w:vAlign w:val="bottom"/>
          </w:tcPr>
          <w:p>
            <w:pPr>
              <w:spacing w:after="0"/>
              <w:rPr>
                <w:sz w:val="13"/>
                <w:szCs w:val="13"/>
                <w:color w:val="auto"/>
              </w:rPr>
            </w:pPr>
          </w:p>
        </w:tc>
        <w:tc>
          <w:tcPr>
            <w:tcW w:w="1140" w:type="dxa"/>
            <w:vAlign w:val="bottom"/>
          </w:tcPr>
          <w:p>
            <w:pPr>
              <w:jc w:val="right"/>
              <w:ind w:right="255"/>
              <w:spacing w:after="0" w:line="153" w:lineRule="exact"/>
              <w:rPr>
                <w:sz w:val="20"/>
                <w:szCs w:val="20"/>
                <w:color w:val="auto"/>
              </w:rPr>
            </w:pPr>
            <w:r>
              <w:rPr>
                <w:rFonts w:ascii="Arial" w:cs="Arial" w:eastAsia="Arial" w:hAnsi="Arial"/>
                <w:sz w:val="17"/>
                <w:szCs w:val="17"/>
                <w:b w:val="1"/>
                <w:bCs w:val="1"/>
                <w:color w:val="auto"/>
              </w:rPr>
              <w:t>August 1,</w:t>
            </w:r>
          </w:p>
        </w:tc>
        <w:tc>
          <w:tcPr>
            <w:tcW w:w="180" w:type="dxa"/>
            <w:vAlign w:val="bottom"/>
          </w:tcPr>
          <w:p>
            <w:pPr>
              <w:spacing w:after="0"/>
              <w:rPr>
                <w:sz w:val="13"/>
                <w:szCs w:val="13"/>
                <w:color w:val="auto"/>
              </w:rPr>
            </w:pPr>
          </w:p>
        </w:tc>
        <w:tc>
          <w:tcPr>
            <w:tcW w:w="1140" w:type="dxa"/>
            <w:vAlign w:val="bottom"/>
          </w:tcPr>
          <w:p>
            <w:pPr>
              <w:jc w:val="right"/>
              <w:ind w:right="255"/>
              <w:spacing w:after="0" w:line="153" w:lineRule="exact"/>
              <w:rPr>
                <w:sz w:val="20"/>
                <w:szCs w:val="20"/>
                <w:color w:val="auto"/>
              </w:rPr>
            </w:pPr>
            <w:r>
              <w:rPr>
                <w:rFonts w:ascii="Arial" w:cs="Arial" w:eastAsia="Arial" w:hAnsi="Arial"/>
                <w:sz w:val="17"/>
                <w:szCs w:val="17"/>
                <w:b w:val="1"/>
                <w:bCs w:val="1"/>
                <w:color w:val="auto"/>
              </w:rPr>
              <w:t>August 3,</w:t>
            </w:r>
          </w:p>
        </w:tc>
      </w:tr>
      <w:tr>
        <w:trPr>
          <w:trHeight w:val="219"/>
        </w:trPr>
        <w:tc>
          <w:tcPr>
            <w:tcW w:w="2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0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2020</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2019</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2020</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2019</w:t>
            </w:r>
          </w:p>
        </w:tc>
      </w:tr>
      <w:tr>
        <w:trPr>
          <w:trHeight w:val="196"/>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Division profit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125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rPr>
              <w:t>115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46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365</w:t>
            </w:r>
          </w:p>
        </w:tc>
      </w:tr>
      <w:tr>
        <w:trPr>
          <w:trHeight w:val="203"/>
        </w:trPr>
        <w:tc>
          <w:tcPr>
            <w:tcW w:w="2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Division profit margin</w:t>
            </w:r>
          </w:p>
        </w:tc>
        <w:tc>
          <w:tcPr>
            <w:tcW w:w="10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6.0 %</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6.5 %</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1.4 %</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9.5 %</w:t>
            </w:r>
          </w:p>
        </w:tc>
      </w:tr>
    </w:tbl>
    <w:p>
      <w:pPr>
        <w:spacing w:after="0" w:line="18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Division profit margin decreased to 6.0 percent and 1.4 percent for the thirteen and twenty-six weeks ended August 1, 2020, respectively, as compared with the corresponding prior-year periods. For both the quarter and year-to-date period, division profit reflected a significant increase in the direct-to-customers sales channel, offset by a decline in the stores channel. For the thirteen weeks ended August 1, 2020, lower gross margin decreased division profit compared with the corresponding prior-year period. For the twenty-six weeks ended August 1, 2020, lower sales due to the temporary store closures caused by the COVID-19 pandemic, along with lower gross margin and higher SG&amp;A, as a percentage of sales, decreased the results compared with the corresponding prior-year period. Management is continuing to monitor the results of each of the banners as the recovery from the COVID-19 pandemic continues. Due to the uncertainty surrounding the pandemic and assumptions around the continuing effects of the COVID-19 pandemic, we may be required to perform an impairment analysis over certain store long-lived tangible and right-of-use assets in future quarters.</w:t>
      </w:r>
    </w:p>
    <w:p>
      <w:pPr>
        <w:spacing w:after="0" w:line="392"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2020 Form 10-Q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1"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i w:val="1"/>
          <w:iCs w:val="1"/>
          <w:u w:val="single" w:color="auto"/>
          <w:color w:val="auto"/>
        </w:rPr>
        <w:t>Interest (Expense) Income, Net</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29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7"/>
                <w:szCs w:val="17"/>
                <w:b w:val="1"/>
                <w:bCs w:val="1"/>
                <w:color w:val="auto"/>
              </w:rPr>
              <w:t>Thirteen weeks ended</w:t>
            </w:r>
          </w:p>
        </w:tc>
        <w:tc>
          <w:tcPr>
            <w:tcW w:w="2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7"/>
                <w:szCs w:val="17"/>
                <w:b w:val="1"/>
                <w:bCs w:val="1"/>
                <w:color w:val="auto"/>
              </w:rPr>
              <w:t>Twenty-six weeks ended</w:t>
            </w:r>
          </w:p>
        </w:tc>
      </w:tr>
      <w:tr>
        <w:trPr>
          <w:trHeight w:val="152"/>
        </w:trPr>
        <w:tc>
          <w:tcPr>
            <w:tcW w:w="2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jc w:val="right"/>
              <w:ind w:right="195"/>
              <w:spacing w:after="0" w:line="153" w:lineRule="exact"/>
              <w:rPr>
                <w:sz w:val="20"/>
                <w:szCs w:val="20"/>
                <w:color w:val="auto"/>
              </w:rPr>
            </w:pPr>
            <w:r>
              <w:rPr>
                <w:rFonts w:ascii="Arial" w:cs="Arial" w:eastAsia="Arial" w:hAnsi="Arial"/>
                <w:sz w:val="17"/>
                <w:szCs w:val="17"/>
                <w:b w:val="1"/>
                <w:bCs w:val="1"/>
                <w:color w:val="auto"/>
              </w:rPr>
              <w:t>August 1,</w:t>
            </w:r>
          </w:p>
        </w:tc>
        <w:tc>
          <w:tcPr>
            <w:tcW w:w="240" w:type="dxa"/>
            <w:vAlign w:val="bottom"/>
          </w:tcPr>
          <w:p>
            <w:pPr>
              <w:spacing w:after="0"/>
              <w:rPr>
                <w:sz w:val="13"/>
                <w:szCs w:val="13"/>
                <w:color w:val="auto"/>
              </w:rPr>
            </w:pPr>
          </w:p>
        </w:tc>
        <w:tc>
          <w:tcPr>
            <w:tcW w:w="1120" w:type="dxa"/>
            <w:vAlign w:val="bottom"/>
          </w:tcPr>
          <w:p>
            <w:pPr>
              <w:jc w:val="right"/>
              <w:ind w:right="195"/>
              <w:spacing w:after="0" w:line="153" w:lineRule="exact"/>
              <w:rPr>
                <w:sz w:val="20"/>
                <w:szCs w:val="20"/>
                <w:color w:val="auto"/>
              </w:rPr>
            </w:pPr>
            <w:r>
              <w:rPr>
                <w:rFonts w:ascii="Arial" w:cs="Arial" w:eastAsia="Arial" w:hAnsi="Arial"/>
                <w:sz w:val="17"/>
                <w:szCs w:val="17"/>
                <w:b w:val="1"/>
                <w:bCs w:val="1"/>
                <w:color w:val="auto"/>
              </w:rPr>
              <w:t>August 3,</w:t>
            </w:r>
          </w:p>
        </w:tc>
        <w:tc>
          <w:tcPr>
            <w:tcW w:w="260" w:type="dxa"/>
            <w:vAlign w:val="bottom"/>
          </w:tcPr>
          <w:p>
            <w:pPr>
              <w:spacing w:after="0"/>
              <w:rPr>
                <w:sz w:val="13"/>
                <w:szCs w:val="13"/>
                <w:color w:val="auto"/>
              </w:rPr>
            </w:pPr>
          </w:p>
        </w:tc>
        <w:tc>
          <w:tcPr>
            <w:tcW w:w="1120" w:type="dxa"/>
            <w:vAlign w:val="bottom"/>
          </w:tcPr>
          <w:p>
            <w:pPr>
              <w:jc w:val="right"/>
              <w:ind w:right="215"/>
              <w:spacing w:after="0" w:line="153" w:lineRule="exact"/>
              <w:rPr>
                <w:sz w:val="20"/>
                <w:szCs w:val="20"/>
                <w:color w:val="auto"/>
              </w:rPr>
            </w:pPr>
            <w:r>
              <w:rPr>
                <w:rFonts w:ascii="Arial" w:cs="Arial" w:eastAsia="Arial" w:hAnsi="Arial"/>
                <w:sz w:val="17"/>
                <w:szCs w:val="17"/>
                <w:b w:val="1"/>
                <w:bCs w:val="1"/>
                <w:color w:val="auto"/>
              </w:rPr>
              <w:t>August 1,</w:t>
            </w:r>
          </w:p>
        </w:tc>
        <w:tc>
          <w:tcPr>
            <w:tcW w:w="240" w:type="dxa"/>
            <w:vAlign w:val="bottom"/>
          </w:tcPr>
          <w:p>
            <w:pPr>
              <w:spacing w:after="0"/>
              <w:rPr>
                <w:sz w:val="13"/>
                <w:szCs w:val="13"/>
                <w:color w:val="auto"/>
              </w:rPr>
            </w:pPr>
          </w:p>
        </w:tc>
        <w:tc>
          <w:tcPr>
            <w:tcW w:w="1020" w:type="dxa"/>
            <w:vAlign w:val="bottom"/>
          </w:tcPr>
          <w:p>
            <w:pPr>
              <w:jc w:val="right"/>
              <w:ind w:right="115"/>
              <w:spacing w:after="0" w:line="153" w:lineRule="exact"/>
              <w:rPr>
                <w:sz w:val="20"/>
                <w:szCs w:val="20"/>
                <w:color w:val="auto"/>
              </w:rPr>
            </w:pPr>
            <w:r>
              <w:rPr>
                <w:rFonts w:ascii="Arial" w:cs="Arial" w:eastAsia="Arial" w:hAnsi="Arial"/>
                <w:sz w:val="17"/>
                <w:szCs w:val="17"/>
                <w:b w:val="1"/>
                <w:bCs w:val="1"/>
                <w:color w:val="auto"/>
              </w:rPr>
              <w:t>August 3,</w:t>
            </w:r>
          </w:p>
        </w:tc>
      </w:tr>
      <w:tr>
        <w:trPr>
          <w:trHeight w:val="219"/>
        </w:trPr>
        <w:tc>
          <w:tcPr>
            <w:tcW w:w="2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8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2020</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2019</w:t>
            </w:r>
          </w:p>
        </w:tc>
      </w:tr>
      <w:tr>
        <w:trPr>
          <w:trHeight w:val="183"/>
        </w:trPr>
        <w:tc>
          <w:tcPr>
            <w:tcW w:w="29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Interest expense</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(4)</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(3)</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(7)</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w:t>
            </w:r>
          </w:p>
        </w:tc>
      </w:tr>
      <w:tr>
        <w:trPr>
          <w:trHeight w:val="189"/>
        </w:trPr>
        <w:tc>
          <w:tcPr>
            <w:tcW w:w="29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Interest income</w:t>
            </w:r>
          </w:p>
        </w:tc>
        <w:tc>
          <w:tcPr>
            <w:tcW w:w="8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2</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5</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4</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w:t>
            </w:r>
          </w:p>
        </w:tc>
      </w:tr>
      <w:tr>
        <w:trPr>
          <w:trHeight w:val="183"/>
        </w:trPr>
        <w:tc>
          <w:tcPr>
            <w:tcW w:w="29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Interest (expense) income, net</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(2)</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2</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(3)</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w:t>
            </w: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color w:val="auto"/>
        </w:rPr>
        <w:t>We recorded $2 million and $ 3 million of net interest expense for the thirteen and twenty-six weeks ended August 1, 2020, respectively, as compared with net interest income of $2 million and $6 million for the corresponding prior-year periods. Interest expense increased due to the drawdown of the revolving credit facility in March 2020. Additionally, interest income decreased primarily as a result of lower average interest rates on our cash and cash equivalents.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Other Income, Net</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25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7"/>
                <w:szCs w:val="17"/>
                <w:b w:val="1"/>
                <w:bCs w:val="1"/>
                <w:color w:val="auto"/>
              </w:rPr>
              <w:t>Thirteen weeks ended</w:t>
            </w: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7"/>
                <w:szCs w:val="17"/>
                <w:b w:val="1"/>
                <w:bCs w:val="1"/>
                <w:color w:val="auto"/>
              </w:rPr>
              <w:t>Twenty-six weeks ended</w:t>
            </w:r>
          </w:p>
        </w:tc>
      </w:tr>
      <w:tr>
        <w:trPr>
          <w:trHeight w:val="152"/>
        </w:trPr>
        <w:tc>
          <w:tcPr>
            <w:tcW w:w="2500" w:type="dxa"/>
            <w:vAlign w:val="bottom"/>
          </w:tcPr>
          <w:p>
            <w:pPr>
              <w:spacing w:after="0"/>
              <w:rPr>
                <w:sz w:val="13"/>
                <w:szCs w:val="13"/>
                <w:color w:val="auto"/>
              </w:rPr>
            </w:pPr>
          </w:p>
        </w:tc>
        <w:tc>
          <w:tcPr>
            <w:tcW w:w="2060" w:type="dxa"/>
            <w:vAlign w:val="bottom"/>
          </w:tcPr>
          <w:p>
            <w:pPr>
              <w:jc w:val="right"/>
              <w:spacing w:after="0" w:line="153" w:lineRule="exact"/>
              <w:rPr>
                <w:sz w:val="20"/>
                <w:szCs w:val="20"/>
                <w:color w:val="auto"/>
              </w:rPr>
            </w:pPr>
            <w:r>
              <w:rPr>
                <w:rFonts w:ascii="Arial" w:cs="Arial" w:eastAsia="Arial" w:hAnsi="Arial"/>
                <w:sz w:val="17"/>
                <w:szCs w:val="17"/>
                <w:b w:val="1"/>
                <w:bCs w:val="1"/>
                <w:color w:val="auto"/>
              </w:rPr>
              <w:t>August 1,</w:t>
            </w:r>
          </w:p>
        </w:tc>
        <w:tc>
          <w:tcPr>
            <w:tcW w:w="360" w:type="dxa"/>
            <w:vAlign w:val="bottom"/>
          </w:tcPr>
          <w:p>
            <w:pPr>
              <w:spacing w:after="0"/>
              <w:rPr>
                <w:sz w:val="13"/>
                <w:szCs w:val="13"/>
                <w:color w:val="auto"/>
              </w:rPr>
            </w:pPr>
          </w:p>
        </w:tc>
        <w:tc>
          <w:tcPr>
            <w:tcW w:w="980" w:type="dxa"/>
            <w:vAlign w:val="bottom"/>
          </w:tcPr>
          <w:p>
            <w:pPr>
              <w:jc w:val="center"/>
              <w:ind w:left="115"/>
              <w:spacing w:after="0" w:line="153" w:lineRule="exact"/>
              <w:rPr>
                <w:sz w:val="20"/>
                <w:szCs w:val="20"/>
                <w:color w:val="auto"/>
              </w:rPr>
            </w:pPr>
            <w:r>
              <w:rPr>
                <w:rFonts w:ascii="Arial" w:cs="Arial" w:eastAsia="Arial" w:hAnsi="Arial"/>
                <w:sz w:val="17"/>
                <w:szCs w:val="17"/>
                <w:b w:val="1"/>
                <w:bCs w:val="1"/>
                <w:color w:val="auto"/>
              </w:rPr>
              <w:t>August 3,</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275"/>
              <w:spacing w:after="0" w:line="153" w:lineRule="exact"/>
              <w:rPr>
                <w:sz w:val="20"/>
                <w:szCs w:val="20"/>
                <w:color w:val="auto"/>
              </w:rPr>
            </w:pPr>
            <w:r>
              <w:rPr>
                <w:rFonts w:ascii="Arial" w:cs="Arial" w:eastAsia="Arial" w:hAnsi="Arial"/>
                <w:sz w:val="17"/>
                <w:szCs w:val="17"/>
                <w:b w:val="1"/>
                <w:bCs w:val="1"/>
                <w:color w:val="auto"/>
              </w:rPr>
              <w:t>August 1,</w:t>
            </w:r>
          </w:p>
        </w:tc>
        <w:tc>
          <w:tcPr>
            <w:tcW w:w="180" w:type="dxa"/>
            <w:vAlign w:val="bottom"/>
          </w:tcPr>
          <w:p>
            <w:pPr>
              <w:spacing w:after="0"/>
              <w:rPr>
                <w:sz w:val="13"/>
                <w:szCs w:val="13"/>
                <w:color w:val="auto"/>
              </w:rPr>
            </w:pPr>
          </w:p>
        </w:tc>
        <w:tc>
          <w:tcPr>
            <w:tcW w:w="980" w:type="dxa"/>
            <w:vAlign w:val="bottom"/>
          </w:tcPr>
          <w:p>
            <w:pPr>
              <w:jc w:val="center"/>
              <w:ind w:right="35"/>
              <w:spacing w:after="0" w:line="153" w:lineRule="exact"/>
              <w:rPr>
                <w:sz w:val="20"/>
                <w:szCs w:val="20"/>
                <w:color w:val="auto"/>
              </w:rPr>
            </w:pPr>
            <w:r>
              <w:rPr>
                <w:rFonts w:ascii="Arial" w:cs="Arial" w:eastAsia="Arial" w:hAnsi="Arial"/>
                <w:sz w:val="17"/>
                <w:szCs w:val="17"/>
                <w:b w:val="1"/>
                <w:bCs w:val="1"/>
                <w:color w:val="auto"/>
              </w:rPr>
              <w:t>August 3,</w:t>
            </w:r>
          </w:p>
        </w:tc>
      </w:tr>
      <w:tr>
        <w:trPr>
          <w:trHeight w:val="219"/>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0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2020</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2019</w:t>
            </w: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2019</w:t>
            </w:r>
          </w:p>
        </w:tc>
      </w:tr>
      <w:tr>
        <w:trPr>
          <w:trHeight w:val="183"/>
        </w:trPr>
        <w:tc>
          <w:tcPr>
            <w:tcW w:w="25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Other income, net</w:t>
            </w:r>
          </w:p>
        </w:tc>
        <w:tc>
          <w:tcPr>
            <w:tcW w:w="2060" w:type="dxa"/>
            <w:vAlign w:val="bottom"/>
            <w:shd w:val="clear" w:color="auto" w:fill="CCEEFF"/>
          </w:tcPr>
          <w:p>
            <w:pPr>
              <w:jc w:val="right"/>
              <w:ind w:right="755"/>
              <w:spacing w:after="0" w:line="183" w:lineRule="exact"/>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w w:val="84"/>
              </w:rPr>
              <w:t>3</w:t>
            </w:r>
          </w:p>
        </w:tc>
        <w:tc>
          <w:tcPr>
            <w:tcW w:w="980" w:type="dxa"/>
            <w:vAlign w:val="bottom"/>
            <w:shd w:val="clear" w:color="auto" w:fill="CCEEFF"/>
          </w:tcPr>
          <w:p>
            <w:pPr>
              <w:jc w:val="right"/>
              <w:ind w:right="755"/>
              <w:spacing w:after="0" w:line="183"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w w:val="84"/>
              </w:rPr>
              <w:t>2</w:t>
            </w:r>
          </w:p>
        </w:tc>
        <w:tc>
          <w:tcPr>
            <w:tcW w:w="3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4</w:t>
            </w:r>
          </w:p>
        </w:tc>
        <w:tc>
          <w:tcPr>
            <w:tcW w:w="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w:t>
            </w:r>
          </w:p>
        </w:tc>
      </w:tr>
      <w:tr>
        <w:trPr>
          <w:trHeight w:val="189"/>
        </w:trPr>
        <w:tc>
          <w:tcPr>
            <w:tcW w:w="250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2060" w:type="dxa"/>
            <w:vAlign w:val="bottom"/>
          </w:tcPr>
          <w:p>
            <w:pPr>
              <w:jc w:val="right"/>
              <w:ind w:right="755"/>
              <w:spacing w:after="0" w:line="189" w:lineRule="exact"/>
              <w:rPr>
                <w:sz w:val="20"/>
                <w:szCs w:val="20"/>
                <w:color w:val="auto"/>
              </w:rPr>
            </w:pPr>
            <w:r>
              <w:rPr>
                <w:rFonts w:ascii="Arial" w:cs="Arial" w:eastAsia="Arial" w:hAnsi="Arial"/>
                <w:sz w:val="17"/>
                <w:szCs w:val="17"/>
                <w:b w:val="1"/>
                <w:bCs w:val="1"/>
                <w:color w:val="auto"/>
              </w:rPr>
              <w:t>$</w:t>
            </w:r>
          </w:p>
        </w:tc>
        <w:tc>
          <w:tcPr>
            <w:tcW w:w="36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w w:val="84"/>
              </w:rPr>
              <w:t>1</w:t>
            </w: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250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242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50.0 %</w:t>
            </w:r>
          </w:p>
        </w:tc>
        <w:tc>
          <w:tcPr>
            <w:tcW w:w="9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 %</w:t>
            </w:r>
          </w:p>
        </w:tc>
        <w:tc>
          <w:tcPr>
            <w:tcW w:w="1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r>
    </w:tbl>
    <w:p>
      <w:pPr>
        <w:spacing w:after="0" w:line="18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Other income includes non-operating items, including franchise royalty income, changes in the market value of our available-for-sale security, our share of earnings or losses related to our equity method investments, and net benefit expense related to our pension and postretirement programs excluding the service cost component.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28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7"/>
                <w:szCs w:val="17"/>
                <w:b w:val="1"/>
                <w:bCs w:val="1"/>
                <w:color w:val="auto"/>
              </w:rPr>
              <w:t>Thirteen weeks ended</w:t>
            </w:r>
          </w:p>
        </w:tc>
        <w:tc>
          <w:tcPr>
            <w:tcW w:w="1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7"/>
                <w:szCs w:val="17"/>
                <w:b w:val="1"/>
                <w:bCs w:val="1"/>
                <w:color w:val="auto"/>
              </w:rPr>
              <w:t>Twenty-six weeks ended</w:t>
            </w:r>
          </w:p>
        </w:tc>
      </w:tr>
      <w:tr>
        <w:trPr>
          <w:trHeight w:val="179"/>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jc w:val="right"/>
              <w:ind w:right="275"/>
              <w:spacing w:after="0" w:line="180" w:lineRule="exact"/>
              <w:rPr>
                <w:sz w:val="20"/>
                <w:szCs w:val="20"/>
                <w:color w:val="auto"/>
              </w:rPr>
            </w:pPr>
            <w:r>
              <w:rPr>
                <w:rFonts w:ascii="Arial" w:cs="Arial" w:eastAsia="Arial" w:hAnsi="Arial"/>
                <w:sz w:val="17"/>
                <w:szCs w:val="17"/>
                <w:b w:val="1"/>
                <w:bCs w:val="1"/>
                <w:color w:val="auto"/>
              </w:rPr>
              <w:t>August 1,</w:t>
            </w:r>
          </w:p>
        </w:tc>
        <w:tc>
          <w:tcPr>
            <w:tcW w:w="160" w:type="dxa"/>
            <w:vAlign w:val="bottom"/>
          </w:tcPr>
          <w:p>
            <w:pPr>
              <w:spacing w:after="0"/>
              <w:rPr>
                <w:sz w:val="15"/>
                <w:szCs w:val="15"/>
                <w:color w:val="auto"/>
              </w:rPr>
            </w:pPr>
          </w:p>
        </w:tc>
        <w:tc>
          <w:tcPr>
            <w:tcW w:w="1160" w:type="dxa"/>
            <w:vAlign w:val="bottom"/>
          </w:tcPr>
          <w:p>
            <w:pPr>
              <w:jc w:val="right"/>
              <w:ind w:right="255"/>
              <w:spacing w:after="0" w:line="180" w:lineRule="exact"/>
              <w:rPr>
                <w:sz w:val="20"/>
                <w:szCs w:val="20"/>
                <w:color w:val="auto"/>
              </w:rPr>
            </w:pPr>
            <w:r>
              <w:rPr>
                <w:rFonts w:ascii="Arial" w:cs="Arial" w:eastAsia="Arial" w:hAnsi="Arial"/>
                <w:sz w:val="17"/>
                <w:szCs w:val="17"/>
                <w:b w:val="1"/>
                <w:bCs w:val="1"/>
                <w:color w:val="auto"/>
              </w:rPr>
              <w:t>August 3,</w:t>
            </w:r>
          </w:p>
        </w:tc>
        <w:tc>
          <w:tcPr>
            <w:tcW w:w="180" w:type="dxa"/>
            <w:vAlign w:val="bottom"/>
          </w:tcPr>
          <w:p>
            <w:pPr>
              <w:spacing w:after="0"/>
              <w:rPr>
                <w:sz w:val="15"/>
                <w:szCs w:val="15"/>
                <w:color w:val="auto"/>
              </w:rPr>
            </w:pPr>
          </w:p>
        </w:tc>
        <w:tc>
          <w:tcPr>
            <w:tcW w:w="1180" w:type="dxa"/>
            <w:vAlign w:val="bottom"/>
          </w:tcPr>
          <w:p>
            <w:pPr>
              <w:jc w:val="right"/>
              <w:ind w:right="275"/>
              <w:spacing w:after="0" w:line="180" w:lineRule="exact"/>
              <w:rPr>
                <w:sz w:val="20"/>
                <w:szCs w:val="20"/>
                <w:color w:val="auto"/>
              </w:rPr>
            </w:pPr>
            <w:r>
              <w:rPr>
                <w:rFonts w:ascii="Arial" w:cs="Arial" w:eastAsia="Arial" w:hAnsi="Arial"/>
                <w:sz w:val="17"/>
                <w:szCs w:val="17"/>
                <w:b w:val="1"/>
                <w:bCs w:val="1"/>
                <w:color w:val="auto"/>
              </w:rPr>
              <w:t>August 1,</w:t>
            </w:r>
          </w:p>
        </w:tc>
        <w:tc>
          <w:tcPr>
            <w:tcW w:w="180" w:type="dxa"/>
            <w:vAlign w:val="bottom"/>
          </w:tcPr>
          <w:p>
            <w:pPr>
              <w:spacing w:after="0"/>
              <w:rPr>
                <w:sz w:val="15"/>
                <w:szCs w:val="15"/>
                <w:color w:val="auto"/>
              </w:rPr>
            </w:pPr>
          </w:p>
        </w:tc>
        <w:tc>
          <w:tcPr>
            <w:tcW w:w="1160" w:type="dxa"/>
            <w:vAlign w:val="bottom"/>
          </w:tcPr>
          <w:p>
            <w:pPr>
              <w:jc w:val="right"/>
              <w:ind w:right="255"/>
              <w:spacing w:after="0" w:line="180" w:lineRule="exact"/>
              <w:rPr>
                <w:sz w:val="20"/>
                <w:szCs w:val="20"/>
                <w:color w:val="auto"/>
              </w:rPr>
            </w:pPr>
            <w:r>
              <w:rPr>
                <w:rFonts w:ascii="Arial" w:cs="Arial" w:eastAsia="Arial" w:hAnsi="Arial"/>
                <w:sz w:val="17"/>
                <w:szCs w:val="17"/>
                <w:b w:val="1"/>
                <w:bCs w:val="1"/>
                <w:color w:val="auto"/>
              </w:rPr>
              <w:t>August 3,</w:t>
            </w:r>
          </w:p>
        </w:tc>
      </w:tr>
      <w:tr>
        <w:trPr>
          <w:trHeight w:val="219"/>
        </w:trPr>
        <w:tc>
          <w:tcPr>
            <w:tcW w:w="2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9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2019</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2019</w:t>
            </w:r>
          </w:p>
        </w:tc>
      </w:tr>
      <w:tr>
        <w:trPr>
          <w:trHeight w:val="196"/>
        </w:trPr>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25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25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30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87</w:t>
            </w:r>
          </w:p>
        </w:tc>
      </w:tr>
      <w:tr>
        <w:trPr>
          <w:trHeight w:val="203"/>
        </w:trPr>
        <w:tc>
          <w:tcPr>
            <w:tcW w:w="2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Effective tax rate</w:t>
            </w:r>
          </w:p>
        </w:tc>
        <w:tc>
          <w:tcPr>
            <w:tcW w:w="9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35.4 %</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29.5 %</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(85.5)%</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27.2 %</w:t>
            </w:r>
          </w:p>
        </w:tc>
      </w:tr>
    </w:tbl>
    <w:p>
      <w:pPr>
        <w:spacing w:after="0" w:line="180"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color w:val="auto"/>
        </w:rPr>
        <w:t>We regularly assess the adequacy of our provisions for income tax contingencies in accordance with applicable authoritative guidance on accounting for income taxes. As a result, we may adjust the reserves for unrecognized tax benefits considering new facts and developments, such as changes to interpretations of relevant tax law, assessments from taxing authorities, settlements with taxing authorities, and lapses of statutes of limitation. The changes in the tax reserves were not significant for any of the periods presented.</w:t>
      </w:r>
    </w:p>
    <w:p>
      <w:pPr>
        <w:spacing w:after="0" w:line="172"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The effective tax rates for the thirteen and twenty-six weeks ended August 1, 2020 were adversely affected by valuation allowances related to losses in certain foreign jurisdictions. Additionally, the tax rate was negatively affected by a tax charge related to the revaluation of certain intellectual property rights pursuant to a non-U.S. advance pricing agreement. During the thirteen weeks ended August 1, 2020, due to an improved financial outlook, we reduced the $27 million tax charge recognized in the first quarter of 2020 by $2 million. During the twenty-six weeks ended August 1, 2020, we recognized a $2 million tax benefit for the reversal of a withholding tax accrual that is no longer required.</w:t>
      </w:r>
    </w:p>
    <w:p>
      <w:pPr>
        <w:spacing w:after="0" w:line="165"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For the thirteen weeks ended August 3, 2019, the Company recorded a tax expense of $2 million for an adjustment to US tax on foreign income attributable to 2017 U.S. tax reform. For the twenty-six weeks ended August 3, 2019, the Company recognized a tax benefit of $3 million due to an adjustment to a foreign tax credit valuation allowance.</w:t>
      </w:r>
    </w:p>
    <w:p>
      <w:pPr>
        <w:spacing w:after="0" w:line="38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2020 Form 10-Q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3" w:right="1440" w:bottom="1440" w:gutter="0" w:footer="0" w:header="0"/>
        </w:sectPr>
      </w:pPr>
    </w:p>
    <w:bookmarkStart w:id="30" w:name="page31"/>
    <w:bookmarkEnd w:id="30"/>
    <w:p>
      <w:pPr>
        <w:jc w:val="both"/>
        <w:ind w:left="60" w:right="59"/>
        <w:spacing w:after="0" w:line="255" w:lineRule="auto"/>
        <w:rPr>
          <w:sz w:val="20"/>
          <w:szCs w:val="20"/>
          <w:color w:val="auto"/>
        </w:rPr>
      </w:pPr>
      <w:r>
        <w:rPr>
          <w:rFonts w:ascii="Arial" w:cs="Arial" w:eastAsia="Arial" w:hAnsi="Arial"/>
          <w:sz w:val="18"/>
          <w:szCs w:val="18"/>
          <w:color w:val="auto"/>
        </w:rPr>
        <w:t>Excluding the above-mentioned discrete items, the effective tax rates for the thirteen and twenty-six weeks ended August 1, 2020 increased, as compared with the corresponding prior-year periods, primarily due to the change in the mix of domestic and foreign earnings and losses.</w:t>
      </w:r>
    </w:p>
    <w:p>
      <w:pPr>
        <w:spacing w:after="0" w:line="150" w:lineRule="exact"/>
        <w:rPr>
          <w:sz w:val="20"/>
          <w:szCs w:val="20"/>
          <w:color w:val="auto"/>
        </w:rPr>
      </w:pPr>
    </w:p>
    <w:p>
      <w:pPr>
        <w:jc w:val="both"/>
        <w:ind w:left="60" w:right="59"/>
        <w:spacing w:after="0" w:line="276" w:lineRule="auto"/>
        <w:rPr>
          <w:sz w:val="20"/>
          <w:szCs w:val="20"/>
          <w:color w:val="auto"/>
        </w:rPr>
      </w:pPr>
      <w:r>
        <w:rPr>
          <w:rFonts w:ascii="Arial" w:cs="Arial" w:eastAsia="Arial" w:hAnsi="Arial"/>
          <w:sz w:val="18"/>
          <w:szCs w:val="18"/>
          <w:color w:val="auto"/>
        </w:rPr>
        <w:t>We expect the full-year tax rate to be elevated relative to historical levels due to the geographic mix of income and losses, as well as the limits to tax benefits for losses in certain foreign jurisdictions.</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Net Income</w:t>
      </w:r>
    </w:p>
    <w:p>
      <w:pPr>
        <w:spacing w:after="0" w:line="210"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color w:val="auto"/>
        </w:rPr>
        <w:t>For the thirteen-weeks ended August 1, 2020, we reported net income of $45 million, as compared to net income of $ 60 million in the corresponding prior-year period. For the twenty-six weeks ended August 1, 2020, we reported a net loss of $65 million as compared to net income of $232 million in the corresponding prior-year period. Diluted earnings per share decreased by 21.8 percent to $0.43 per share for the thirteen weeks ended August 1, 2020 compared with $0.55 in the thirteen-weeks ended August 3, 2019.</w:t>
      </w:r>
    </w:p>
    <w:p>
      <w:pPr>
        <w:spacing w:after="0" w:line="172" w:lineRule="exact"/>
        <w:rPr>
          <w:sz w:val="20"/>
          <w:szCs w:val="20"/>
          <w:color w:val="auto"/>
        </w:rPr>
      </w:pPr>
    </w:p>
    <w:p>
      <w:pPr>
        <w:jc w:val="both"/>
        <w:ind w:left="60" w:right="59"/>
        <w:spacing w:after="0" w:line="276" w:lineRule="auto"/>
        <w:rPr>
          <w:sz w:val="20"/>
          <w:szCs w:val="20"/>
          <w:color w:val="auto"/>
        </w:rPr>
      </w:pPr>
      <w:r>
        <w:rPr>
          <w:rFonts w:ascii="Arial" w:cs="Arial" w:eastAsia="Arial" w:hAnsi="Arial"/>
          <w:sz w:val="18"/>
          <w:szCs w:val="18"/>
          <w:color w:val="auto"/>
        </w:rPr>
        <w:t>Diluted loss per share was $0.62 for the twenty-six weeks ended August 1, 2020 as compared with diluted earnings per share of $2.08 for the twenty-six weeks ended August 3, 2019.</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Liquidity</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primary source of liquidity continues to be cash flow from operations, while the principal uses of cash are to fund inventory and other working capital requirements; finance capital expenditures related to store openings, store remodelings, internet and mobile sites, information systems, and other support facilities; make retirement plan contributions, quarterly dividend payments, and interest payments; and fund other cash requirements to support the development of our short-term and long-term operating strategies. We also from time to time may make investments in other companies that we believe support our vision of inspiring and empowering youth culture. We generally finance real estate with operating leases. We believe our cash, cash equivalents, and future cash flow from operations will be adequate to fund these requirements.</w:t>
      </w:r>
    </w:p>
    <w:p>
      <w:pPr>
        <w:spacing w:after="0" w:line="180"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The Company may also from time to time repurchase its common stock or seek to retire or purchase outstanding debt through open market purchases, privately negotiated transactions, or otherwise. Share repurchases and retirement of debt, if any, will depend on prevailing market conditions, liquidity requirements, contractual restrictions, strategic considerations, and other factors. The amounts involved may be material.</w:t>
      </w:r>
    </w:p>
    <w:p>
      <w:pPr>
        <w:spacing w:after="0" w:line="17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During the first and second quarters of 2020, due to the COVID-19 pandemic, and in an effort to conserve cash, we temporarily suspended our share repurchase program. As of August 1, 2020, $867 million remained available under the current 3-year share repurchase program. Also, after thoughtful consideration by our Board of Directors, we suspended our second quarter dividend distribution to preserve our balance sheet strength and flexibility. On August 20, 2020, our Board of Directors approved the reinstatement of our quarterly dividend program at a rate of $0.15 per share, which will be payable on October 30, 2020 to shareholders of record on October 16, 2020. The Board will continue to evaluate the dividend program on a quarterly basis. Additionally, our Board of Directors removed the suspension related to share repurchases effective September 1, 2020.</w:t>
      </w:r>
    </w:p>
    <w:p>
      <w:pPr>
        <w:spacing w:after="0" w:line="167"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Any material adverse change in customer demand, fashion trends, competitive market forces, or customer acceptance of our merchandise mix, retail locations and websites, uncertainties related to the effect of competitive products and pricing, our reliance on a few key vendors for a significant portion of our merchandise purchases and risks associated with global product sourcing, economic conditions worldwide, the effects of currency fluctuations, uncertainties caused by the COVID-19 pandemic, as well as other factors listed under the headings “Disclosure Regarding Forward-Looking Statements,” and “Risk Factors” could affect our ability to continue to fund our needs from business operations.</w:t>
      </w:r>
    </w:p>
    <w:p>
      <w:pPr>
        <w:spacing w:after="0" w:line="395"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2020 Form 10-Q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1"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16" w:lineRule="exact"/>
        <w:rPr>
          <w:sz w:val="20"/>
          <w:szCs w:val="20"/>
          <w:color w:val="auto"/>
        </w:rPr>
      </w:pPr>
    </w:p>
    <w:p>
      <w:pPr>
        <w:ind w:left="6160"/>
        <w:spacing w:after="0"/>
        <w:rPr>
          <w:sz w:val="20"/>
          <w:szCs w:val="20"/>
          <w:color w:val="auto"/>
        </w:rPr>
      </w:pPr>
      <w:r>
        <w:rPr>
          <w:rFonts w:ascii="Arial" w:cs="Arial" w:eastAsia="Arial" w:hAnsi="Arial"/>
          <w:sz w:val="17"/>
          <w:szCs w:val="17"/>
          <w:b w:val="1"/>
          <w:bCs w:val="1"/>
          <w:color w:val="auto"/>
        </w:rPr>
        <w:t>Twenty-six weeks ended</w:t>
      </w:r>
    </w:p>
    <w:p>
      <w:pPr>
        <w:spacing w:after="0" w:line="24" w:lineRule="exact"/>
        <w:rPr>
          <w:sz w:val="20"/>
          <w:szCs w:val="20"/>
          <w:color w:val="auto"/>
        </w:rPr>
      </w:pPr>
    </w:p>
    <w:tbl>
      <w:tblPr>
        <w:tblLayout w:type="fixed"/>
        <w:tblInd w:w="60" w:type="dxa"/>
        <w:tblCellMar>
          <w:top w:w="0" w:type="dxa"/>
          <w:left w:w="0" w:type="dxa"/>
          <w:bottom w:w="0" w:type="dxa"/>
          <w:right w:w="0" w:type="dxa"/>
        </w:tblCellMar>
      </w:tblPr>
      <w:tr>
        <w:trPr>
          <w:trHeight w:val="152"/>
        </w:trPr>
        <w:tc>
          <w:tcPr>
            <w:tcW w:w="418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7"/>
                <w:szCs w:val="17"/>
                <w:b w:val="1"/>
                <w:bCs w:val="1"/>
                <w:color w:val="auto"/>
              </w:rPr>
              <w:t>August 1,</w:t>
            </w:r>
          </w:p>
        </w:tc>
        <w:tc>
          <w:tcPr>
            <w:tcW w:w="5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ind w:right="195"/>
              <w:spacing w:after="0" w:line="153" w:lineRule="exact"/>
              <w:rPr>
                <w:sz w:val="20"/>
                <w:szCs w:val="20"/>
                <w:color w:val="auto"/>
              </w:rPr>
            </w:pPr>
            <w:r>
              <w:rPr>
                <w:rFonts w:ascii="Arial" w:cs="Arial" w:eastAsia="Arial" w:hAnsi="Arial"/>
                <w:sz w:val="17"/>
                <w:szCs w:val="17"/>
                <w:b w:val="1"/>
                <w:bCs w:val="1"/>
                <w:color w:val="auto"/>
              </w:rPr>
              <w:t>August 3,</w:t>
            </w:r>
          </w:p>
        </w:tc>
      </w:tr>
      <w:tr>
        <w:trPr>
          <w:trHeight w:val="219"/>
        </w:trPr>
        <w:tc>
          <w:tcPr>
            <w:tcW w:w="4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2020</w:t>
            </w:r>
          </w:p>
        </w:tc>
        <w:tc>
          <w:tcPr>
            <w:tcW w:w="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2019</w:t>
            </w:r>
          </w:p>
        </w:tc>
      </w:tr>
      <w:tr>
        <w:trPr>
          <w:trHeight w:val="183"/>
        </w:trPr>
        <w:tc>
          <w:tcPr>
            <w:tcW w:w="41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cash provided by operating activities</w:t>
            </w:r>
          </w:p>
        </w:tc>
        <w:tc>
          <w:tcPr>
            <w:tcW w:w="2360" w:type="dxa"/>
            <w:vAlign w:val="bottom"/>
            <w:shd w:val="clear" w:color="auto" w:fill="CCEEFF"/>
          </w:tcPr>
          <w:p>
            <w:pPr>
              <w:jc w:val="right"/>
              <w:ind w:right="1075"/>
              <w:spacing w:after="0" w:line="183" w:lineRule="exact"/>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606</w:t>
            </w:r>
          </w:p>
        </w:tc>
        <w:tc>
          <w:tcPr>
            <w:tcW w:w="4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328</w:t>
            </w:r>
          </w:p>
        </w:tc>
      </w:tr>
      <w:tr>
        <w:trPr>
          <w:trHeight w:val="189"/>
        </w:trPr>
        <w:tc>
          <w:tcPr>
            <w:tcW w:w="41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2360" w:type="dxa"/>
            <w:vAlign w:val="bottom"/>
            <w:tcBorders>
              <w:bottom w:val="single" w:sz="8" w:color="auto"/>
            </w:tcBorders>
          </w:tcPr>
          <w:p>
            <w:pPr>
              <w:jc w:val="right"/>
              <w:ind w:right="1075"/>
              <w:spacing w:after="0" w:line="189"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278</w:t>
            </w:r>
          </w:p>
        </w:tc>
        <w:tc>
          <w:tcPr>
            <w:tcW w:w="4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spacing w:after="0"/>
              <w:rPr>
                <w:sz w:val="16"/>
                <w:szCs w:val="16"/>
                <w:color w:val="auto"/>
              </w:rPr>
            </w:pPr>
          </w:p>
        </w:tc>
      </w:tr>
    </w:tbl>
    <w:p>
      <w:pPr>
        <w:spacing w:after="0" w:line="18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Operating activities reflects net (loss) income adjusted for non-cash items and working capital changes. Adjustments to net (loss) income for non-cash items include impairment charges, other charges, depreciation and amortization, deferred income taxes, and share-based compensation expense.</w:t>
      </w:r>
    </w:p>
    <w:p>
      <w:pPr>
        <w:spacing w:after="0" w:line="164" w:lineRule="exact"/>
        <w:rPr>
          <w:sz w:val="20"/>
          <w:szCs w:val="20"/>
          <w:color w:val="auto"/>
        </w:rPr>
      </w:pPr>
    </w:p>
    <w:p>
      <w:pPr>
        <w:jc w:val="both"/>
        <w:ind w:left="60" w:right="59"/>
        <w:spacing w:after="0" w:line="276" w:lineRule="auto"/>
        <w:rPr>
          <w:sz w:val="20"/>
          <w:szCs w:val="20"/>
          <w:color w:val="auto"/>
        </w:rPr>
      </w:pPr>
      <w:r>
        <w:rPr>
          <w:rFonts w:ascii="Arial" w:cs="Arial" w:eastAsia="Arial" w:hAnsi="Arial"/>
          <w:sz w:val="18"/>
          <w:szCs w:val="18"/>
          <w:color w:val="auto"/>
        </w:rPr>
        <w:t>The increase in cash provided by operating activities, as compared with the same period last year, reflected higher accounts payable and accrued and other liabilities, partially offset by a decrease in net income.</w:t>
      </w:r>
    </w:p>
    <w:p>
      <w:pPr>
        <w:spacing w:after="0" w:line="145" w:lineRule="exact"/>
        <w:rPr>
          <w:sz w:val="20"/>
          <w:szCs w:val="20"/>
          <w:color w:val="auto"/>
        </w:rPr>
      </w:pPr>
    </w:p>
    <w:p>
      <w:pPr>
        <w:jc w:val="both"/>
        <w:ind w:left="60" w:right="79"/>
        <w:spacing w:after="0" w:line="255" w:lineRule="auto"/>
        <w:rPr>
          <w:sz w:val="20"/>
          <w:szCs w:val="20"/>
          <w:color w:val="auto"/>
        </w:rPr>
      </w:pPr>
      <w:r>
        <w:rPr>
          <w:rFonts w:ascii="Arial" w:cs="Arial" w:eastAsia="Arial" w:hAnsi="Arial"/>
          <w:sz w:val="18"/>
          <w:szCs w:val="18"/>
          <w:color w:val="auto"/>
        </w:rPr>
        <w:t>As of August 1, 2020, we have withheld approximately $87 million of lease and lease related payments as we continue to negotiate rent deferrals or abatements with our landlords for the period that our stores were closed due to the COVID-19 pandemic.</w:t>
      </w:r>
    </w:p>
    <w:p>
      <w:pPr>
        <w:spacing w:after="0" w:line="16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During the twenty-six weeks ended August 3, 2019, we contributed $55 million to our U.S. qualified pension plan primarily representing the funds available in the qualified settlement fund established in connection with the pension matter.</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16" w:lineRule="exact"/>
        <w:rPr>
          <w:sz w:val="20"/>
          <w:szCs w:val="20"/>
          <w:color w:val="auto"/>
        </w:rPr>
      </w:pPr>
    </w:p>
    <w:p>
      <w:pPr>
        <w:ind w:left="6160"/>
        <w:spacing w:after="0"/>
        <w:rPr>
          <w:sz w:val="20"/>
          <w:szCs w:val="20"/>
          <w:color w:val="auto"/>
        </w:rPr>
      </w:pPr>
      <w:r>
        <w:rPr>
          <w:rFonts w:ascii="Arial" w:cs="Arial" w:eastAsia="Arial" w:hAnsi="Arial"/>
          <w:sz w:val="17"/>
          <w:szCs w:val="17"/>
          <w:b w:val="1"/>
          <w:bCs w:val="1"/>
          <w:color w:val="auto"/>
        </w:rPr>
        <w:t>Twenty-six weeks ended</w:t>
      </w:r>
    </w:p>
    <w:p>
      <w:pPr>
        <w:spacing w:after="0" w:line="24" w:lineRule="exact"/>
        <w:rPr>
          <w:sz w:val="20"/>
          <w:szCs w:val="20"/>
          <w:color w:val="auto"/>
        </w:rPr>
      </w:pPr>
    </w:p>
    <w:tbl>
      <w:tblPr>
        <w:tblLayout w:type="fixed"/>
        <w:tblInd w:w="60" w:type="dxa"/>
        <w:tblCellMar>
          <w:top w:w="0" w:type="dxa"/>
          <w:left w:w="0" w:type="dxa"/>
          <w:bottom w:w="0" w:type="dxa"/>
          <w:right w:w="0" w:type="dxa"/>
        </w:tblCellMar>
      </w:tblPr>
      <w:tr>
        <w:trPr>
          <w:trHeight w:val="152"/>
        </w:trPr>
        <w:tc>
          <w:tcPr>
            <w:tcW w:w="4000" w:type="dxa"/>
            <w:vAlign w:val="bottom"/>
            <w:tcBorders>
              <w:top w:val="single" w:sz="8" w:color="auto"/>
            </w:tcBorders>
          </w:tcPr>
          <w:p>
            <w:pPr>
              <w:spacing w:after="0"/>
              <w:rPr>
                <w:sz w:val="13"/>
                <w:szCs w:val="13"/>
                <w:color w:val="auto"/>
              </w:rPr>
            </w:pPr>
          </w:p>
        </w:tc>
        <w:tc>
          <w:tcPr>
            <w:tcW w:w="25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7"/>
                <w:szCs w:val="17"/>
                <w:b w:val="1"/>
                <w:bCs w:val="1"/>
                <w:color w:val="auto"/>
              </w:rPr>
              <w:t>August 1,</w:t>
            </w:r>
          </w:p>
        </w:tc>
        <w:tc>
          <w:tcPr>
            <w:tcW w:w="5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ind w:right="195"/>
              <w:spacing w:after="0" w:line="153" w:lineRule="exact"/>
              <w:rPr>
                <w:sz w:val="20"/>
                <w:szCs w:val="20"/>
                <w:color w:val="auto"/>
              </w:rPr>
            </w:pPr>
            <w:r>
              <w:rPr>
                <w:rFonts w:ascii="Arial" w:cs="Arial" w:eastAsia="Arial" w:hAnsi="Arial"/>
                <w:sz w:val="17"/>
                <w:szCs w:val="17"/>
                <w:b w:val="1"/>
                <w:bCs w:val="1"/>
                <w:color w:val="auto"/>
              </w:rPr>
              <w:t>August 3,</w:t>
            </w:r>
          </w:p>
        </w:tc>
      </w:tr>
      <w:tr>
        <w:trPr>
          <w:trHeight w:val="219"/>
        </w:trPr>
        <w:tc>
          <w:tcPr>
            <w:tcW w:w="4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5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2020</w:t>
            </w:r>
          </w:p>
        </w:tc>
        <w:tc>
          <w:tcPr>
            <w:tcW w:w="5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2019</w:t>
            </w:r>
          </w:p>
        </w:tc>
      </w:tr>
      <w:tr>
        <w:trPr>
          <w:trHeight w:val="183"/>
        </w:trPr>
        <w:tc>
          <w:tcPr>
            <w:tcW w:w="40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cash used in investing activities</w:t>
            </w:r>
          </w:p>
        </w:tc>
        <w:tc>
          <w:tcPr>
            <w:tcW w:w="2560" w:type="dxa"/>
            <w:vAlign w:val="bottom"/>
            <w:shd w:val="clear" w:color="auto" w:fill="CCEEFF"/>
          </w:tcPr>
          <w:p>
            <w:pPr>
              <w:jc w:val="right"/>
              <w:ind w:right="1095"/>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(91)</w:t>
            </w:r>
          </w:p>
        </w:tc>
        <w:tc>
          <w:tcPr>
            <w:tcW w:w="4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(126)</w:t>
            </w:r>
          </w:p>
        </w:tc>
      </w:tr>
      <w:tr>
        <w:trPr>
          <w:trHeight w:val="189"/>
        </w:trPr>
        <w:tc>
          <w:tcPr>
            <w:tcW w:w="40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2560" w:type="dxa"/>
            <w:vAlign w:val="bottom"/>
            <w:tcBorders>
              <w:bottom w:val="single" w:sz="8" w:color="auto"/>
            </w:tcBorders>
          </w:tcPr>
          <w:p>
            <w:pPr>
              <w:jc w:val="right"/>
              <w:ind w:right="1095"/>
              <w:spacing w:after="0" w:line="189"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35</w:t>
            </w:r>
          </w:p>
        </w:tc>
        <w:tc>
          <w:tcPr>
            <w:tcW w:w="4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spacing w:after="0"/>
              <w:rPr>
                <w:sz w:val="16"/>
                <w:szCs w:val="16"/>
                <w:color w:val="auto"/>
              </w:rPr>
            </w:pPr>
          </w:p>
        </w:tc>
      </w:tr>
    </w:tbl>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For the twenty-six weeks ended August 1, 2020, capital expenditures increased by $2 million to $83 million, as compared with the corresponding prior-year period. Our full-year capital spending is expected to be $154 million, which is $117 million lower than the target that was established at the beginning of the year and reflects changes in the timing of certain projects due to the COVID-19 pandemic. The revised forecast includes $85 million related to the remodeling or relocation of approximately 60 existing stores and the opening of approximately 95 new stores, as well as $69 million for the development of information systems, websites, and infrastructure, including supply chain initiatives. Cash used in investing activities is also lower this period as the current period included $8 million in minority investments as compared with $45 million spent in the corresponding prior-year period.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16" w:lineRule="exact"/>
        <w:rPr>
          <w:sz w:val="20"/>
          <w:szCs w:val="20"/>
          <w:color w:val="auto"/>
        </w:rPr>
      </w:pPr>
    </w:p>
    <w:p>
      <w:pPr>
        <w:ind w:left="6160"/>
        <w:spacing w:after="0"/>
        <w:rPr>
          <w:sz w:val="20"/>
          <w:szCs w:val="20"/>
          <w:color w:val="auto"/>
        </w:rPr>
      </w:pPr>
      <w:r>
        <w:rPr>
          <w:rFonts w:ascii="Arial" w:cs="Arial" w:eastAsia="Arial" w:hAnsi="Arial"/>
          <w:sz w:val="17"/>
          <w:szCs w:val="17"/>
          <w:b w:val="1"/>
          <w:bCs w:val="1"/>
          <w:color w:val="auto"/>
        </w:rPr>
        <w:t>Twenty-six weeks ended</w:t>
      </w:r>
    </w:p>
    <w:p>
      <w:pPr>
        <w:spacing w:after="0" w:line="24" w:lineRule="exact"/>
        <w:rPr>
          <w:sz w:val="20"/>
          <w:szCs w:val="20"/>
          <w:color w:val="auto"/>
        </w:rPr>
      </w:pPr>
    </w:p>
    <w:tbl>
      <w:tblPr>
        <w:tblLayout w:type="fixed"/>
        <w:tblInd w:w="60" w:type="dxa"/>
        <w:tblCellMar>
          <w:top w:w="0" w:type="dxa"/>
          <w:left w:w="0" w:type="dxa"/>
          <w:bottom w:w="0" w:type="dxa"/>
          <w:right w:w="0" w:type="dxa"/>
        </w:tblCellMar>
      </w:tblPr>
      <w:tr>
        <w:trPr>
          <w:trHeight w:val="152"/>
        </w:trPr>
        <w:tc>
          <w:tcPr>
            <w:tcW w:w="4000" w:type="dxa"/>
            <w:vAlign w:val="bottom"/>
            <w:tcBorders>
              <w:top w:val="single" w:sz="8" w:color="auto"/>
            </w:tcBorders>
          </w:tcPr>
          <w:p>
            <w:pPr>
              <w:spacing w:after="0"/>
              <w:rPr>
                <w:sz w:val="13"/>
                <w:szCs w:val="13"/>
                <w:color w:val="auto"/>
              </w:rPr>
            </w:pPr>
          </w:p>
        </w:tc>
        <w:tc>
          <w:tcPr>
            <w:tcW w:w="25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7"/>
                <w:szCs w:val="17"/>
                <w:b w:val="1"/>
                <w:bCs w:val="1"/>
                <w:color w:val="auto"/>
              </w:rPr>
              <w:t>August 1,</w:t>
            </w:r>
          </w:p>
        </w:tc>
        <w:tc>
          <w:tcPr>
            <w:tcW w:w="5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ind w:right="195"/>
              <w:spacing w:after="0" w:line="153" w:lineRule="exact"/>
              <w:rPr>
                <w:sz w:val="20"/>
                <w:szCs w:val="20"/>
                <w:color w:val="auto"/>
              </w:rPr>
            </w:pPr>
            <w:r>
              <w:rPr>
                <w:rFonts w:ascii="Arial" w:cs="Arial" w:eastAsia="Arial" w:hAnsi="Arial"/>
                <w:sz w:val="17"/>
                <w:szCs w:val="17"/>
                <w:b w:val="1"/>
                <w:bCs w:val="1"/>
                <w:color w:val="auto"/>
              </w:rPr>
              <w:t>August 3,</w:t>
            </w:r>
          </w:p>
        </w:tc>
      </w:tr>
      <w:tr>
        <w:trPr>
          <w:trHeight w:val="219"/>
        </w:trPr>
        <w:tc>
          <w:tcPr>
            <w:tcW w:w="4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5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2020</w:t>
            </w:r>
          </w:p>
        </w:tc>
        <w:tc>
          <w:tcPr>
            <w:tcW w:w="5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2019</w:t>
            </w:r>
          </w:p>
        </w:tc>
      </w:tr>
      <w:tr>
        <w:trPr>
          <w:trHeight w:val="183"/>
        </w:trPr>
        <w:tc>
          <w:tcPr>
            <w:tcW w:w="40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cash used in financing activities</w:t>
            </w:r>
          </w:p>
        </w:tc>
        <w:tc>
          <w:tcPr>
            <w:tcW w:w="2540" w:type="dxa"/>
            <w:vAlign w:val="bottom"/>
            <w:shd w:val="clear" w:color="auto" w:fill="CCEEFF"/>
          </w:tcPr>
          <w:p>
            <w:pPr>
              <w:jc w:val="right"/>
              <w:ind w:right="1075"/>
              <w:spacing w:after="0" w:line="183" w:lineRule="exact"/>
              <w:rPr>
                <w:sz w:val="20"/>
                <w:szCs w:val="20"/>
                <w:color w:val="auto"/>
              </w:rPr>
            </w:pPr>
            <w:r>
              <w:rPr>
                <w:rFonts w:ascii="Arial" w:cs="Arial" w:eastAsia="Arial" w:hAnsi="Arial"/>
                <w:sz w:val="17"/>
                <w:szCs w:val="17"/>
                <w:b w:val="1"/>
                <w:bCs w:val="1"/>
                <w:color w:val="auto"/>
              </w:rPr>
              <w:t>$</w:t>
            </w:r>
          </w:p>
        </w:tc>
        <w:tc>
          <w:tcPr>
            <w:tcW w:w="54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(44)</w:t>
            </w:r>
          </w:p>
        </w:tc>
        <w:tc>
          <w:tcPr>
            <w:tcW w:w="4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(201)</w:t>
            </w:r>
          </w:p>
        </w:tc>
      </w:tr>
      <w:tr>
        <w:trPr>
          <w:trHeight w:val="189"/>
        </w:trPr>
        <w:tc>
          <w:tcPr>
            <w:tcW w:w="40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2540" w:type="dxa"/>
            <w:vAlign w:val="bottom"/>
            <w:tcBorders>
              <w:bottom w:val="single" w:sz="8" w:color="auto"/>
            </w:tcBorders>
          </w:tcPr>
          <w:p>
            <w:pPr>
              <w:jc w:val="right"/>
              <w:ind w:right="1075"/>
              <w:spacing w:after="0" w:line="189" w:lineRule="exact"/>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157</w:t>
            </w:r>
          </w:p>
        </w:tc>
        <w:tc>
          <w:tcPr>
            <w:tcW w:w="4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spacing w:after="0"/>
              <w:rPr>
                <w:sz w:val="16"/>
                <w:szCs w:val="16"/>
                <w:color w:val="auto"/>
              </w:rPr>
            </w:pPr>
          </w:p>
        </w:tc>
      </w:tr>
    </w:tbl>
    <w:p>
      <w:pPr>
        <w:spacing w:after="0" w:line="18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212529"/>
        </w:rPr>
        <w:t>In the first quarter of 2020, we borrowed $330 million of our credit facility which was repaid in full during the second quarter of 2020</w:t>
      </w:r>
      <w:r>
        <w:rPr>
          <w:rFonts w:ascii="Arial" w:cs="Arial" w:eastAsia="Arial" w:hAnsi="Arial"/>
          <w:sz w:val="18"/>
          <w:szCs w:val="18"/>
          <w:color w:val="000000"/>
        </w:rPr>
        <w:t>.</w:t>
      </w:r>
      <w:r>
        <w:rPr>
          <w:rFonts w:ascii="Arial" w:cs="Arial" w:eastAsia="Arial" w:hAnsi="Arial"/>
          <w:sz w:val="18"/>
          <w:szCs w:val="18"/>
          <w:color w:val="212529"/>
        </w:rPr>
        <w:t xml:space="preserve"> In July 2020, we entered into a new $600 million credit agreement and in connection with this transaction we paid fees of $4 million.</w:t>
      </w:r>
    </w:p>
    <w:p>
      <w:pPr>
        <w:spacing w:after="0" w:line="38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2020 Form 10-Q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3" w:right="1440" w:bottom="1440" w:gutter="0" w:footer="0" w:header="0"/>
        </w:sectPr>
      </w:pPr>
    </w:p>
    <w:bookmarkStart w:id="32" w:name="page33"/>
    <w:bookmarkEnd w:id="32"/>
    <w:p>
      <w:pPr>
        <w:jc w:val="both"/>
        <w:ind w:left="60" w:right="59"/>
        <w:spacing w:after="0" w:line="241" w:lineRule="auto"/>
        <w:rPr>
          <w:sz w:val="20"/>
          <w:szCs w:val="20"/>
          <w:color w:val="auto"/>
        </w:rPr>
      </w:pPr>
      <w:r>
        <w:rPr>
          <w:rFonts w:ascii="Arial" w:cs="Arial" w:eastAsia="Arial" w:hAnsi="Arial"/>
          <w:sz w:val="18"/>
          <w:szCs w:val="18"/>
          <w:color w:val="auto"/>
        </w:rPr>
        <w:t xml:space="preserve">During the twenty-six weeks ended August 1, 2020, we did not repurchase shares of our common stock, as compared with </w:t>
      </w:r>
      <w:r>
        <w:rPr>
          <w:rFonts w:ascii="Arial" w:cs="Arial" w:eastAsia="Arial" w:hAnsi="Arial"/>
          <w:sz w:val="18"/>
          <w:szCs w:val="18"/>
          <w:color w:val="212529"/>
        </w:rPr>
        <w:t>2,932,100 shares of our common stock repurchased</w:t>
      </w:r>
      <w:r>
        <w:rPr>
          <w:rFonts w:ascii="Arial" w:cs="Arial" w:eastAsia="Arial" w:hAnsi="Arial"/>
          <w:sz w:val="18"/>
          <w:szCs w:val="18"/>
          <w:color w:val="auto"/>
        </w:rPr>
        <w:t xml:space="preserve"> in the corresponding prior-year period </w:t>
      </w:r>
      <w:r>
        <w:rPr>
          <w:rFonts w:ascii="Arial" w:cs="Arial" w:eastAsia="Arial" w:hAnsi="Arial"/>
          <w:sz w:val="18"/>
          <w:szCs w:val="18"/>
          <w:color w:val="212529"/>
        </w:rPr>
        <w:t>for</w:t>
      </w:r>
      <w:r>
        <w:rPr>
          <w:rFonts w:ascii="Arial" w:cs="Arial" w:eastAsia="Arial" w:hAnsi="Arial"/>
          <w:sz w:val="18"/>
          <w:szCs w:val="18"/>
          <w:color w:val="auto"/>
        </w:rPr>
        <w:t xml:space="preserve"> </w:t>
      </w:r>
      <w:r>
        <w:rPr>
          <w:rFonts w:ascii="Arial" w:cs="Arial" w:eastAsia="Arial" w:hAnsi="Arial"/>
          <w:sz w:val="18"/>
          <w:szCs w:val="18"/>
          <w:color w:val="212529"/>
        </w:rPr>
        <w:t>$122 million</w:t>
      </w:r>
      <w:r>
        <w:rPr>
          <w:rFonts w:ascii="Arial" w:cs="Arial" w:eastAsia="Arial" w:hAnsi="Arial"/>
          <w:sz w:val="18"/>
          <w:szCs w:val="18"/>
          <w:color w:val="000000"/>
        </w:rPr>
        <w:t>. We also declared and paid dividends of $42 million and $84 million during the twenty-six weeks</w:t>
      </w:r>
      <w:r>
        <w:rPr>
          <w:rFonts w:ascii="Arial" w:cs="Arial" w:eastAsia="Arial" w:hAnsi="Arial"/>
          <w:sz w:val="18"/>
          <w:szCs w:val="18"/>
          <w:color w:val="212529"/>
        </w:rPr>
        <w:t xml:space="preserve"> </w:t>
      </w:r>
      <w:r>
        <w:rPr>
          <w:rFonts w:ascii="Arial" w:cs="Arial" w:eastAsia="Arial" w:hAnsi="Arial"/>
          <w:sz w:val="18"/>
          <w:szCs w:val="18"/>
          <w:color w:val="000000"/>
        </w:rPr>
        <w:t xml:space="preserve">ended August 1, 2020 and August 3, 2019, respectively. This represented quarterly rates of $ 0.40 for the first quarter of 2020 and $0.38 per share for both the first and second quarters of 2019. Our second quarter dividend was suspended as a result of the COVID-19 pandemic but has been reinstated for the third quarter at $0.15 per </w:t>
      </w:r>
      <w:r>
        <w:rPr>
          <w:rFonts w:ascii="Arial" w:cs="Arial" w:eastAsia="Arial" w:hAnsi="Arial"/>
          <w:sz w:val="18"/>
          <w:szCs w:val="18"/>
          <w:color w:val="212529"/>
        </w:rPr>
        <w:t>share.</w:t>
      </w:r>
    </w:p>
    <w:p>
      <w:pPr>
        <w:spacing w:after="0" w:line="179"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Partially offsetting the amounts above were proceeds received from the issuance of common stock and treasury stock in connection with employee stock programs of $ 2 million and $7 million for the twenty-six weeks ended August 1, 2020 and August 1, 2019, respectively. Also, during the twenty-six weeks ended August 3, 2019 we paid $2 million to satisfy tax withholding obligations relating to the vesting of share-based equity awards.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4"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Other than the adoption of ASU 2017-04</w:t>
      </w:r>
      <w:r>
        <w:rPr>
          <w:rFonts w:ascii="Arial" w:cs="Arial" w:eastAsia="Arial" w:hAnsi="Arial"/>
          <w:sz w:val="18"/>
          <w:szCs w:val="18"/>
          <w:i w:val="1"/>
          <w:iCs w:val="1"/>
          <w:color w:val="auto"/>
        </w:rPr>
        <w:t>, Simplifying the test for Goodwill Impairment</w:t>
      </w:r>
      <w:r>
        <w:rPr>
          <w:rFonts w:ascii="Arial" w:cs="Arial" w:eastAsia="Arial" w:hAnsi="Arial"/>
          <w:sz w:val="18"/>
          <w:szCs w:val="18"/>
          <w:color w:val="auto"/>
        </w:rPr>
        <w:t xml:space="preserve">, on February 2, 2020 as discussed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and Note 6, </w:t>
      </w:r>
      <w:r>
        <w:rPr>
          <w:rFonts w:ascii="Arial" w:cs="Arial" w:eastAsia="Arial" w:hAnsi="Arial"/>
          <w:sz w:val="18"/>
          <w:szCs w:val="18"/>
          <w:i w:val="1"/>
          <w:iCs w:val="1"/>
          <w:color w:val="auto"/>
        </w:rPr>
        <w:t>Goodwill</w:t>
      </w:r>
      <w:r>
        <w:rPr>
          <w:rFonts w:ascii="Arial" w:cs="Arial" w:eastAsia="Arial" w:hAnsi="Arial"/>
          <w:sz w:val="18"/>
          <w:szCs w:val="18"/>
          <w:color w:val="auto"/>
        </w:rPr>
        <w:t>, to the Condensed Consolidated Financial Statements, there have been no significant changes to our critical accounting policies and estimates from the information provided in Item 7, “Management’s Discussion and Analysis of Financial Condition and Results of Operations,” included in the Annual Report on Form 10-K for the fiscal year ended February 1, 2020.</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 xml:space="preserve">Descriptions of the recently issued and adopted accounting principles are included in Item 1. “Financial Statements”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Condensed Consolidated Financial Statements.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12"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During the quarter, the Company’s management performed an evaluation, under the supervision and with the participation of the Company’s Chief Executive Officer (“CEO”) and Chief Financial Officer (“CFO”), of the effectiveness of the design and operation of the Company’s disclosure controls and procedures (as that term is defined in Rules 13a-15(e) and 15d-15(e)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180"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color w:val="auto"/>
        </w:rPr>
        <w:t>We are currently migrating our e-commerce order management system. All North American e-commerce sites are live on the new system as of August 1, 2020. In connection with this implementation and resulting business process changes, we may make changes to the design and operation of our internal control over financial reporting. Also, during the first quarter of 2020 we substantially completed the rollout of our new point-of-sale software.</w:t>
      </w:r>
    </w:p>
    <w:p>
      <w:pPr>
        <w:spacing w:after="0" w:line="172"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During the quarter ended August 1, 2020, there were no changes in the Company’s internal control over financial reporting, other than the implementation of the new e-commerce order management system (as defined in Rules 13a-15(f) of the Exchange Act), that materially affected or are reasonably likely to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2020 Form 10-Q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1"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12" w:lineRule="exact"/>
        <w:rPr>
          <w:sz w:val="20"/>
          <w:szCs w:val="20"/>
          <w:color w:val="auto"/>
        </w:rPr>
      </w:pPr>
    </w:p>
    <w:p>
      <w:pPr>
        <w:jc w:val="both"/>
        <w:ind w:left="60" w:right="79"/>
        <w:spacing w:after="0" w:line="276" w:lineRule="auto"/>
        <w:rPr>
          <w:sz w:val="20"/>
          <w:szCs w:val="20"/>
          <w:color w:val="auto"/>
        </w:rPr>
      </w:pPr>
      <w:r>
        <w:rPr>
          <w:rFonts w:ascii="Arial" w:cs="Arial" w:eastAsia="Arial" w:hAnsi="Arial"/>
          <w:sz w:val="18"/>
          <w:szCs w:val="18"/>
          <w:color w:val="auto"/>
        </w:rPr>
        <w:t xml:space="preserve">Information regarding the Company’s legal proceedings is contained in the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note under Item 1. “Financial Statements” in Part I.</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1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addition to the other information discussed in this report, the factors described in Part I, Item 1A. “Risk Factors” in our 2019 Annual Report on Form 10-K filed with the SEC on March 27, 2020 should be considered as they could materially affect our business, financial condition, or future results.</w:t>
      </w:r>
    </w:p>
    <w:p>
      <w:pPr>
        <w:spacing w:after="0" w:line="164" w:lineRule="exact"/>
        <w:rPr>
          <w:sz w:val="20"/>
          <w:szCs w:val="20"/>
          <w:color w:val="auto"/>
        </w:rPr>
      </w:pPr>
    </w:p>
    <w:p>
      <w:pPr>
        <w:jc w:val="both"/>
        <w:ind w:left="60" w:right="59"/>
        <w:spacing w:after="0" w:line="276" w:lineRule="auto"/>
        <w:rPr>
          <w:sz w:val="20"/>
          <w:szCs w:val="20"/>
          <w:color w:val="auto"/>
        </w:rPr>
      </w:pPr>
      <w:r>
        <w:rPr>
          <w:rFonts w:ascii="Arial" w:cs="Arial" w:eastAsia="Arial" w:hAnsi="Arial"/>
          <w:sz w:val="18"/>
          <w:szCs w:val="18"/>
          <w:color w:val="auto"/>
        </w:rPr>
        <w:t>There have not been any significant changes with respect to the risks described in our 2019 Form 10-K, other than the item noted below.</w:t>
      </w:r>
    </w:p>
    <w:p>
      <w:pPr>
        <w:spacing w:after="0" w:line="143" w:lineRule="exact"/>
        <w:rPr>
          <w:sz w:val="20"/>
          <w:szCs w:val="20"/>
          <w:color w:val="auto"/>
        </w:rPr>
      </w:pPr>
    </w:p>
    <w:p>
      <w:pPr>
        <w:jc w:val="both"/>
        <w:ind w:left="60" w:right="79"/>
        <w:spacing w:after="0" w:line="261" w:lineRule="auto"/>
        <w:rPr>
          <w:sz w:val="20"/>
          <w:szCs w:val="20"/>
          <w:color w:val="auto"/>
        </w:rPr>
      </w:pPr>
      <w:r>
        <w:rPr>
          <w:rFonts w:ascii="Arial" w:cs="Arial" w:eastAsia="Arial" w:hAnsi="Arial"/>
          <w:sz w:val="18"/>
          <w:szCs w:val="18"/>
          <w:b w:val="1"/>
          <w:bCs w:val="1"/>
          <w:color w:val="auto"/>
        </w:rPr>
        <w:t>Riots, vandalism, and other crimes and acts of violence may affect the markets in which we operate, our customers, delivery of our products and customer service, and could have a material adverse effect on our business, results of operations, or financial condition.</w:t>
      </w:r>
    </w:p>
    <w:p>
      <w:pPr>
        <w:spacing w:after="0" w:line="150"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color w:val="auto"/>
        </w:rPr>
        <w:t>Our business may be adversely affected by instability, disruption, or destruction, regardless of cause, including riots, civil insurrection or social unrest, and manmade disasters or crimes. Such events may result in property damage and loss and may also cause customers to suspend their decisions to shop in our stores, interrupt our supply chain, and cause restrictions, postponements, and cancellations of events that attract large crowds and public gatherings, such as store marketing events.</w:t>
      </w:r>
    </w:p>
    <w:p>
      <w:pPr>
        <w:spacing w:after="0" w:line="172" w:lineRule="exact"/>
        <w:rPr>
          <w:sz w:val="20"/>
          <w:szCs w:val="20"/>
          <w:color w:val="auto"/>
        </w:rPr>
      </w:pPr>
    </w:p>
    <w:p>
      <w:pPr>
        <w:jc w:val="both"/>
        <w:ind w:left="60" w:right="59"/>
        <w:spacing w:after="0" w:line="276" w:lineRule="auto"/>
        <w:rPr>
          <w:sz w:val="20"/>
          <w:szCs w:val="20"/>
          <w:color w:val="auto"/>
        </w:rPr>
      </w:pPr>
      <w:r>
        <w:rPr>
          <w:rFonts w:ascii="Arial" w:cs="Arial" w:eastAsia="Arial" w:hAnsi="Arial"/>
          <w:sz w:val="18"/>
          <w:szCs w:val="18"/>
          <w:color w:val="auto"/>
        </w:rPr>
        <w:t>Additional risks and uncertainties not currently known to us or that we currently deem to be immaterial also may adversely affect our business, financial condition or operating results.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212" w:lineRule="exact"/>
        <w:rPr>
          <w:sz w:val="20"/>
          <w:szCs w:val="20"/>
          <w:color w:val="auto"/>
        </w:rPr>
      </w:pPr>
    </w:p>
    <w:p>
      <w:pPr>
        <w:jc w:val="both"/>
        <w:ind w:left="60" w:right="59"/>
        <w:spacing w:after="0" w:line="276" w:lineRule="auto"/>
        <w:rPr>
          <w:sz w:val="20"/>
          <w:szCs w:val="20"/>
          <w:color w:val="auto"/>
        </w:rPr>
      </w:pPr>
      <w:r>
        <w:rPr>
          <w:rFonts w:ascii="Arial" w:cs="Arial" w:eastAsia="Arial" w:hAnsi="Arial"/>
          <w:sz w:val="18"/>
          <w:szCs w:val="18"/>
          <w:color w:val="auto"/>
        </w:rPr>
        <w:t>The following table provides information with respect to shares of the Company’s common stock for the thirteen weeks ended August 1, 2020:</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580" w:type="dxa"/>
            <w:vAlign w:val="bottom"/>
          </w:tcPr>
          <w:p>
            <w:pPr>
              <w:spacing w:after="0"/>
              <w:rPr>
                <w:sz w:val="16"/>
                <w:szCs w:val="16"/>
                <w:color w:val="auto"/>
              </w:rPr>
            </w:pPr>
          </w:p>
        </w:tc>
        <w:tc>
          <w:tcPr>
            <w:tcW w:w="1920" w:type="dxa"/>
            <w:vAlign w:val="bottom"/>
            <w:vMerge w:val="restart"/>
          </w:tcPr>
          <w:p>
            <w:pPr>
              <w:jc w:val="center"/>
              <w:ind w:left="555"/>
              <w:spacing w:after="0"/>
              <w:rPr>
                <w:sz w:val="20"/>
                <w:szCs w:val="20"/>
                <w:color w:val="auto"/>
              </w:rPr>
            </w:pPr>
            <w:r>
              <w:rPr>
                <w:rFonts w:ascii="Arial" w:cs="Arial" w:eastAsia="Arial" w:hAnsi="Arial"/>
                <w:sz w:val="17"/>
                <w:szCs w:val="17"/>
                <w:b w:val="1"/>
                <w:bCs w:val="1"/>
                <w:color w:val="auto"/>
                <w:w w:val="98"/>
              </w:rPr>
              <w:t>Total</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Average</w:t>
            </w:r>
          </w:p>
        </w:tc>
        <w:tc>
          <w:tcPr>
            <w:tcW w:w="1960" w:type="dxa"/>
            <w:vAlign w:val="bottom"/>
          </w:tcPr>
          <w:p>
            <w:pPr>
              <w:jc w:val="center"/>
              <w:spacing w:after="0"/>
              <w:rPr>
                <w:sz w:val="20"/>
                <w:szCs w:val="20"/>
                <w:color w:val="auto"/>
              </w:rPr>
            </w:pPr>
            <w:r>
              <w:rPr>
                <w:rFonts w:ascii="Arial" w:cs="Arial" w:eastAsia="Arial" w:hAnsi="Arial"/>
                <w:sz w:val="17"/>
                <w:szCs w:val="17"/>
                <w:b w:val="1"/>
                <w:bCs w:val="1"/>
                <w:color w:val="auto"/>
                <w:w w:val="98"/>
              </w:rPr>
              <w:t>Total Number of</w:t>
            </w:r>
          </w:p>
        </w:tc>
        <w:tc>
          <w:tcPr>
            <w:tcW w:w="200" w:type="dxa"/>
            <w:vAlign w:val="bottom"/>
          </w:tcPr>
          <w:p>
            <w:pPr>
              <w:spacing w:after="0"/>
              <w:rPr>
                <w:sz w:val="16"/>
                <w:szCs w:val="16"/>
                <w:color w:val="auto"/>
              </w:rPr>
            </w:pPr>
          </w:p>
        </w:tc>
        <w:tc>
          <w:tcPr>
            <w:tcW w:w="1340" w:type="dxa"/>
            <w:vAlign w:val="bottom"/>
          </w:tcPr>
          <w:p>
            <w:pPr>
              <w:jc w:val="center"/>
              <w:ind w:right="15"/>
              <w:spacing w:after="0"/>
              <w:rPr>
                <w:sz w:val="20"/>
                <w:szCs w:val="20"/>
                <w:color w:val="auto"/>
              </w:rPr>
            </w:pPr>
            <w:r>
              <w:rPr>
                <w:rFonts w:ascii="Arial" w:cs="Arial" w:eastAsia="Arial" w:hAnsi="Arial"/>
                <w:sz w:val="17"/>
                <w:szCs w:val="17"/>
                <w:b w:val="1"/>
                <w:bCs w:val="1"/>
                <w:color w:val="auto"/>
              </w:rPr>
              <w:t>Dollar Value of</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9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Shares Purchased as</w:t>
            </w:r>
          </w:p>
        </w:tc>
        <w:tc>
          <w:tcPr>
            <w:tcW w:w="1540" w:type="dxa"/>
            <w:vAlign w:val="bottom"/>
            <w:gridSpan w:val="2"/>
          </w:tcPr>
          <w:p>
            <w:pPr>
              <w:jc w:val="center"/>
              <w:ind w:left="15"/>
              <w:spacing w:after="0" w:line="189" w:lineRule="exact"/>
              <w:rPr>
                <w:sz w:val="20"/>
                <w:szCs w:val="20"/>
                <w:color w:val="auto"/>
              </w:rPr>
            </w:pPr>
            <w:r>
              <w:rPr>
                <w:rFonts w:ascii="Arial" w:cs="Arial" w:eastAsia="Arial" w:hAnsi="Arial"/>
                <w:sz w:val="17"/>
                <w:szCs w:val="17"/>
                <w:b w:val="1"/>
                <w:bCs w:val="1"/>
                <w:color w:val="auto"/>
              </w:rPr>
              <w:t>Shares that may</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1920" w:type="dxa"/>
            <w:vAlign w:val="bottom"/>
          </w:tcPr>
          <w:p>
            <w:pPr>
              <w:jc w:val="center"/>
              <w:ind w:left="555"/>
              <w:spacing w:after="0" w:line="189" w:lineRule="exact"/>
              <w:rPr>
                <w:sz w:val="20"/>
                <w:szCs w:val="20"/>
                <w:color w:val="auto"/>
              </w:rPr>
            </w:pPr>
            <w:r>
              <w:rPr>
                <w:rFonts w:ascii="Arial" w:cs="Arial" w:eastAsia="Arial" w:hAnsi="Arial"/>
                <w:sz w:val="17"/>
                <w:szCs w:val="17"/>
                <w:b w:val="1"/>
                <w:bCs w:val="1"/>
                <w:color w:val="auto"/>
                <w:w w:val="99"/>
              </w:rPr>
              <w:t>Number</w:t>
            </w:r>
          </w:p>
        </w:tc>
        <w:tc>
          <w:tcPr>
            <w:tcW w:w="220" w:type="dxa"/>
            <w:vAlign w:val="bottom"/>
          </w:tcPr>
          <w:p>
            <w:pPr>
              <w:spacing w:after="0"/>
              <w:rPr>
                <w:sz w:val="16"/>
                <w:szCs w:val="16"/>
                <w:color w:val="auto"/>
              </w:rPr>
            </w:pPr>
          </w:p>
        </w:tc>
        <w:tc>
          <w:tcPr>
            <w:tcW w:w="68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Price</w:t>
            </w:r>
          </w:p>
        </w:tc>
        <w:tc>
          <w:tcPr>
            <w:tcW w:w="19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Part of Publicly</w:t>
            </w:r>
          </w:p>
        </w:tc>
        <w:tc>
          <w:tcPr>
            <w:tcW w:w="154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rPr>
              <w:t>yet be Purchased</w:t>
            </w:r>
          </w:p>
        </w:tc>
        <w:tc>
          <w:tcPr>
            <w:tcW w:w="0" w:type="dxa"/>
            <w:vAlign w:val="bottom"/>
          </w:tcPr>
          <w:p>
            <w:pPr>
              <w:spacing w:after="0"/>
              <w:rPr>
                <w:sz w:val="1"/>
                <w:szCs w:val="1"/>
                <w:color w:val="auto"/>
              </w:rPr>
            </w:pPr>
          </w:p>
        </w:tc>
      </w:tr>
      <w:tr>
        <w:trPr>
          <w:trHeight w:val="189"/>
        </w:trPr>
        <w:tc>
          <w:tcPr>
            <w:tcW w:w="2580" w:type="dxa"/>
            <w:vAlign w:val="bottom"/>
            <w:vMerge w:val="restart"/>
          </w:tcPr>
          <w:p>
            <w:pPr>
              <w:spacing w:after="0"/>
              <w:rPr>
                <w:sz w:val="20"/>
                <w:szCs w:val="20"/>
                <w:color w:val="auto"/>
              </w:rPr>
            </w:pPr>
            <w:r>
              <w:rPr>
                <w:rFonts w:ascii="Arial" w:cs="Arial" w:eastAsia="Arial" w:hAnsi="Arial"/>
                <w:sz w:val="17"/>
                <w:szCs w:val="17"/>
                <w:b w:val="1"/>
                <w:bCs w:val="1"/>
                <w:color w:val="auto"/>
              </w:rPr>
              <w:t>Date Purchased</w:t>
            </w:r>
          </w:p>
        </w:tc>
        <w:tc>
          <w:tcPr>
            <w:tcW w:w="1920" w:type="dxa"/>
            <w:vAlign w:val="bottom"/>
          </w:tcPr>
          <w:p>
            <w:pPr>
              <w:jc w:val="center"/>
              <w:ind w:left="535"/>
              <w:spacing w:after="0" w:line="189" w:lineRule="exact"/>
              <w:rPr>
                <w:sz w:val="20"/>
                <w:szCs w:val="20"/>
                <w:color w:val="auto"/>
              </w:rPr>
            </w:pPr>
            <w:r>
              <w:rPr>
                <w:rFonts w:ascii="Arial" w:cs="Arial" w:eastAsia="Arial" w:hAnsi="Arial"/>
                <w:sz w:val="17"/>
                <w:szCs w:val="17"/>
                <w:b w:val="1"/>
                <w:bCs w:val="1"/>
                <w:color w:val="auto"/>
              </w:rPr>
              <w:t>of Shares</w:t>
            </w:r>
          </w:p>
        </w:tc>
        <w:tc>
          <w:tcPr>
            <w:tcW w:w="900" w:type="dxa"/>
            <w:vAlign w:val="bottom"/>
            <w:gridSpan w:val="2"/>
          </w:tcPr>
          <w:p>
            <w:pPr>
              <w:ind w:left="100"/>
              <w:spacing w:after="0" w:line="189" w:lineRule="exact"/>
              <w:rPr>
                <w:sz w:val="20"/>
                <w:szCs w:val="20"/>
                <w:color w:val="auto"/>
              </w:rPr>
            </w:pPr>
            <w:r>
              <w:rPr>
                <w:rFonts w:ascii="Arial" w:cs="Arial" w:eastAsia="Arial" w:hAnsi="Arial"/>
                <w:sz w:val="17"/>
                <w:szCs w:val="17"/>
                <w:b w:val="1"/>
                <w:bCs w:val="1"/>
                <w:color w:val="auto"/>
              </w:rPr>
              <w:t>Paid Per</w:t>
            </w:r>
          </w:p>
        </w:tc>
        <w:tc>
          <w:tcPr>
            <w:tcW w:w="19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Announced</w:t>
            </w:r>
          </w:p>
        </w:tc>
        <w:tc>
          <w:tcPr>
            <w:tcW w:w="200" w:type="dxa"/>
            <w:vAlign w:val="bottom"/>
          </w:tcPr>
          <w:p>
            <w:pPr>
              <w:spacing w:after="0"/>
              <w:rPr>
                <w:sz w:val="16"/>
                <w:szCs w:val="16"/>
                <w:color w:val="auto"/>
              </w:rPr>
            </w:pPr>
          </w:p>
        </w:tc>
        <w:tc>
          <w:tcPr>
            <w:tcW w:w="1340" w:type="dxa"/>
            <w:vAlign w:val="bottom"/>
          </w:tcPr>
          <w:p>
            <w:pPr>
              <w:jc w:val="center"/>
              <w:ind w:right="15"/>
              <w:spacing w:after="0" w:line="189" w:lineRule="exact"/>
              <w:rPr>
                <w:sz w:val="20"/>
                <w:szCs w:val="20"/>
                <w:color w:val="auto"/>
              </w:rPr>
            </w:pPr>
            <w:r>
              <w:rPr>
                <w:rFonts w:ascii="Arial" w:cs="Arial" w:eastAsia="Arial" w:hAnsi="Arial"/>
                <w:sz w:val="17"/>
                <w:szCs w:val="17"/>
                <w:b w:val="1"/>
                <w:bCs w:val="1"/>
                <w:color w:val="auto"/>
              </w:rPr>
              <w:t>Under the</w:t>
            </w:r>
          </w:p>
        </w:tc>
        <w:tc>
          <w:tcPr>
            <w:tcW w:w="0" w:type="dxa"/>
            <w:vAlign w:val="bottom"/>
          </w:tcPr>
          <w:p>
            <w:pPr>
              <w:spacing w:after="0"/>
              <w:rPr>
                <w:sz w:val="1"/>
                <w:szCs w:val="1"/>
                <w:color w:val="auto"/>
              </w:rPr>
            </w:pPr>
          </w:p>
        </w:tc>
      </w:tr>
      <w:tr>
        <w:trPr>
          <w:trHeight w:val="219"/>
        </w:trPr>
        <w:tc>
          <w:tcPr>
            <w:tcW w:w="2580" w:type="dxa"/>
            <w:vAlign w:val="bottom"/>
            <w:tcBorders>
              <w:bottom w:val="single" w:sz="8" w:color="auto"/>
            </w:tcBorders>
            <w:vMerge w:val="continue"/>
          </w:tcPr>
          <w:p>
            <w:pPr>
              <w:spacing w:after="0"/>
              <w:rPr>
                <w:sz w:val="19"/>
                <w:szCs w:val="19"/>
                <w:color w:val="auto"/>
              </w:rPr>
            </w:pPr>
          </w:p>
        </w:tc>
        <w:tc>
          <w:tcPr>
            <w:tcW w:w="1920" w:type="dxa"/>
            <w:vAlign w:val="bottom"/>
            <w:tcBorders>
              <w:bottom w:val="single" w:sz="8" w:color="auto"/>
            </w:tcBorders>
          </w:tcPr>
          <w:p>
            <w:pPr>
              <w:jc w:val="center"/>
              <w:ind w:left="555"/>
              <w:spacing w:after="0" w:line="218" w:lineRule="exact"/>
              <w:rPr>
                <w:sz w:val="20"/>
                <w:szCs w:val="20"/>
                <w:color w:val="auto"/>
              </w:rPr>
            </w:pPr>
            <w:r>
              <w:rPr>
                <w:rFonts w:ascii="Arial" w:cs="Arial" w:eastAsia="Arial" w:hAnsi="Arial"/>
                <w:sz w:val="17"/>
                <w:szCs w:val="17"/>
                <w:b w:val="1"/>
                <w:bCs w:val="1"/>
                <w:color w:val="auto"/>
                <w:w w:val="96"/>
              </w:rPr>
              <w:t xml:space="preserve">Purchased </w:t>
            </w:r>
            <w:r>
              <w:rPr>
                <w:rFonts w:ascii="Arial" w:cs="Arial" w:eastAsia="Arial" w:hAnsi="Arial"/>
                <w:sz w:val="25"/>
                <w:szCs w:val="25"/>
                <w:color w:val="auto"/>
                <w:w w:val="96"/>
                <w:vertAlign w:val="superscript"/>
              </w:rPr>
              <w:t>(1)</w:t>
            </w:r>
          </w:p>
        </w:tc>
        <w:tc>
          <w:tcPr>
            <w:tcW w:w="900" w:type="dxa"/>
            <w:vAlign w:val="bottom"/>
            <w:tcBorders>
              <w:bottom w:val="single" w:sz="8" w:color="auto"/>
            </w:tcBorders>
            <w:gridSpan w:val="2"/>
          </w:tcPr>
          <w:p>
            <w:pPr>
              <w:ind w:left="100"/>
              <w:spacing w:after="0" w:line="218" w:lineRule="exact"/>
              <w:rPr>
                <w:sz w:val="20"/>
                <w:szCs w:val="20"/>
                <w:color w:val="auto"/>
              </w:rPr>
            </w:pPr>
            <w:r>
              <w:rPr>
                <w:rFonts w:ascii="Arial" w:cs="Arial" w:eastAsia="Arial" w:hAnsi="Arial"/>
                <w:sz w:val="17"/>
                <w:szCs w:val="17"/>
                <w:b w:val="1"/>
                <w:bCs w:val="1"/>
                <w:color w:val="auto"/>
              </w:rPr>
              <w:t xml:space="preserve">Share </w:t>
            </w:r>
            <w:r>
              <w:rPr>
                <w:rFonts w:ascii="Arial" w:cs="Arial" w:eastAsia="Arial" w:hAnsi="Arial"/>
                <w:sz w:val="25"/>
                <w:szCs w:val="25"/>
                <w:color w:val="auto"/>
                <w:vertAlign w:val="superscript"/>
              </w:rPr>
              <w:t>(1)</w:t>
            </w:r>
          </w:p>
        </w:tc>
        <w:tc>
          <w:tcPr>
            <w:tcW w:w="1960" w:type="dxa"/>
            <w:vAlign w:val="bottom"/>
            <w:tcBorders>
              <w:bottom w:val="single" w:sz="8" w:color="auto"/>
            </w:tcBorders>
          </w:tcPr>
          <w:p>
            <w:pPr>
              <w:jc w:val="center"/>
              <w:spacing w:after="0" w:line="218" w:lineRule="exact"/>
              <w:rPr>
                <w:sz w:val="20"/>
                <w:szCs w:val="20"/>
                <w:color w:val="auto"/>
              </w:rPr>
            </w:pPr>
            <w:r>
              <w:rPr>
                <w:rFonts w:ascii="Arial" w:cs="Arial" w:eastAsia="Arial" w:hAnsi="Arial"/>
                <w:sz w:val="17"/>
                <w:szCs w:val="17"/>
                <w:b w:val="1"/>
                <w:bCs w:val="1"/>
                <w:color w:val="auto"/>
                <w:w w:val="96"/>
              </w:rPr>
              <w:t xml:space="preserve">Program </w:t>
            </w:r>
            <w:r>
              <w:rPr>
                <w:rFonts w:ascii="Arial" w:cs="Arial" w:eastAsia="Arial" w:hAnsi="Arial"/>
                <w:sz w:val="25"/>
                <w:szCs w:val="25"/>
                <w:color w:val="auto"/>
                <w:w w:val="96"/>
                <w:vertAlign w:val="superscript"/>
              </w:rPr>
              <w:t>(2)</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5"/>
              <w:spacing w:after="0" w:line="218" w:lineRule="exact"/>
              <w:rPr>
                <w:sz w:val="20"/>
                <w:szCs w:val="20"/>
                <w:color w:val="auto"/>
              </w:rPr>
            </w:pPr>
            <w:r>
              <w:rPr>
                <w:rFonts w:ascii="Arial" w:cs="Arial" w:eastAsia="Arial" w:hAnsi="Arial"/>
                <w:sz w:val="17"/>
                <w:szCs w:val="17"/>
                <w:b w:val="1"/>
                <w:bCs w:val="1"/>
                <w:color w:val="auto"/>
                <w:w w:val="96"/>
              </w:rPr>
              <w:t xml:space="preserve">Program </w:t>
            </w:r>
            <w:r>
              <w:rPr>
                <w:rFonts w:ascii="Arial" w:cs="Arial" w:eastAsia="Arial" w:hAnsi="Arial"/>
                <w:sz w:val="25"/>
                <w:szCs w:val="25"/>
                <w:color w:val="auto"/>
                <w:w w:val="96"/>
                <w:vertAlign w:val="superscript"/>
              </w:rPr>
              <w:t>(2)</w:t>
            </w:r>
          </w:p>
        </w:tc>
        <w:tc>
          <w:tcPr>
            <w:tcW w:w="0" w:type="dxa"/>
            <w:vAlign w:val="bottom"/>
          </w:tcPr>
          <w:p>
            <w:pPr>
              <w:spacing w:after="0"/>
              <w:rPr>
                <w:sz w:val="1"/>
                <w:szCs w:val="1"/>
                <w:color w:val="auto"/>
              </w:rPr>
            </w:pPr>
          </w:p>
        </w:tc>
      </w:tr>
      <w:tr>
        <w:trPr>
          <w:trHeight w:val="183"/>
        </w:trPr>
        <w:tc>
          <w:tcPr>
            <w:tcW w:w="25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May 3 to May 30, 2020</w:t>
            </w:r>
          </w:p>
        </w:tc>
        <w:tc>
          <w:tcPr>
            <w:tcW w:w="19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1640"/>
              <w:spacing w:after="0" w:line="183"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867,215,222</w:t>
            </w:r>
          </w:p>
        </w:tc>
        <w:tc>
          <w:tcPr>
            <w:tcW w:w="0" w:type="dxa"/>
            <w:vAlign w:val="bottom"/>
          </w:tcPr>
          <w:p>
            <w:pPr>
              <w:spacing w:after="0"/>
              <w:rPr>
                <w:sz w:val="1"/>
                <w:szCs w:val="1"/>
                <w:color w:val="auto"/>
              </w:rPr>
            </w:pPr>
          </w:p>
        </w:tc>
      </w:tr>
      <w:tr>
        <w:trPr>
          <w:trHeight w:val="189"/>
        </w:trPr>
        <w:tc>
          <w:tcPr>
            <w:tcW w:w="2580" w:type="dxa"/>
            <w:vAlign w:val="bottom"/>
          </w:tcPr>
          <w:p>
            <w:pPr>
              <w:spacing w:after="0" w:line="189" w:lineRule="exact"/>
              <w:rPr>
                <w:sz w:val="20"/>
                <w:szCs w:val="20"/>
                <w:color w:val="auto"/>
              </w:rPr>
            </w:pPr>
            <w:r>
              <w:rPr>
                <w:rFonts w:ascii="Arial" w:cs="Arial" w:eastAsia="Arial" w:hAnsi="Arial"/>
                <w:sz w:val="17"/>
                <w:szCs w:val="17"/>
                <w:color w:val="auto"/>
              </w:rPr>
              <w:t>May 31 to July 4, 2020</w:t>
            </w:r>
          </w:p>
        </w:tc>
        <w:tc>
          <w:tcPr>
            <w:tcW w:w="19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6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960" w:type="dxa"/>
            <w:vAlign w:val="bottom"/>
          </w:tcPr>
          <w:p>
            <w:pPr>
              <w:ind w:left="1640"/>
              <w:spacing w:after="0" w:line="18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7"/>
                <w:szCs w:val="17"/>
                <w:color w:val="auto"/>
              </w:rPr>
              <w:t>867,215,222</w:t>
            </w:r>
          </w:p>
        </w:tc>
        <w:tc>
          <w:tcPr>
            <w:tcW w:w="0" w:type="dxa"/>
            <w:vAlign w:val="bottom"/>
          </w:tcPr>
          <w:p>
            <w:pPr>
              <w:spacing w:after="0"/>
              <w:rPr>
                <w:sz w:val="1"/>
                <w:szCs w:val="1"/>
                <w:color w:val="auto"/>
              </w:rPr>
            </w:pPr>
          </w:p>
        </w:tc>
      </w:tr>
      <w:tr>
        <w:trPr>
          <w:trHeight w:val="189"/>
        </w:trPr>
        <w:tc>
          <w:tcPr>
            <w:tcW w:w="25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July 5 to August 1, 2020</w:t>
            </w:r>
          </w:p>
        </w:tc>
        <w:tc>
          <w:tcPr>
            <w:tcW w:w="19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426</w:t>
            </w: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29.42</w:t>
            </w:r>
          </w:p>
        </w:tc>
        <w:tc>
          <w:tcPr>
            <w:tcW w:w="1960" w:type="dxa"/>
            <w:vAlign w:val="bottom"/>
            <w:tcBorders>
              <w:bottom w:val="single" w:sz="8" w:color="auto"/>
            </w:tcBorders>
            <w:shd w:val="clear" w:color="auto" w:fill="CCEEFF"/>
          </w:tcPr>
          <w:p>
            <w:pPr>
              <w:ind w:left="1640"/>
              <w:spacing w:after="0" w:line="189"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867,215,222</w:t>
            </w:r>
          </w:p>
        </w:tc>
        <w:tc>
          <w:tcPr>
            <w:tcW w:w="0" w:type="dxa"/>
            <w:vAlign w:val="bottom"/>
          </w:tcPr>
          <w:p>
            <w:pPr>
              <w:spacing w:after="0"/>
              <w:rPr>
                <w:sz w:val="1"/>
                <w:szCs w:val="1"/>
                <w:color w:val="auto"/>
              </w:rPr>
            </w:pPr>
          </w:p>
        </w:tc>
      </w:tr>
      <w:tr>
        <w:trPr>
          <w:trHeight w:val="183"/>
        </w:trPr>
        <w:tc>
          <w:tcPr>
            <w:tcW w:w="25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426</w:t>
            </w:r>
          </w:p>
        </w:tc>
        <w:tc>
          <w:tcPr>
            <w:tcW w:w="22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29.42</w:t>
            </w:r>
          </w:p>
        </w:tc>
        <w:tc>
          <w:tcPr>
            <w:tcW w:w="1960" w:type="dxa"/>
            <w:vAlign w:val="bottom"/>
            <w:tcBorders>
              <w:bottom w:val="single" w:sz="8" w:color="auto"/>
            </w:tcBorders>
          </w:tcPr>
          <w:p>
            <w:pPr>
              <w:ind w:left="1640"/>
              <w:spacing w:after="0" w:line="183"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jc w:val="both"/>
        <w:ind w:left="380" w:right="79" w:hanging="330"/>
        <w:spacing w:after="0" w:line="266"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These columns reflect shares acquired in satisfaction of the tax withholding obligations of holders of restricted stock unit awards, which vested during the quarter. The calculation of the average price paid per share includes all fees, commissions, and other costs associated with the repurchase of such shares.</w:t>
      </w:r>
    </w:p>
    <w:p>
      <w:pPr>
        <w:spacing w:after="0" w:line="58" w:lineRule="exact"/>
        <w:rPr>
          <w:rFonts w:ascii="Arial" w:cs="Arial" w:eastAsia="Arial" w:hAnsi="Arial"/>
          <w:sz w:val="14"/>
          <w:szCs w:val="14"/>
          <w:color w:val="auto"/>
        </w:rPr>
      </w:pPr>
    </w:p>
    <w:p>
      <w:pPr>
        <w:ind w:left="380" w:hanging="330"/>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current $1.2 billion share repurchase program extends through January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2020 Form 10-Q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09"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7"/>
          <w:szCs w:val="17"/>
          <w:b w:val="1"/>
          <w:bCs w:val="1"/>
          <w:i w:val="1"/>
          <w:iCs w:val="1"/>
          <w:color w:val="auto"/>
        </w:rPr>
        <w:t>Item 6. Exhibits</w:t>
      </w:r>
    </w:p>
    <w:p>
      <w:pPr>
        <w:sectPr>
          <w:pgSz w:w="11900" w:h="16838" w:orient="portrait"/>
          <w:cols w:equalWidth="0" w:num="1">
            <w:col w:w="9019"/>
          </w:cols>
          <w:pgMar w:left="1440" w:top="711" w:right="1440" w:bottom="1440" w:gutter="0" w:footer="0" w:header="0"/>
        </w:sectPr>
      </w:pPr>
    </w:p>
    <w:p>
      <w:pPr>
        <w:spacing w:after="0" w:line="235"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Exhibit No.</w:t>
      </w:r>
    </w:p>
    <w:p>
      <w:pPr>
        <w:spacing w:after="0" w:line="200" w:lineRule="exact"/>
        <w:rPr>
          <w:sz w:val="20"/>
          <w:szCs w:val="20"/>
          <w:color w:val="auto"/>
        </w:rPr>
      </w:pPr>
    </w:p>
    <w:p>
      <w:pPr>
        <w:spacing w:after="0" w:line="22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1"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15*</w:t>
      </w:r>
    </w:p>
    <w:p>
      <w:pPr>
        <w:spacing w:after="0" w:line="90"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31.1*</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31.2*</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32**</w:t>
      </w:r>
    </w:p>
    <w:p>
      <w:pPr>
        <w:spacing w:after="0" w:line="104"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99*</w:t>
      </w:r>
    </w:p>
    <w:p>
      <w:pPr>
        <w:spacing w:after="0" w:line="1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101.INS*</w:t>
      </w:r>
    </w:p>
    <w:p>
      <w:pPr>
        <w:jc w:val="center"/>
        <w:ind w:left="60"/>
        <w:spacing w:after="0" w:line="234" w:lineRule="auto"/>
        <w:rPr>
          <w:sz w:val="20"/>
          <w:szCs w:val="20"/>
          <w:color w:val="auto"/>
        </w:rPr>
      </w:pPr>
      <w:r>
        <w:rPr>
          <w:rFonts w:ascii="Arial" w:cs="Arial" w:eastAsia="Arial" w:hAnsi="Arial"/>
          <w:sz w:val="18"/>
          <w:szCs w:val="18"/>
          <w:color w:val="auto"/>
        </w:rPr>
        <w:t>101.SCH*</w:t>
      </w:r>
    </w:p>
    <w:p>
      <w:pPr>
        <w:jc w:val="center"/>
        <w:ind w:left="60"/>
        <w:spacing w:after="0" w:line="235" w:lineRule="auto"/>
        <w:rPr>
          <w:sz w:val="20"/>
          <w:szCs w:val="20"/>
          <w:color w:val="auto"/>
        </w:rPr>
      </w:pPr>
      <w:r>
        <w:rPr>
          <w:rFonts w:ascii="Arial" w:cs="Arial" w:eastAsia="Arial" w:hAnsi="Arial"/>
          <w:sz w:val="18"/>
          <w:szCs w:val="18"/>
          <w:color w:val="auto"/>
        </w:rPr>
        <w:t>101.CAL*</w:t>
      </w:r>
    </w:p>
    <w:p>
      <w:pPr>
        <w:jc w:val="center"/>
        <w:ind w:left="60"/>
        <w:spacing w:after="0" w:line="235" w:lineRule="auto"/>
        <w:rPr>
          <w:sz w:val="20"/>
          <w:szCs w:val="20"/>
          <w:color w:val="auto"/>
        </w:rPr>
      </w:pPr>
      <w:r>
        <w:rPr>
          <w:rFonts w:ascii="Arial" w:cs="Arial" w:eastAsia="Arial" w:hAnsi="Arial"/>
          <w:sz w:val="18"/>
          <w:szCs w:val="18"/>
          <w:color w:val="auto"/>
        </w:rPr>
        <w:t>101.DEF*</w:t>
      </w:r>
    </w:p>
    <w:p>
      <w:pPr>
        <w:jc w:val="center"/>
        <w:ind w:left="60"/>
        <w:spacing w:after="0" w:line="235" w:lineRule="auto"/>
        <w:rPr>
          <w:sz w:val="20"/>
          <w:szCs w:val="20"/>
          <w:color w:val="auto"/>
        </w:rPr>
      </w:pPr>
      <w:r>
        <w:rPr>
          <w:rFonts w:ascii="Arial" w:cs="Arial" w:eastAsia="Arial" w:hAnsi="Arial"/>
          <w:sz w:val="18"/>
          <w:szCs w:val="18"/>
          <w:color w:val="auto"/>
        </w:rPr>
        <w:t>101.LAB*</w:t>
      </w:r>
    </w:p>
    <w:p>
      <w:pPr>
        <w:jc w:val="center"/>
        <w:ind w:left="60"/>
        <w:spacing w:after="0" w:line="235" w:lineRule="auto"/>
        <w:rPr>
          <w:sz w:val="20"/>
          <w:szCs w:val="20"/>
          <w:color w:val="auto"/>
        </w:rPr>
      </w:pPr>
      <w:r>
        <w:rPr>
          <w:rFonts w:ascii="Arial" w:cs="Arial" w:eastAsia="Arial" w:hAnsi="Arial"/>
          <w:sz w:val="18"/>
          <w:szCs w:val="18"/>
          <w:color w:val="auto"/>
        </w:rPr>
        <w:t>101.PRE*</w:t>
      </w:r>
    </w:p>
    <w:p>
      <w:pPr>
        <w:jc w:val="center"/>
        <w:ind w:left="6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12700</wp:posOffset>
            </wp:positionV>
            <wp:extent cx="5648960" cy="651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48960" cy="651510"/>
                    </a:xfrm>
                    <a:prstGeom prst="rect">
                      <a:avLst/>
                    </a:prstGeom>
                    <a:noFill/>
                  </pic:spPr>
                </pic:pic>
              </a:graphicData>
            </a:graphic>
          </wp:anchor>
        </w:drawing>
      </w:r>
    </w:p>
    <w:p>
      <w:pPr>
        <w:spacing w:after="0" w:line="13" w:lineRule="exact"/>
        <w:rPr>
          <w:sz w:val="20"/>
          <w:szCs w:val="20"/>
          <w:color w:val="auto"/>
        </w:rPr>
      </w:pPr>
    </w:p>
    <w:p>
      <w:pPr>
        <w:jc w:val="both"/>
        <w:ind w:right="59"/>
        <w:spacing w:after="0" w:line="234" w:lineRule="auto"/>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Amendment No. 1 to Credit Agreement, dated as of July 14, 2020, among Foot Locker, Inc., a</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New York corporation, the guarantors party thereto, the lenders party thereto, and Wells Fargo,</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National Association, as administrative agent, letter of credit issuer, and swing line lender</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(incorporated herein by reference to Exhibit 10.1 to the Current Report on Form 8-K dated</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July 14, 2020 filed on July 16, 2020).</w:t>
        </w:r>
      </w:hyperlink>
    </w:p>
    <w:p>
      <w:pPr>
        <w:spacing w:after="0" w:line="238" w:lineRule="auto"/>
        <w:rPr>
          <w:sz w:val="20"/>
          <w:szCs w:val="20"/>
          <w:color w:val="auto"/>
        </w:rPr>
      </w:pPr>
      <w:r>
        <w:rPr>
          <w:rFonts w:ascii="Arial" w:cs="Arial" w:eastAsia="Arial" w:hAnsi="Arial"/>
          <w:sz w:val="18"/>
          <w:szCs w:val="18"/>
          <w:color w:val="auto"/>
        </w:rPr>
        <w:t>Accountants’ Acknowledgement.</w:t>
      </w:r>
    </w:p>
    <w:p>
      <w:pPr>
        <w:spacing w:after="0" w:line="1" w:lineRule="exact"/>
        <w:rPr>
          <w:rFonts w:ascii="Arial" w:cs="Arial" w:eastAsia="Arial" w:hAnsi="Arial"/>
          <w:sz w:val="18"/>
          <w:szCs w:val="18"/>
          <w:u w:val="single" w:color="auto"/>
          <w:color w:val="0000EE"/>
        </w:rPr>
      </w:pPr>
    </w:p>
    <w:p>
      <w:pPr>
        <w:jc w:val="both"/>
        <w:ind w:right="79"/>
        <w:spacing w:after="0" w:line="234" w:lineRule="auto"/>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Certification of Chief Executive Officer Pursuant to Rule 13a-14(a) or 15d-14(a), as adopted</w:t>
        </w:r>
      </w:hyperlink>
      <w:r>
        <w:rPr>
          <w:rFonts w:ascii="Arial" w:cs="Arial" w:eastAsia="Arial" w:hAnsi="Arial"/>
          <w:sz w:val="18"/>
          <w:szCs w:val="18"/>
          <w:u w:val="single" w:color="auto"/>
          <w:color w:val="0000EE"/>
        </w:rPr>
        <w:t xml:space="preserve"> </w:t>
      </w:r>
      <w:hyperlink w:anchor="page38">
        <w:r>
          <w:rPr>
            <w:rFonts w:ascii="Arial" w:cs="Arial" w:eastAsia="Arial" w:hAnsi="Arial"/>
            <w:sz w:val="18"/>
            <w:szCs w:val="18"/>
            <w:u w:val="single" w:color="auto"/>
            <w:color w:val="0000EE"/>
          </w:rPr>
          <w:t>pursuant to Section 302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-255270</wp:posOffset>
            </wp:positionV>
            <wp:extent cx="5648960" cy="2571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648960" cy="257175"/>
                    </a:xfrm>
                    <a:prstGeom prst="rect">
                      <a:avLst/>
                    </a:prstGeom>
                    <a:noFill/>
                  </pic:spPr>
                </pic:pic>
              </a:graphicData>
            </a:graphic>
          </wp:anchor>
        </w:drawing>
      </w:r>
    </w:p>
    <w:p>
      <w:pPr>
        <w:jc w:val="both"/>
        <w:ind w:right="79"/>
        <w:spacing w:after="0" w:line="234" w:lineRule="auto"/>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Certification of Chief Financial Officer Pursuant to Rule 13a-14(a) or 15d-14(a), as adopted</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pursuant to Section 302 of the Sarbanes-Oxley Act of 2002.</w:t>
        </w:r>
      </w:hyperlink>
    </w:p>
    <w:p>
      <w:pPr>
        <w:spacing w:after="0" w:line="236" w:lineRule="auto"/>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Certification of Chief Executive Officer and Chief Financial Officer Pursuant to 18 U.S.C.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-127000</wp:posOffset>
            </wp:positionV>
            <wp:extent cx="5648960" cy="2571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648960" cy="257175"/>
                    </a:xfrm>
                    <a:prstGeom prst="rect">
                      <a:avLst/>
                    </a:prstGeom>
                    <a:noFill/>
                  </pic:spPr>
                </pic:pic>
              </a:graphicData>
            </a:graphic>
          </wp:anchor>
        </w:drawing>
      </w:r>
    </w:p>
    <w:p>
      <w:pPr>
        <w:spacing w:after="0" w:line="235" w:lineRule="auto"/>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Section 1350, as adopted pursuant to Section 906 of the Sarbanes-Oxley Act of 2002.</w:t>
        </w:r>
      </w:hyperlink>
    </w:p>
    <w:p>
      <w:pPr>
        <w:spacing w:after="0" w:line="235" w:lineRule="auto"/>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Report of Independent Registered Public Accounting Firm.</w:t>
        </w:r>
      </w:hyperlink>
    </w:p>
    <w:p>
      <w:pPr>
        <w:spacing w:after="0" w:line="234" w:lineRule="auto"/>
        <w:rPr>
          <w:sz w:val="20"/>
          <w:szCs w:val="20"/>
          <w:color w:val="auto"/>
        </w:rPr>
      </w:pPr>
      <w:r>
        <w:rPr>
          <w:rFonts w:ascii="Arial" w:cs="Arial" w:eastAsia="Arial" w:hAnsi="Arial"/>
          <w:sz w:val="18"/>
          <w:szCs w:val="18"/>
          <w:color w:val="auto"/>
        </w:rPr>
        <w:t>Inline 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-127000</wp:posOffset>
            </wp:positionV>
            <wp:extent cx="5648960"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Inline XBRL Taxonomy Extension Schema.</w:t>
      </w:r>
    </w:p>
    <w:p>
      <w:pPr>
        <w:spacing w:after="0" w:line="235" w:lineRule="auto"/>
        <w:rPr>
          <w:sz w:val="20"/>
          <w:szCs w:val="20"/>
          <w:color w:val="auto"/>
        </w:rPr>
      </w:pPr>
      <w:r>
        <w:rPr>
          <w:rFonts w:ascii="Arial" w:cs="Arial" w:eastAsia="Arial" w:hAnsi="Arial"/>
          <w:sz w:val="18"/>
          <w:szCs w:val="18"/>
          <w:color w:val="auto"/>
        </w:rPr>
        <w:t>Inline XBRL Taxonomy Extension Calculation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-127000</wp:posOffset>
            </wp:positionV>
            <wp:extent cx="564896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Inline XBRL Taxonomy Extension Definition Linkbase.</w:t>
      </w:r>
    </w:p>
    <w:p>
      <w:pPr>
        <w:spacing w:after="0" w:line="235" w:lineRule="auto"/>
        <w:rPr>
          <w:sz w:val="20"/>
          <w:szCs w:val="20"/>
          <w:color w:val="auto"/>
        </w:rPr>
      </w:pPr>
      <w:r>
        <w:rPr>
          <w:rFonts w:ascii="Arial" w:cs="Arial" w:eastAsia="Arial" w:hAnsi="Arial"/>
          <w:sz w:val="18"/>
          <w:szCs w:val="18"/>
          <w:color w:val="auto"/>
        </w:rPr>
        <w:t>Inline XBRL Taxonomy Extension Label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-127635</wp:posOffset>
            </wp:positionV>
            <wp:extent cx="5648960"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Inline XBRL Taxonomy Extension Presentation Linkbase.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(embedded within the Inline XBRL datafile).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-130175</wp:posOffset>
            </wp:positionV>
            <wp:extent cx="564896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99" w:lineRule="exact"/>
        <w:rPr>
          <w:sz w:val="20"/>
          <w:szCs w:val="20"/>
          <w:color w:val="auto"/>
        </w:rPr>
      </w:pPr>
    </w:p>
    <w:p>
      <w:pPr>
        <w:sectPr>
          <w:pgSz w:w="11900" w:h="16838" w:orient="portrait"/>
          <w:cols w:equalWidth="0" w:num="2">
            <w:col w:w="1000" w:space="200"/>
            <w:col w:w="7819"/>
          </w:cols>
          <w:pgMar w:left="1440" w:top="711" w:right="1440" w:bottom="1440" w:gutter="0" w:footer="0" w:header="0"/>
          <w:type w:val="continuous"/>
        </w:sectPr>
      </w:pPr>
    </w:p>
    <w:p>
      <w:pPr>
        <w:ind w:left="260" w:hanging="210"/>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9" w:lineRule="exact"/>
        <w:rPr>
          <w:sz w:val="20"/>
          <w:szCs w:val="20"/>
          <w:color w:val="auto"/>
        </w:rPr>
      </w:pPr>
    </w:p>
    <w:p>
      <w:pPr>
        <w:ind w:left="60"/>
        <w:spacing w:after="0"/>
        <w:tabs>
          <w:tab w:leader="none" w:pos="260" w:val="left"/>
        </w:tabs>
        <w:rPr>
          <w:sz w:val="20"/>
          <w:szCs w:val="20"/>
          <w:color w:val="auto"/>
        </w:rPr>
      </w:pPr>
      <w:r>
        <w:rPr>
          <w:rFonts w:ascii="Arial" w:cs="Arial" w:eastAsia="Arial" w:hAnsi="Arial"/>
          <w:sz w:val="14"/>
          <w:szCs w:val="14"/>
          <w:color w:val="auto"/>
        </w:rPr>
        <w:t>**</w:t>
        <w:tab/>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2020 Form 10-Q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1" w:right="1440"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SIGNATURE</w:t>
      </w:r>
    </w:p>
    <w:p>
      <w:pPr>
        <w:spacing w:after="0" w:line="214" w:lineRule="exact"/>
        <w:rPr>
          <w:sz w:val="20"/>
          <w:szCs w:val="20"/>
          <w:color w:val="auto"/>
        </w:rPr>
      </w:pPr>
    </w:p>
    <w:p>
      <w:pPr>
        <w:ind w:left="60" w:right="79"/>
        <w:spacing w:after="0" w:line="276"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153" w:lineRule="exact"/>
        <w:rPr>
          <w:sz w:val="20"/>
          <w:szCs w:val="20"/>
          <w:color w:val="auto"/>
        </w:rPr>
      </w:pPr>
    </w:p>
    <w:p>
      <w:pPr>
        <w:ind w:left="60"/>
        <w:spacing w:after="0"/>
        <w:tabs>
          <w:tab w:leader="none" w:pos="4500" w:val="left"/>
        </w:tabs>
        <w:rPr>
          <w:sz w:val="20"/>
          <w:szCs w:val="20"/>
          <w:color w:val="auto"/>
        </w:rPr>
      </w:pPr>
      <w:r>
        <w:rPr>
          <w:rFonts w:ascii="Arial" w:cs="Arial" w:eastAsia="Arial" w:hAnsi="Arial"/>
          <w:sz w:val="17"/>
          <w:szCs w:val="17"/>
          <w:color w:val="auto"/>
        </w:rPr>
        <w:t>Date: September 9, 2020</w:t>
      </w:r>
      <w:r>
        <w:rPr>
          <w:sz w:val="20"/>
          <w:szCs w:val="20"/>
          <w:color w:val="auto"/>
        </w:rPr>
        <w:tab/>
      </w:r>
      <w:r>
        <w:rPr>
          <w:rFonts w:ascii="Arial" w:cs="Arial" w:eastAsia="Arial" w:hAnsi="Arial"/>
          <w:sz w:val="17"/>
          <w:szCs w:val="17"/>
          <w:color w:val="auto"/>
        </w:rPr>
        <w:t>FOOT LOCKER, INC.</w:t>
      </w:r>
    </w:p>
    <w:p>
      <w:pPr>
        <w:spacing w:after="0" w:line="37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13970</wp:posOffset>
            </wp:positionV>
            <wp:extent cx="28200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LAUREN B. PETERS</w:t>
      </w:r>
    </w:p>
    <w:p>
      <w:pPr>
        <w:ind w:left="4520"/>
        <w:spacing w:after="0"/>
        <w:rPr>
          <w:sz w:val="20"/>
          <w:szCs w:val="20"/>
          <w:color w:val="auto"/>
        </w:rPr>
      </w:pPr>
      <w:r>
        <w:rPr>
          <w:rFonts w:ascii="Arial" w:cs="Arial" w:eastAsia="Arial" w:hAnsi="Arial"/>
          <w:sz w:val="17"/>
          <w:szCs w:val="17"/>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2020 Form 10-Q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09" w:right="1440"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ACCOUNTANT’S ACKNOWLEDGEMENT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w:t>
      </w:r>
    </w:p>
    <w:p>
      <w:pPr>
        <w:spacing w:after="0" w:line="33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We acknowledge our awareness of the use therein of our report dated September 9, 2020 related to our review of interim financial information in the following Registration Statements:</w:t>
      </w:r>
    </w:p>
    <w:p>
      <w:pPr>
        <w:spacing w:after="0" w:line="104" w:lineRule="exact"/>
        <w:rPr>
          <w:sz w:val="20"/>
          <w:szCs w:val="20"/>
          <w:color w:val="auto"/>
        </w:rPr>
      </w:pPr>
    </w:p>
    <w:p>
      <w:pPr>
        <w:ind w:left="380" w:hanging="318"/>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33-10783</w:t>
      </w:r>
    </w:p>
    <w:p>
      <w:pPr>
        <w:spacing w:after="0" w:line="30"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33-91888</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33-91886</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33-97832</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333-07215</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333-21131</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333-62425</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333-33120</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333-41056</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333-41058</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333-74688</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333-99829</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333-111222</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333-121515</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333-144044</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333-149803</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Form S-3 No. 33-43334</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Form S-3 No. 33-86300</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Form S-3 No. 333-64930</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333-167066</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333-171523</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333-190680</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333-196899</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September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I, Richard A. Johnson, certify that:</w:t>
      </w:r>
    </w:p>
    <w:p>
      <w:pPr>
        <w:spacing w:after="0" w:line="19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198" w:lineRule="exact"/>
        <w:rPr>
          <w:rFonts w:ascii="Arial" w:cs="Arial" w:eastAsia="Arial" w:hAnsi="Arial"/>
          <w:sz w:val="18"/>
          <w:szCs w:val="18"/>
          <w:color w:val="auto"/>
        </w:rPr>
      </w:pPr>
    </w:p>
    <w:p>
      <w:pPr>
        <w:jc w:val="both"/>
        <w:ind w:left="660" w:hanging="652"/>
        <w:spacing w:after="0" w:line="255" w:lineRule="auto"/>
        <w:tabs>
          <w:tab w:leader="none" w:pos="833"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8"/>
          <w:szCs w:val="18"/>
          <w:color w:val="auto"/>
        </w:rPr>
      </w:pPr>
    </w:p>
    <w:p>
      <w:pPr>
        <w:jc w:val="both"/>
        <w:ind w:left="660" w:hanging="652"/>
        <w:spacing w:after="0" w:line="255" w:lineRule="auto"/>
        <w:tabs>
          <w:tab w:leader="none" w:pos="883"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8"/>
          <w:szCs w:val="18"/>
          <w:color w:val="auto"/>
        </w:rPr>
      </w:pPr>
    </w:p>
    <w:p>
      <w:pPr>
        <w:jc w:val="both"/>
        <w:ind w:left="660" w:hanging="652"/>
        <w:spacing w:after="0" w:line="255" w:lineRule="auto"/>
        <w:tabs>
          <w:tab w:leader="none" w:pos="79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8"/>
          <w:szCs w:val="18"/>
          <w:color w:val="auto"/>
        </w:rPr>
      </w:pPr>
    </w:p>
    <w:p>
      <w:pPr>
        <w:jc w:val="both"/>
        <w:ind w:left="1300" w:hanging="644"/>
        <w:spacing w:after="0" w:line="248" w:lineRule="auto"/>
        <w:tabs>
          <w:tab w:leader="none" w:pos="127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left="1300" w:hanging="644"/>
        <w:spacing w:after="0" w:line="248" w:lineRule="auto"/>
        <w:tabs>
          <w:tab w:leader="none" w:pos="160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jc w:val="both"/>
        <w:ind w:left="1300" w:hanging="644"/>
        <w:spacing w:after="0" w:line="255" w:lineRule="auto"/>
        <w:tabs>
          <w:tab w:leader="none" w:pos="1466"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8"/>
          <w:szCs w:val="18"/>
          <w:color w:val="auto"/>
        </w:rPr>
      </w:pPr>
    </w:p>
    <w:p>
      <w:pPr>
        <w:jc w:val="both"/>
        <w:ind w:left="1300" w:hanging="644"/>
        <w:spacing w:after="0" w:line="248" w:lineRule="auto"/>
        <w:tabs>
          <w:tab w:leader="none" w:pos="1366"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jc w:val="both"/>
        <w:ind w:left="660" w:hanging="652"/>
        <w:spacing w:after="0" w:line="255" w:lineRule="auto"/>
        <w:tabs>
          <w:tab w:leader="none" w:pos="8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8"/>
          <w:szCs w:val="18"/>
          <w:color w:val="auto"/>
        </w:rPr>
      </w:pPr>
    </w:p>
    <w:p>
      <w:pPr>
        <w:ind w:left="1300" w:hanging="644"/>
        <w:spacing w:after="0" w:line="276"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September 9, 2020</w:t>
      </w:r>
    </w:p>
    <w:p>
      <w:pPr>
        <w:spacing w:after="0" w:line="1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wp:posOffset>
            </wp:positionV>
            <wp:extent cx="31457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I, Lauren B. Peters, certify that:</w:t>
      </w:r>
    </w:p>
    <w:p>
      <w:pPr>
        <w:spacing w:after="0" w:line="198"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198" w:lineRule="exact"/>
        <w:rPr>
          <w:rFonts w:ascii="Arial" w:cs="Arial" w:eastAsia="Arial" w:hAnsi="Arial"/>
          <w:sz w:val="18"/>
          <w:szCs w:val="18"/>
          <w:color w:val="auto"/>
        </w:rPr>
      </w:pPr>
    </w:p>
    <w:p>
      <w:pPr>
        <w:jc w:val="both"/>
        <w:ind w:left="660" w:hanging="652"/>
        <w:spacing w:after="0" w:line="255" w:lineRule="auto"/>
        <w:tabs>
          <w:tab w:leader="none" w:pos="833"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8"/>
          <w:szCs w:val="18"/>
          <w:color w:val="auto"/>
        </w:rPr>
      </w:pPr>
    </w:p>
    <w:p>
      <w:pPr>
        <w:jc w:val="both"/>
        <w:ind w:left="660" w:hanging="652"/>
        <w:spacing w:after="0" w:line="255" w:lineRule="auto"/>
        <w:tabs>
          <w:tab w:leader="none" w:pos="883"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8"/>
          <w:szCs w:val="18"/>
          <w:color w:val="auto"/>
        </w:rPr>
      </w:pPr>
    </w:p>
    <w:p>
      <w:pPr>
        <w:jc w:val="both"/>
        <w:ind w:left="660" w:hanging="652"/>
        <w:spacing w:after="0" w:line="255" w:lineRule="auto"/>
        <w:tabs>
          <w:tab w:leader="none" w:pos="79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8"/>
          <w:szCs w:val="18"/>
          <w:color w:val="auto"/>
        </w:rPr>
      </w:pPr>
    </w:p>
    <w:p>
      <w:pPr>
        <w:jc w:val="both"/>
        <w:ind w:left="1300" w:hanging="644"/>
        <w:spacing w:after="0" w:line="248" w:lineRule="auto"/>
        <w:tabs>
          <w:tab w:leader="none" w:pos="14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left="1300" w:hanging="644"/>
        <w:spacing w:after="0" w:line="248" w:lineRule="auto"/>
        <w:tabs>
          <w:tab w:leader="none" w:pos="160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jc w:val="both"/>
        <w:ind w:left="1300" w:hanging="644"/>
        <w:spacing w:after="0" w:line="255" w:lineRule="auto"/>
        <w:tabs>
          <w:tab w:leader="none" w:pos="1466"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8"/>
          <w:szCs w:val="18"/>
          <w:color w:val="auto"/>
        </w:rPr>
      </w:pPr>
    </w:p>
    <w:p>
      <w:pPr>
        <w:jc w:val="both"/>
        <w:ind w:left="1300" w:hanging="644"/>
        <w:spacing w:after="0" w:line="248" w:lineRule="auto"/>
        <w:tabs>
          <w:tab w:leader="none" w:pos="1366"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jc w:val="both"/>
        <w:ind w:left="660" w:hanging="652"/>
        <w:spacing w:after="0" w:line="255" w:lineRule="auto"/>
        <w:tabs>
          <w:tab w:leader="none" w:pos="8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8"/>
          <w:szCs w:val="18"/>
          <w:color w:val="auto"/>
        </w:rPr>
      </w:pPr>
    </w:p>
    <w:p>
      <w:pPr>
        <w:jc w:val="both"/>
        <w:ind w:left="1300" w:hanging="644"/>
        <w:spacing w:after="0" w:line="255" w:lineRule="auto"/>
        <w:tabs>
          <w:tab w:leader="none" w:pos="15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8"/>
          <w:szCs w:val="18"/>
          <w:color w:val="auto"/>
        </w:rPr>
      </w:pPr>
    </w:p>
    <w:p>
      <w:pPr>
        <w:ind w:left="1300" w:hanging="644"/>
        <w:spacing w:after="0" w:line="276" w:lineRule="auto"/>
        <w:tabs>
          <w:tab w:leader="none" w:pos="1431"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September 9, 2020</w:t>
      </w:r>
    </w:p>
    <w:p>
      <w:pPr>
        <w:spacing w:after="0" w:line="1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wp:posOffset>
            </wp:positionV>
            <wp:extent cx="31457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w:t>
      </w:r>
    </w:p>
    <w:p>
      <w:pPr>
        <w:spacing w:after="0" w:line="199"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FOOT LOCKER, INC.</w:t>
      </w:r>
    </w:p>
    <w:p>
      <w:pPr>
        <w:spacing w:after="0" w:line="19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connection with the Quarterly Report on Form 10-Q of Foot Locker, Inc. (the “Registrant”) for the quarterly period ended August 1, 2020, as filed with the Securities and Exchange Commission on the date hereof (the “Report”), Richard A. Johnson, as Chief Executive Officer of the Registrant and Lauren B. Peters, as Chief Financial Officer of the Registrant, each hereby certifies, pursuant to 18 U.S.C. Section 1350, as adopted pursuant to Section 906 of the Sarbanes-Oxley Act of 2002, that:</w:t>
      </w:r>
    </w:p>
    <w:p>
      <w:pPr>
        <w:spacing w:after="0" w:line="159" w:lineRule="exact"/>
        <w:rPr>
          <w:sz w:val="20"/>
          <w:szCs w:val="20"/>
          <w:color w:val="auto"/>
        </w:rPr>
      </w:pPr>
    </w:p>
    <w:p>
      <w:pPr>
        <w:ind w:left="520" w:hanging="318"/>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520" w:hanging="318"/>
        <w:spacing w:after="0" w:line="276" w:lineRule="auto"/>
        <w:tabs>
          <w:tab w:leader="none" w:pos="5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9, 2020</w:t>
      </w:r>
    </w:p>
    <w:p>
      <w:pPr>
        <w:spacing w:after="0" w:line="1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wp:posOffset>
            </wp:positionV>
            <wp:extent cx="31457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Richard A. Johnson</w:t>
      </w:r>
    </w:p>
    <w:p>
      <w:pPr>
        <w:ind w:left="4960"/>
        <w:spacing w:after="0"/>
        <w:rPr>
          <w:sz w:val="20"/>
          <w:szCs w:val="20"/>
          <w:color w:val="auto"/>
        </w:rPr>
      </w:pPr>
      <w:r>
        <w:rPr>
          <w:rFonts w:ascii="Arial" w:cs="Arial" w:eastAsia="Arial" w:hAnsi="Arial"/>
          <w:sz w:val="18"/>
          <w:szCs w:val="18"/>
          <w:color w:val="auto"/>
        </w:rPr>
        <w:t>Chief Executive Officer</w:t>
      </w:r>
    </w:p>
    <w:p>
      <w:pPr>
        <w:spacing w:after="0" w:line="17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11430</wp:posOffset>
            </wp:positionV>
            <wp:extent cx="31457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Lauren B. Peters</w:t>
      </w:r>
    </w:p>
    <w:p>
      <w:pPr>
        <w:ind w:left="4960"/>
        <w:spacing w:after="0"/>
        <w:rPr>
          <w:sz w:val="20"/>
          <w:szCs w:val="20"/>
          <w:color w:val="auto"/>
        </w:rPr>
      </w:pPr>
      <w:r>
        <w:rPr>
          <w:rFonts w:ascii="Arial" w:cs="Arial" w:eastAsia="Arial" w:hAnsi="Arial"/>
          <w:sz w:val="18"/>
          <w:szCs w:val="18"/>
          <w:color w:val="auto"/>
        </w:rPr>
        <w:t>Chief Financial Officer</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99</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have reviewed the condensed consolidated balance sheets of Foot Locker, Inc. and subsidiaries (the Company) as of August 1, 2020 and August 3, 2019, the related condensed consolidated statements of operations, comprehensive (loss) income, and changes in shareholders’ equity for the thirteen and twenty-six week periods ended August 1, 2020 and August 3, 2019, the related condensed consolidated statements of cash flows for the twenty-six week period ended August 1, 2020 and August 3, 2019,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5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February 1, 2020, and the related consolidated statements of operations, comprehensive income, changes in shareholders’ equity, and cash flows for the year then ended (not presented herein); and in our report dated March 27, 2020, we expressed an unqualified opinion on those consolidated financial statements. In our opinion, the information set forth in the accompanying condensed consolidated balance sheet as of February 1, 2020, is fairly stated, in all material respects, in relation to the consolidated balance sheet from which it has been derived.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September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4"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70" Type="http://schemas.openxmlformats.org/officeDocument/2006/relationships/hyperlink" Target="https://www.sec.gov/Archives/edgar/data/850209/000153949720000939/exh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2020-09-09T15:30:55Z</dcterms:created>
  <dcterms:modified xsi:type="dcterms:W3CDTF">2020-09-09T15:30:55Z</dcterms:modified>
</cp:coreProperties>
</file>