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154940</wp:posOffset>
            </wp:positionV>
            <wp:extent cx="25298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100"/>
        <w:spacing w:after="0"/>
        <w:rPr>
          <w:sz w:val="20"/>
          <w:szCs w:val="20"/>
          <w:color w:val="auto"/>
        </w:rPr>
      </w:pPr>
      <w:r>
        <w:rPr>
          <w:rFonts w:ascii="Arial" w:cs="Arial" w:eastAsia="Arial" w:hAnsi="Arial"/>
          <w:sz w:val="18"/>
          <w:szCs w:val="18"/>
          <w:color w:val="auto"/>
        </w:rPr>
        <w:t>(Mark</w:t>
      </w:r>
    </w:p>
    <w:p>
      <w:pPr>
        <w:spacing w:after="0" w:line="23" w:lineRule="exact"/>
        <w:rPr>
          <w:sz w:val="24"/>
          <w:szCs w:val="24"/>
          <w:color w:val="auto"/>
        </w:rPr>
      </w:pPr>
    </w:p>
    <w:p>
      <w:pPr>
        <w:ind w:left="160"/>
        <w:spacing w:after="0"/>
        <w:rPr>
          <w:sz w:val="20"/>
          <w:szCs w:val="20"/>
          <w:color w:val="auto"/>
        </w:rPr>
      </w:pPr>
      <w:r>
        <w:rPr>
          <w:rFonts w:ascii="Arial" w:cs="Arial" w:eastAsia="Arial" w:hAnsi="Arial"/>
          <w:sz w:val="18"/>
          <w:szCs w:val="18"/>
          <w:color w:val="auto"/>
        </w:rPr>
        <w:t>One)</w:t>
      </w:r>
    </w:p>
    <w:p>
      <w:pPr>
        <w:spacing w:after="0" w:line="211" w:lineRule="exact"/>
        <w:rPr>
          <w:sz w:val="24"/>
          <w:szCs w:val="24"/>
          <w:color w:val="auto"/>
        </w:rPr>
      </w:pPr>
    </w:p>
    <w:p>
      <w:pPr>
        <w:ind w:left="660" w:hanging="373"/>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32" w:lineRule="exact"/>
        <w:rPr>
          <w:rFonts w:ascii="Arial" w:cs="Arial" w:eastAsia="Arial" w:hAnsi="Arial"/>
          <w:sz w:val="17"/>
          <w:szCs w:val="17"/>
          <w:color w:val="auto"/>
        </w:rPr>
      </w:pPr>
    </w:p>
    <w:p>
      <w:pPr>
        <w:ind w:left="4000"/>
        <w:spacing w:after="0"/>
        <w:rPr>
          <w:rFonts w:ascii="Arial" w:cs="Arial" w:eastAsia="Arial" w:hAnsi="Arial"/>
          <w:sz w:val="17"/>
          <w:szCs w:val="17"/>
          <w:color w:val="auto"/>
        </w:rPr>
      </w:pPr>
      <w:r>
        <w:rPr>
          <w:rFonts w:ascii="Arial" w:cs="Arial" w:eastAsia="Arial" w:hAnsi="Arial"/>
          <w:sz w:val="18"/>
          <w:szCs w:val="18"/>
          <w:b w:val="1"/>
          <w:bCs w:val="1"/>
          <w:color w:val="auto"/>
        </w:rPr>
        <w:t>For the quarterly period ended: May 3, 2014</w:t>
      </w:r>
    </w:p>
    <w:p>
      <w:pPr>
        <w:spacing w:after="0" w:line="229" w:lineRule="exact"/>
        <w:rPr>
          <w:sz w:val="24"/>
          <w:szCs w:val="24"/>
          <w:color w:val="auto"/>
        </w:rPr>
      </w:pPr>
    </w:p>
    <w:p>
      <w:pPr>
        <w:ind w:left="660" w:hanging="373"/>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232" w:lineRule="exact"/>
        <w:rPr>
          <w:rFonts w:ascii="Arial" w:cs="Arial" w:eastAsia="Arial" w:hAnsi="Arial"/>
          <w:sz w:val="17"/>
          <w:szCs w:val="17"/>
          <w:color w:val="auto"/>
        </w:rPr>
      </w:pPr>
    </w:p>
    <w:p>
      <w:pPr>
        <w:ind w:left="3500"/>
        <w:spacing w:after="0"/>
        <w:rPr>
          <w:rFonts w:ascii="Arial" w:cs="Arial" w:eastAsia="Arial" w:hAnsi="Arial"/>
          <w:sz w:val="17"/>
          <w:szCs w:val="17"/>
          <w:color w:val="auto"/>
        </w:rPr>
      </w:pPr>
      <w:r>
        <w:rPr>
          <w:rFonts w:ascii="Arial" w:cs="Arial" w:eastAsia="Arial" w:hAnsi="Arial"/>
          <w:sz w:val="18"/>
          <w:szCs w:val="18"/>
          <w:b w:val="1"/>
          <w:bCs w:val="1"/>
          <w:color w:val="auto"/>
        </w:rPr>
        <w:t>For the transition period from __________ to __________</w:t>
      </w:r>
    </w:p>
    <w:p>
      <w:pPr>
        <w:spacing w:after="0" w:line="225" w:lineRule="exact"/>
        <w:rPr>
          <w:rFonts w:ascii="Arial" w:cs="Arial" w:eastAsia="Arial" w:hAnsi="Arial"/>
          <w:sz w:val="17"/>
          <w:szCs w:val="17"/>
          <w:color w:val="auto"/>
        </w:rPr>
      </w:pPr>
    </w:p>
    <w:p>
      <w:pPr>
        <w:ind w:left="4380"/>
        <w:spacing w:after="0"/>
        <w:rPr>
          <w:rFonts w:ascii="Arial" w:cs="Arial" w:eastAsia="Arial" w:hAnsi="Arial"/>
          <w:sz w:val="17"/>
          <w:szCs w:val="17"/>
          <w:color w:val="auto"/>
        </w:rPr>
      </w:pPr>
      <w:r>
        <w:rPr>
          <w:rFonts w:ascii="Arial" w:cs="Arial" w:eastAsia="Arial" w:hAnsi="Arial"/>
          <w:sz w:val="18"/>
          <w:szCs w:val="18"/>
          <w:b w:val="1"/>
          <w:bCs w:val="1"/>
          <w:color w:val="auto"/>
        </w:rPr>
        <w:t>Commission File Number: 1-10299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154940</wp:posOffset>
            </wp:positionV>
            <wp:extent cx="25298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142875</wp:posOffset>
            </wp:positionV>
            <wp:extent cx="25298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p>
      <w:pPr>
        <w:spacing w:after="0" w:line="200" w:lineRule="exact"/>
        <w:rPr>
          <w:sz w:val="24"/>
          <w:szCs w:val="24"/>
          <w:color w:val="auto"/>
        </w:rPr>
      </w:pPr>
    </w:p>
    <w:p>
      <w:pPr>
        <w:spacing w:after="0" w:line="250"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0"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13-3513936</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7"/>
          <w:szCs w:val="17"/>
          <w:color w:val="auto"/>
        </w:rPr>
        <w:t>(I.R.S. Employer Identification No.)</w:t>
      </w:r>
    </w:p>
    <w:p>
      <w:pPr>
        <w:spacing w:after="0" w:line="150" w:lineRule="exact"/>
        <w:rPr>
          <w:sz w:val="24"/>
          <w:szCs w:val="24"/>
          <w:color w:val="auto"/>
        </w:rPr>
      </w:pPr>
    </w:p>
    <w:p>
      <w:pPr>
        <w:sectPr>
          <w:pgSz w:w="11900" w:h="16838" w:orient="portrait"/>
          <w:cols w:equalWidth="0" w:num="2">
            <w:col w:w="6540" w:space="720"/>
            <w:col w:w="4160"/>
          </w:cols>
          <w:pgMar w:left="240" w:top="472" w:right="239" w:bottom="1440" w:gutter="0" w:footer="0" w:header="0"/>
          <w:type w:val="continuous"/>
        </w:sectPr>
      </w:pPr>
    </w:p>
    <w:p>
      <w:pPr>
        <w:ind w:left="3820"/>
        <w:spacing w:after="0"/>
        <w:rPr>
          <w:sz w:val="20"/>
          <w:szCs w:val="20"/>
          <w:color w:val="auto"/>
        </w:rPr>
      </w:pPr>
      <w:r>
        <w:rPr>
          <w:rFonts w:ascii="Arial" w:cs="Arial" w:eastAsia="Arial" w:hAnsi="Arial"/>
          <w:sz w:val="18"/>
          <w:szCs w:val="18"/>
          <w:b w:val="1"/>
          <w:bCs w:val="1"/>
          <w:color w:val="auto"/>
        </w:rPr>
        <w:t>112 West 34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Street, New York, New York, 10120</w:t>
      </w: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(212-720-3700)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þ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þ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20" w:type="dxa"/>
            <w:vAlign w:val="bottom"/>
          </w:tcPr>
          <w:p>
            <w:pPr>
              <w:spacing w:after="0"/>
              <w:rPr>
                <w:sz w:val="20"/>
                <w:szCs w:val="20"/>
                <w:color w:val="auto"/>
              </w:rPr>
            </w:pPr>
            <w:r>
              <w:rPr>
                <w:rFonts w:ascii="Arial" w:cs="Arial" w:eastAsia="Arial" w:hAnsi="Arial"/>
                <w:sz w:val="18"/>
                <w:szCs w:val="18"/>
                <w:color w:val="auto"/>
              </w:rPr>
              <w:t>Large accelerated filer þ</w:t>
            </w:r>
          </w:p>
        </w:tc>
        <w:tc>
          <w:tcPr>
            <w:tcW w:w="268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240" w:type="dxa"/>
            <w:vAlign w:val="bottom"/>
          </w:tcPr>
          <w:p>
            <w:pPr>
              <w:ind w:left="72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180" w:type="dxa"/>
            <w:vAlign w:val="bottom"/>
          </w:tcPr>
          <w:p>
            <w:pPr>
              <w:ind w:left="34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412"/>
        </w:trPr>
        <w:tc>
          <w:tcPr>
            <w:tcW w:w="8240" w:type="dxa"/>
            <w:vAlign w:val="bottom"/>
            <w:gridSpan w:val="3"/>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3180" w:type="dxa"/>
            <w:vAlign w:val="bottom"/>
          </w:tcPr>
          <w:p>
            <w:pPr>
              <w:ind w:left="80"/>
              <w:spacing w:after="0"/>
              <w:rPr>
                <w:sz w:val="20"/>
                <w:szCs w:val="20"/>
                <w:color w:val="auto"/>
              </w:rPr>
            </w:pPr>
            <w:r>
              <w:rPr>
                <w:rFonts w:ascii="Arial" w:cs="Arial" w:eastAsia="Arial" w:hAnsi="Arial"/>
                <w:sz w:val="18"/>
                <w:szCs w:val="18"/>
                <w:color w:val="auto"/>
              </w:rPr>
              <w:t>Yes o  No þ</w:t>
            </w:r>
          </w:p>
        </w:tc>
      </w:tr>
      <w:tr>
        <w:trPr>
          <w:trHeight w:val="432"/>
        </w:trPr>
        <w:tc>
          <w:tcPr>
            <w:tcW w:w="8240" w:type="dxa"/>
            <w:vAlign w:val="bottom"/>
            <w:gridSpan w:val="3"/>
          </w:tcPr>
          <w:p>
            <w:pPr>
              <w:spacing w:after="0"/>
              <w:rPr>
                <w:sz w:val="20"/>
                <w:szCs w:val="20"/>
                <w:color w:val="auto"/>
              </w:rPr>
            </w:pPr>
            <w:r>
              <w:rPr>
                <w:rFonts w:ascii="Arial" w:cs="Arial" w:eastAsia="Arial" w:hAnsi="Arial"/>
                <w:sz w:val="18"/>
                <w:szCs w:val="18"/>
                <w:color w:val="auto"/>
              </w:rPr>
              <w:t>Number of shares of Common Stock outstanding at May 30, 2014: 144,697,069</w:t>
            </w:r>
          </w:p>
        </w:tc>
        <w:tc>
          <w:tcPr>
            <w:tcW w:w="3180" w:type="dxa"/>
            <w:vAlign w:val="bottom"/>
          </w:tcPr>
          <w:p>
            <w:pPr>
              <w:spacing w:after="0"/>
              <w:rPr>
                <w:sz w:val="24"/>
                <w:szCs w:val="24"/>
                <w:color w:val="auto"/>
              </w:rPr>
            </w:pPr>
          </w:p>
        </w:tc>
      </w:tr>
      <w:tr>
        <w:trPr>
          <w:trHeight w:val="648"/>
        </w:trPr>
        <w:tc>
          <w:tcPr>
            <w:tcW w:w="23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72"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700" w:type="dxa"/>
            <w:vAlign w:val="bottom"/>
            <w:gridSpan w:val="7"/>
          </w:tcPr>
          <w:p>
            <w:pPr>
              <w:jc w:val="center"/>
              <w:ind w:right="940"/>
              <w:spacing w:after="0"/>
              <w:rPr>
                <w:sz w:val="20"/>
                <w:szCs w:val="20"/>
                <w:color w:val="auto"/>
              </w:rPr>
            </w:pPr>
            <w:r>
              <w:rPr>
                <w:rFonts w:ascii="Arial" w:cs="Arial" w:eastAsia="Arial" w:hAnsi="Arial"/>
                <w:sz w:val="18"/>
                <w:szCs w:val="18"/>
                <w:b w:val="1"/>
                <w:bCs w:val="1"/>
                <w:color w:val="auto"/>
              </w:rPr>
              <w:t>FOOT LOCKER, INC.</w:t>
            </w:r>
          </w:p>
        </w:tc>
        <w:tc>
          <w:tcPr>
            <w:tcW w:w="2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00" w:type="dxa"/>
            <w:vAlign w:val="bottom"/>
            <w:gridSpan w:val="7"/>
          </w:tcPr>
          <w:p>
            <w:pPr>
              <w:jc w:val="center"/>
              <w:ind w:right="940"/>
              <w:spacing w:after="0"/>
              <w:rPr>
                <w:sz w:val="20"/>
                <w:szCs w:val="20"/>
                <w:color w:val="auto"/>
              </w:rPr>
            </w:pPr>
            <w:r>
              <w:rPr>
                <w:rFonts w:ascii="Arial" w:cs="Arial" w:eastAsia="Arial" w:hAnsi="Arial"/>
                <w:sz w:val="18"/>
                <w:szCs w:val="18"/>
                <w:b w:val="1"/>
                <w:bCs w:val="1"/>
                <w:color w:val="auto"/>
                <w:w w:val="98"/>
              </w:rPr>
              <w:t>TABLE OF CONTENTS</w:t>
            </w:r>
          </w:p>
        </w:tc>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900" w:type="dxa"/>
            <w:vAlign w:val="bottom"/>
            <w:gridSpan w:val="2"/>
          </w:tcPr>
          <w:p>
            <w:pPr>
              <w:ind w:left="22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w:t>
            </w:r>
          </w:p>
        </w:tc>
        <w:tc>
          <w:tcPr>
            <w:tcW w:w="762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2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6460" w:type="dxa"/>
            <w:vAlign w:val="bottom"/>
            <w:gridSpan w:val="16"/>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460" w:type="dxa"/>
            <w:vAlign w:val="bottom"/>
            <w:gridSpan w:val="1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2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60" w:type="dxa"/>
            <w:vAlign w:val="bottom"/>
            <w:gridSpan w:val="16"/>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288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58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w:t>
              </w:r>
            </w:hyperlink>
          </w:p>
        </w:tc>
        <w:tc>
          <w:tcPr>
            <w:tcW w:w="188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60" w:type="dxa"/>
            <w:vAlign w:val="bottom"/>
            <w:gridSpan w:val="16"/>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288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460" w:type="dxa"/>
            <w:vAlign w:val="bottom"/>
            <w:gridSpan w:val="16"/>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tcPr>
          <w:p>
            <w:pPr>
              <w:spacing w:after="0" w:line="17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2880" w:type="dxa"/>
            <w:vAlign w:val="bottom"/>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6460" w:type="dxa"/>
            <w:vAlign w:val="bottom"/>
            <w:gridSpan w:val="16"/>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2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Part II.</w:t>
            </w:r>
          </w:p>
        </w:tc>
        <w:tc>
          <w:tcPr>
            <w:tcW w:w="7620" w:type="dxa"/>
            <w:vAlign w:val="bottom"/>
            <w:gridSpan w:val="17"/>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2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6460" w:type="dxa"/>
            <w:vAlign w:val="bottom"/>
            <w:gridSpan w:val="16"/>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2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5140" w:type="dxa"/>
            <w:vAlign w:val="bottom"/>
            <w:tcBorders>
              <w:top w:val="single" w:sz="8" w:color="CCEEFF"/>
            </w:tcBorders>
            <w:gridSpan w:val="9"/>
          </w:tcPr>
          <w:p>
            <w:pPr>
              <w:spacing w:after="0"/>
              <w:rPr>
                <w:sz w:val="15"/>
                <w:szCs w:val="15"/>
                <w:color w:val="auto"/>
              </w:rPr>
            </w:pPr>
          </w:p>
        </w:tc>
        <w:tc>
          <w:tcPr>
            <w:tcW w:w="28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6460" w:type="dxa"/>
            <w:vAlign w:val="bottom"/>
            <w:gridSpan w:val="16"/>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2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6.</w:t>
            </w:r>
          </w:p>
        </w:tc>
        <w:tc>
          <w:tcPr>
            <w:tcW w:w="434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2120" w:type="dxa"/>
            <w:vAlign w:val="bottom"/>
            <w:tcBorders>
              <w:top w:val="single" w:sz="8" w:color="CCEEFF"/>
            </w:tcBorders>
            <w:gridSpan w:val="2"/>
          </w:tcPr>
          <w:p>
            <w:pPr>
              <w:spacing w:after="0"/>
              <w:rPr>
                <w:sz w:val="15"/>
                <w:szCs w:val="15"/>
                <w:color w:val="auto"/>
              </w:rPr>
            </w:pPr>
          </w:p>
        </w:tc>
        <w:tc>
          <w:tcPr>
            <w:tcW w:w="28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460" w:type="dxa"/>
            <w:vAlign w:val="bottom"/>
            <w:gridSpan w:val="16"/>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Signature</w:t>
              </w:r>
            </w:hyperlink>
          </w:p>
        </w:tc>
        <w:tc>
          <w:tcPr>
            <w:tcW w:w="2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60" w:type="dxa"/>
            <w:vAlign w:val="bottom"/>
            <w:gridSpan w:val="16"/>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Index of Exhibits</w:t>
              </w:r>
            </w:hyperlink>
          </w:p>
        </w:tc>
        <w:tc>
          <w:tcPr>
            <w:tcW w:w="2880" w:type="dxa"/>
            <w:vAlign w:val="bottom"/>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40" w:type="dxa"/>
            <w:vAlign w:val="bottom"/>
            <w:tcBorders>
              <w:top w:val="single" w:sz="8" w:color="0000EE"/>
              <w:bottom w:val="single" w:sz="8" w:color="auto"/>
            </w:tcBorders>
            <w:gridSpan w:val="6"/>
          </w:tcPr>
          <w:p>
            <w:pPr>
              <w:spacing w:after="0"/>
              <w:rPr>
                <w:sz w:val="24"/>
                <w:szCs w:val="24"/>
                <w:color w:val="auto"/>
              </w:rPr>
            </w:pPr>
          </w:p>
        </w:tc>
        <w:tc>
          <w:tcPr>
            <w:tcW w:w="2460" w:type="dxa"/>
            <w:vAlign w:val="bottom"/>
            <w:tcBorders>
              <w:bottom w:val="single" w:sz="8" w:color="auto"/>
            </w:tcBorders>
            <w:gridSpan w:val="6"/>
          </w:tcPr>
          <w:p>
            <w:pPr>
              <w:jc w:val="center"/>
              <w:ind w:left="2230"/>
              <w:spacing w:after="0"/>
              <w:rPr>
                <w:sz w:val="20"/>
                <w:szCs w:val="20"/>
                <w:color w:val="auto"/>
              </w:rPr>
            </w:pPr>
            <w:r>
              <w:rPr>
                <w:rFonts w:ascii="Arial" w:cs="Arial" w:eastAsia="Arial" w:hAnsi="Arial"/>
                <w:sz w:val="18"/>
                <w:szCs w:val="18"/>
                <w:color w:val="auto"/>
                <w:w w:val="99"/>
              </w:rPr>
              <w:t>2</w:t>
            </w: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1.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May 3,</w:t>
            </w:r>
          </w:p>
        </w:tc>
        <w:tc>
          <w:tcPr>
            <w:tcW w:w="14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May 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February 1,</w:t>
            </w: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(Unaudited)</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672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Merchandise inventories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1,268</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30"/>
        </w:trPr>
        <w:tc>
          <w:tcPr>
            <w:tcW w:w="67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598</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intangible assets,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67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354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352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and other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355</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30"/>
        </w:trPr>
        <w:tc>
          <w:tcPr>
            <w:tcW w:w="6720" w:type="dxa"/>
            <w:vAlign w:val="bottom"/>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b w:val="1"/>
                <w:bCs w:val="1"/>
                <w:color w:val="auto"/>
              </w:rPr>
              <w:t>Long-term debt and obligations under capital leases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0"/>
        </w:trPr>
        <w:tc>
          <w:tcPr>
            <w:tcW w:w="67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20" w:type="dxa"/>
            <w:vAlign w:val="bottom"/>
          </w:tcPr>
          <w:p>
            <w:pPr>
              <w:ind w:left="180"/>
              <w:spacing w:after="0" w:line="201" w:lineRule="exact"/>
              <w:rPr>
                <w:sz w:val="20"/>
                <w:szCs w:val="20"/>
                <w:color w:val="auto"/>
              </w:rPr>
            </w:pPr>
            <w:r>
              <w:rPr>
                <w:rFonts w:ascii="Arial" w:cs="Arial" w:eastAsia="Arial" w:hAnsi="Arial"/>
                <w:sz w:val="18"/>
                <w:szCs w:val="18"/>
                <w:color w:val="auto"/>
                <w:w w:val="93"/>
              </w:rPr>
              <w:t>Common stock and paid-in capital: 170,078,313, 167,899,536, and 169,039,095 shares,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30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947</w:t>
            </w: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2,517</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16"/>
        </w:trPr>
        <w:tc>
          <w:tcPr>
            <w:tcW w:w="672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Less: Treasury stock at cost: 25,381,244, 17,226,825 and 23,612,273 shares, respectively</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(707)</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0"/>
        </w:trPr>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w:t>
            </w:r>
          </w:p>
        </w:tc>
        <w:tc>
          <w:tcPr>
            <w:tcW w:w="3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 w:lineRule="exact"/>
        <w:rPr>
          <w:sz w:val="20"/>
          <w:szCs w:val="20"/>
          <w:color w:val="auto"/>
        </w:rPr>
      </w:pPr>
    </w:p>
    <w:p>
      <w:pPr>
        <w:jc w:val="both"/>
        <w:ind w:right="20" w:firstLine="8"/>
        <w:spacing w:after="0" w:line="311" w:lineRule="auto"/>
        <w:tabs>
          <w:tab w:leader="none" w:pos="137"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balance sheet at February 1, 2014 has been derived from the previously reported audited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the Company’s Annual Report on Form 10-K for the year ended February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right"/>
              <w:ind w:right="680"/>
              <w:spacing w:after="0" w:line="205" w:lineRule="exact"/>
              <w:rPr>
                <w:sz w:val="20"/>
                <w:szCs w:val="20"/>
                <w:color w:val="auto"/>
              </w:rPr>
            </w:pPr>
            <w:r>
              <w:rPr>
                <w:rFonts w:ascii="Arial" w:cs="Arial" w:eastAsia="Arial" w:hAnsi="Arial"/>
                <w:sz w:val="18"/>
                <w:szCs w:val="18"/>
                <w:b w:val="1"/>
                <w:bCs w:val="1"/>
                <w:color w:val="auto"/>
              </w:rPr>
              <w:t>May 3,</w:t>
            </w:r>
          </w:p>
        </w:tc>
        <w:tc>
          <w:tcPr>
            <w:tcW w:w="1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390"/>
              <w:spacing w:after="0" w:line="205" w:lineRule="exact"/>
              <w:rPr>
                <w:sz w:val="20"/>
                <w:szCs w:val="20"/>
                <w:color w:val="auto"/>
              </w:rPr>
            </w:pPr>
            <w:r>
              <w:rPr>
                <w:rFonts w:ascii="Arial" w:cs="Arial" w:eastAsia="Arial" w:hAnsi="Arial"/>
                <w:sz w:val="18"/>
                <w:szCs w:val="18"/>
                <w:b w:val="1"/>
                <w:bCs w:val="1"/>
                <w:color w:val="auto"/>
              </w:rPr>
              <w:t>May 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Impairment charge</w:t>
            </w:r>
          </w:p>
        </w:tc>
        <w:tc>
          <w:tcPr>
            <w:tcW w:w="3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Weighted-average common shares assuming dilution</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2940" w:type="dxa"/>
            <w:vAlign w:val="bottom"/>
            <w:tcBorders>
              <w:bottom w:val="single" w:sz="8" w:color="auto"/>
            </w:tcBorders>
            <w:gridSpan w:val="5"/>
          </w:tcPr>
          <w:p>
            <w:pPr>
              <w:jc w:val="right"/>
              <w:ind w:right="357"/>
              <w:spacing w:after="0"/>
              <w:rPr>
                <w:sz w:val="20"/>
                <w:szCs w:val="20"/>
                <w:color w:val="auto"/>
              </w:rPr>
            </w:pPr>
            <w:r>
              <w:rPr>
                <w:rFonts w:ascii="Arial" w:cs="Arial" w:eastAsia="Arial" w:hAnsi="Arial"/>
                <w:sz w:val="18"/>
                <w:szCs w:val="18"/>
                <w:b w:val="1"/>
                <w:bCs w:val="1"/>
                <w:color w:val="auto"/>
              </w:rPr>
              <w:t>Thirteen weeks ended</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1120" w:type="dxa"/>
            <w:vAlign w:val="bottom"/>
          </w:tcPr>
          <w:p>
            <w:pPr>
              <w:jc w:val="right"/>
              <w:ind w:right="10"/>
              <w:spacing w:after="0" w:line="205" w:lineRule="exact"/>
              <w:rPr>
                <w:sz w:val="20"/>
                <w:szCs w:val="20"/>
                <w:color w:val="auto"/>
              </w:rPr>
            </w:pPr>
            <w:r>
              <w:rPr>
                <w:rFonts w:ascii="Arial" w:cs="Arial" w:eastAsia="Arial" w:hAnsi="Arial"/>
                <w:sz w:val="18"/>
                <w:szCs w:val="18"/>
                <w:b w:val="1"/>
                <w:bCs w:val="1"/>
                <w:color w:val="auto"/>
              </w:rPr>
              <w:t>May 3,</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7"/>
              <w:spacing w:after="0" w:line="205" w:lineRule="exact"/>
              <w:rPr>
                <w:sz w:val="20"/>
                <w:szCs w:val="20"/>
                <w:color w:val="auto"/>
              </w:rPr>
            </w:pPr>
            <w:r>
              <w:rPr>
                <w:rFonts w:ascii="Arial" w:cs="Arial" w:eastAsia="Arial" w:hAnsi="Arial"/>
                <w:sz w:val="18"/>
                <w:szCs w:val="18"/>
                <w:b w:val="1"/>
                <w:bCs w:val="1"/>
                <w:color w:val="auto"/>
              </w:rPr>
              <w:t>May 4,</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97"/>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3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income tax</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Foreign currency translation adjustment:</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Translation adjustment arising during the period, net of income tax</w:t>
            </w:r>
          </w:p>
        </w:tc>
        <w:tc>
          <w:tcPr>
            <w:tcW w:w="1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derivatives, net of income tax</w:t>
            </w:r>
          </w:p>
        </w:tc>
        <w:tc>
          <w:tcPr>
            <w:tcW w:w="1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Pension and postretirement adjustments:</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w w:val="96"/>
              </w:rPr>
              <w:t>Amortization of net actuarial gain/loss and prior service cost included in net periodic benefit costs, net of</w:t>
            </w: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120"/>
              <w:spacing w:after="0"/>
              <w:rPr>
                <w:sz w:val="20"/>
                <w:szCs w:val="20"/>
                <w:color w:val="auto"/>
              </w:rPr>
            </w:pPr>
            <w:r>
              <w:rPr>
                <w:rFonts w:ascii="Arial" w:cs="Arial" w:eastAsia="Arial" w:hAnsi="Arial"/>
                <w:sz w:val="18"/>
                <w:szCs w:val="18"/>
                <w:color w:val="auto"/>
              </w:rPr>
              <w:t>income tax expense of $1 million and $1 million, respectively</w:t>
            </w:r>
          </w:p>
        </w:tc>
        <w:tc>
          <w:tcPr>
            <w:tcW w:w="1120" w:type="dxa"/>
            <w:vAlign w:val="bottom"/>
          </w:tcPr>
          <w:p>
            <w:pPr>
              <w:spacing w:after="0"/>
              <w:rPr>
                <w:sz w:val="20"/>
                <w:szCs w:val="2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i w:val="1"/>
                <w:iCs w:val="1"/>
                <w:color w:val="auto"/>
              </w:rPr>
              <w:t>Available for sale securities:</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available-for-sale securities</w:t>
            </w:r>
          </w:p>
        </w:tc>
        <w:tc>
          <w:tcPr>
            <w:tcW w:w="1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w:t>
            </w:r>
          </w:p>
        </w:tc>
        <w:tc>
          <w:tcPr>
            <w:tcW w:w="1260" w:type="dxa"/>
            <w:vAlign w:val="bottom"/>
            <w:gridSpan w:val="2"/>
            <w:shd w:val="clear" w:color="auto" w:fill="CCEEFF"/>
          </w:tcPr>
          <w:p>
            <w:pPr>
              <w:jc w:val="right"/>
              <w:ind w:right="937"/>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2880" w:type="dxa"/>
            <w:vAlign w:val="bottom"/>
            <w:tcBorders>
              <w:bottom w:val="single" w:sz="8" w:color="auto"/>
            </w:tcBorders>
            <w:gridSpan w:val="5"/>
          </w:tcPr>
          <w:p>
            <w:pPr>
              <w:jc w:val="right"/>
              <w:ind w:right="297"/>
              <w:spacing w:after="0"/>
              <w:rPr>
                <w:sz w:val="20"/>
                <w:szCs w:val="20"/>
                <w:color w:val="auto"/>
              </w:rPr>
            </w:pPr>
            <w:r>
              <w:rPr>
                <w:rFonts w:ascii="Arial" w:cs="Arial" w:eastAsia="Arial" w:hAnsi="Arial"/>
                <w:sz w:val="18"/>
                <w:szCs w:val="18"/>
                <w:b w:val="1"/>
                <w:bCs w:val="1"/>
                <w:color w:val="auto"/>
              </w:rPr>
              <w:t>Thirteen weeks ended</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106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May 3,</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May 4,</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37"/>
              <w:spacing w:after="0"/>
              <w:rPr>
                <w:sz w:val="20"/>
                <w:szCs w:val="20"/>
                <w:color w:val="auto"/>
              </w:rPr>
            </w:pPr>
            <w:r>
              <w:rPr>
                <w:rFonts w:ascii="Arial" w:cs="Arial" w:eastAsia="Arial" w:hAnsi="Arial"/>
                <w:sz w:val="18"/>
                <w:szCs w:val="18"/>
                <w:b w:val="1"/>
                <w:bCs w:val="1"/>
                <w:color w:val="auto"/>
              </w:rPr>
              <w:t>2013</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From Operating Activities:</w:t>
            </w:r>
          </w:p>
        </w:tc>
        <w:tc>
          <w:tcPr>
            <w:tcW w:w="10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1180" w:type="dxa"/>
            <w:vAlign w:val="bottom"/>
            <w:gridSpan w:val="2"/>
          </w:tcPr>
          <w:p>
            <w:pPr>
              <w:jc w:val="right"/>
              <w:ind w:right="877"/>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Non-cash impairment charge</w:t>
            </w:r>
          </w:p>
        </w:tc>
        <w:tc>
          <w:tcPr>
            <w:tcW w:w="10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Share-based compensation expense</w:t>
            </w:r>
          </w:p>
        </w:tc>
        <w:tc>
          <w:tcPr>
            <w:tcW w:w="10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Qualified pension plan contributions</w:t>
            </w:r>
          </w:p>
        </w:tc>
        <w:tc>
          <w:tcPr>
            <w:tcW w:w="10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Excess tax benefits on share-based compensation</w:t>
            </w:r>
          </w:p>
        </w:tc>
        <w:tc>
          <w:tcPr>
            <w:tcW w:w="10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assets and liabilities:</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Arial" w:cs="Arial" w:eastAsia="Arial" w:hAnsi="Arial"/>
                <w:sz w:val="18"/>
                <w:szCs w:val="18"/>
                <w:color w:val="auto"/>
              </w:rPr>
              <w:t>Merchandise inventories</w:t>
            </w:r>
          </w:p>
        </w:tc>
        <w:tc>
          <w:tcPr>
            <w:tcW w:w="10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Arial" w:cs="Arial" w:eastAsia="Arial" w:hAnsi="Arial"/>
                <w:sz w:val="18"/>
                <w:szCs w:val="18"/>
                <w:color w:val="auto"/>
              </w:rPr>
              <w:t>Accrued and other liabilities</w:t>
            </w:r>
          </w:p>
        </w:tc>
        <w:tc>
          <w:tcPr>
            <w:tcW w:w="10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net</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From Investing Activities:</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0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Gain from lease terminations</w:t>
            </w:r>
          </w:p>
        </w:tc>
        <w:tc>
          <w:tcPr>
            <w:tcW w:w="10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short-term investments</w:t>
            </w:r>
          </w:p>
        </w:tc>
        <w:tc>
          <w:tcPr>
            <w:tcW w:w="10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Sales and maturities of short-term investments</w:t>
            </w:r>
          </w:p>
        </w:tc>
        <w:tc>
          <w:tcPr>
            <w:tcW w:w="10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From Financing Activities:</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Repayments of long-term debt and obligations under capital leases</w:t>
            </w:r>
          </w:p>
        </w:tc>
        <w:tc>
          <w:tcPr>
            <w:tcW w:w="10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common stock</w:t>
            </w:r>
          </w:p>
        </w:tc>
        <w:tc>
          <w:tcPr>
            <w:tcW w:w="10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Issuance of common stock</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treasury shares</w:t>
            </w:r>
          </w:p>
        </w:tc>
        <w:tc>
          <w:tcPr>
            <w:tcW w:w="10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Excess tax benefits on share-based compensation</w:t>
            </w:r>
          </w:p>
        </w:tc>
        <w:tc>
          <w:tcPr>
            <w:tcW w:w="10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financing activities</w:t>
            </w: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fluctuations on Cash and Cash Equivalents</w:t>
            </w:r>
          </w:p>
        </w:tc>
        <w:tc>
          <w:tcPr>
            <w:tcW w:w="10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0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10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858</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end of interim period</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1,005</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87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1,057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Cash paid during the period:</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77"/>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20"/>
                <w:szCs w:val="20"/>
                <w:color w:val="auto"/>
              </w:rPr>
            </w:pPr>
          </w:p>
        </w:tc>
        <w:tc>
          <w:tcPr>
            <w:tcW w:w="1180" w:type="dxa"/>
            <w:vAlign w:val="bottom"/>
            <w:gridSpan w:val="2"/>
          </w:tcPr>
          <w:p>
            <w:pPr>
              <w:jc w:val="right"/>
              <w:ind w:right="877"/>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fiscal year ending January 31, 2015 and of the fiscal year ended February 1, 2014.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Consolidated Financial Statements contained in the Company’s Form 10-K for the year ended February 1, 2014, as filed with the Securities and Exchange Commission (the “SEC”) on March 31,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April 2014, the Financial Accounting Standards Board (“FASB”) issued Accounting Standards Update (“ASU”) 2014-08, </w:t>
      </w:r>
      <w:r>
        <w:rPr>
          <w:rFonts w:ascii="Arial" w:cs="Arial" w:eastAsia="Arial" w:hAnsi="Arial"/>
          <w:sz w:val="17"/>
          <w:szCs w:val="17"/>
          <w:i w:val="1"/>
          <w:iCs w:val="1"/>
          <w:color w:val="auto"/>
        </w:rPr>
        <w:t>Reporting Discontinued</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 and Disclosures of Disposals of Components of an Entity</w:t>
      </w:r>
      <w:r>
        <w:rPr>
          <w:rFonts w:ascii="Arial" w:cs="Arial" w:eastAsia="Arial" w:hAnsi="Arial"/>
          <w:sz w:val="17"/>
          <w:szCs w:val="17"/>
          <w:color w:val="auto"/>
        </w:rPr>
        <w:t>. The amendments in this update change the requirements for reporting discontinued</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A discontinued operation may include a component of an entity or a group of components of an entity. A disposal of a component of an entity or a group of components of an entity is required to be reported in discontinued operations if the disposal represents a strategic shift that has (or will have) a major effect on an entity's operations and financial results and when the component or group of components meets the criteria to be classified as held for sale, is disposed by sale or is disposed of by other than by sale. ASU 2014-8 is effective prospectively for fiscal years, and interim reporting periods within those years, beginning after December 15, 2014, with earlier adoption permitted. The adoption of this guidance did not have a significant effect on our consolidated financial position, results of operations or cash flows.</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May 2014,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issued as a new Topic, Accounting Standards Codification Topic 606. The core principle of this amendment is that an entity should recognize revenue to depict the transfer of promised goods or services to customers in an amount that reflects the consideration to which the entity expects to be entitled in exchange for those goods or services. ASU 2014-09 is effective for annual reporting periods beginning after December 15, 2016, including interim periods within that reporting period, with earlier adoption not permitted. ASU 2014-09 can be adopted either retrospectively to each prior reporting period presented or as a cumulative-effect adjustment as of the date of adoption. The adoption of this guidance is not expected to have a significant effect on our consolidated financial position, results of operations or cash flows.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recently issued accounting pronouncements did not, or are not believed by management to, have a material effect on the Company’s present or future consolidated financial statements.</w:t>
      </w:r>
    </w:p>
    <w:p>
      <w:pPr>
        <w:spacing w:after="0" w:line="166"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Company has determined that its reportable segments are those that are based on its method of internal reporting. As of May 3, 2014, the Company has two reportable segments, Athletic Stores and Direct-to-Customers. The Company evaluates performance based on several factors, of which the primary financial measure is division results. Division profit reflects income before income taxes, corporate expense, non-operating income, and net interest expense.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 –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5500" w:type="dxa"/>
            <w:vAlign w:val="bottom"/>
            <w:gridSpan w:val="3"/>
          </w:tcPr>
          <w:p>
            <w:pPr>
              <w:jc w:val="right"/>
              <w:ind w:right="2930"/>
              <w:spacing w:after="0"/>
              <w:rPr>
                <w:sz w:val="20"/>
                <w:szCs w:val="20"/>
                <w:color w:val="auto"/>
              </w:rPr>
            </w:pPr>
            <w:r>
              <w:rPr>
                <w:rFonts w:ascii="Arial" w:cs="Arial" w:eastAsia="Arial" w:hAnsi="Arial"/>
                <w:sz w:val="18"/>
                <w:szCs w:val="18"/>
                <w:b w:val="1"/>
                <w:bCs w:val="1"/>
                <w:color w:val="auto"/>
              </w:rPr>
              <w:t>Sales</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35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tcBorders>
              <w:bottom w:val="single" w:sz="8" w:color="auto"/>
            </w:tcBorders>
            <w:gridSpan w:val="5"/>
          </w:tcPr>
          <w:p>
            <w:pPr>
              <w:jc w:val="right"/>
              <w:ind w:right="317"/>
              <w:spacing w:after="0"/>
              <w:rPr>
                <w:sz w:val="20"/>
                <w:szCs w:val="20"/>
                <w:color w:val="auto"/>
              </w:rPr>
            </w:pPr>
            <w:r>
              <w:rPr>
                <w:rFonts w:ascii="Arial" w:cs="Arial" w:eastAsia="Arial" w:hAnsi="Arial"/>
                <w:sz w:val="18"/>
                <w:szCs w:val="18"/>
                <w:b w:val="1"/>
                <w:bCs w:val="1"/>
                <w:color w:val="auto"/>
              </w:rPr>
              <w:t>Thirteen weeks ended</w:t>
            </w: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5"/>
        </w:trPr>
        <w:tc>
          <w:tcPr>
            <w:tcW w:w="35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center"/>
              <w:ind w:left="350"/>
              <w:spacing w:after="0" w:line="205" w:lineRule="exact"/>
              <w:rPr>
                <w:sz w:val="20"/>
                <w:szCs w:val="20"/>
                <w:color w:val="auto"/>
              </w:rPr>
            </w:pPr>
            <w:r>
              <w:rPr>
                <w:rFonts w:ascii="Arial" w:cs="Arial" w:eastAsia="Arial" w:hAnsi="Arial"/>
                <w:sz w:val="18"/>
                <w:szCs w:val="18"/>
                <w:b w:val="1"/>
                <w:bCs w:val="1"/>
                <w:color w:val="auto"/>
                <w:w w:val="98"/>
              </w:rPr>
              <w:t>May 3,</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center"/>
              <w:ind w:left="357"/>
              <w:spacing w:after="0" w:line="205" w:lineRule="exact"/>
              <w:rPr>
                <w:sz w:val="20"/>
                <w:szCs w:val="20"/>
                <w:color w:val="auto"/>
              </w:rPr>
            </w:pPr>
            <w:r>
              <w:rPr>
                <w:rFonts w:ascii="Arial" w:cs="Arial" w:eastAsia="Arial" w:hAnsi="Arial"/>
                <w:sz w:val="18"/>
                <w:szCs w:val="18"/>
                <w:b w:val="1"/>
                <w:bCs w:val="1"/>
                <w:color w:val="auto"/>
                <w:w w:val="94"/>
              </w:rPr>
              <w:t>May 4,</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56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5500" w:type="dxa"/>
            <w:vAlign w:val="bottom"/>
            <w:gridSpan w:val="3"/>
          </w:tcPr>
          <w:p>
            <w:pPr>
              <w:jc w:val="center"/>
              <w:ind w:left="4810"/>
              <w:spacing w:after="0"/>
              <w:rPr>
                <w:sz w:val="20"/>
                <w:szCs w:val="20"/>
                <w:color w:val="auto"/>
              </w:rPr>
            </w:pPr>
            <w:r>
              <w:rPr>
                <w:rFonts w:ascii="Arial" w:cs="Arial" w:eastAsia="Arial" w:hAnsi="Arial"/>
                <w:sz w:val="18"/>
                <w:szCs w:val="18"/>
                <w:b w:val="1"/>
                <w:bCs w:val="1"/>
                <w:color w:val="auto"/>
                <w:w w:val="89"/>
              </w:rPr>
              <w:t>2014</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89"/>
              </w:rPr>
              <w:t>2013</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Athletic Stores</w:t>
            </w:r>
          </w:p>
        </w:tc>
        <w:tc>
          <w:tcPr>
            <w:tcW w:w="4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1,657</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97"/>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Direct-to-Customers</w:t>
            </w: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9"/>
                <w:szCs w:val="19"/>
                <w:color w:val="auto"/>
              </w:rPr>
            </w:pPr>
          </w:p>
        </w:tc>
      </w:tr>
      <w:tr>
        <w:trPr>
          <w:trHeight w:val="223"/>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sales</w:t>
            </w:r>
          </w:p>
        </w:tc>
        <w:tc>
          <w:tcPr>
            <w:tcW w:w="4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1,868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97"/>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1,638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3560" w:type="dxa"/>
            <w:vAlign w:val="bottom"/>
          </w:tcPr>
          <w:p>
            <w:pPr>
              <w:spacing w:after="0"/>
              <w:rPr>
                <w:sz w:val="24"/>
                <w:szCs w:val="24"/>
                <w:color w:val="auto"/>
              </w:rPr>
            </w:pPr>
          </w:p>
        </w:tc>
        <w:tc>
          <w:tcPr>
            <w:tcW w:w="5500" w:type="dxa"/>
            <w:vAlign w:val="bottom"/>
            <w:gridSpan w:val="3"/>
          </w:tcPr>
          <w:p>
            <w:pPr>
              <w:jc w:val="right"/>
              <w:ind w:right="2550"/>
              <w:spacing w:after="0"/>
              <w:rPr>
                <w:sz w:val="20"/>
                <w:szCs w:val="20"/>
                <w:color w:val="auto"/>
              </w:rPr>
            </w:pPr>
            <w:r>
              <w:rPr>
                <w:rFonts w:ascii="Arial" w:cs="Arial" w:eastAsia="Arial" w:hAnsi="Arial"/>
                <w:sz w:val="18"/>
                <w:szCs w:val="18"/>
                <w:b w:val="1"/>
                <w:bCs w:val="1"/>
                <w:color w:val="auto"/>
              </w:rPr>
              <w:t>Operating Results</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35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tcBorders>
              <w:bottom w:val="single" w:sz="8" w:color="auto"/>
            </w:tcBorders>
            <w:gridSpan w:val="5"/>
          </w:tcPr>
          <w:p>
            <w:pPr>
              <w:jc w:val="right"/>
              <w:ind w:right="317"/>
              <w:spacing w:after="0"/>
              <w:rPr>
                <w:sz w:val="20"/>
                <w:szCs w:val="20"/>
                <w:color w:val="auto"/>
              </w:rPr>
            </w:pPr>
            <w:r>
              <w:rPr>
                <w:rFonts w:ascii="Arial" w:cs="Arial" w:eastAsia="Arial" w:hAnsi="Arial"/>
                <w:sz w:val="18"/>
                <w:szCs w:val="18"/>
                <w:b w:val="1"/>
                <w:bCs w:val="1"/>
                <w:color w:val="auto"/>
              </w:rPr>
              <w:t>Thirteen weeks ended</w:t>
            </w: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5"/>
        </w:trPr>
        <w:tc>
          <w:tcPr>
            <w:tcW w:w="35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center"/>
              <w:ind w:left="350"/>
              <w:spacing w:after="0" w:line="205" w:lineRule="exact"/>
              <w:rPr>
                <w:sz w:val="20"/>
                <w:szCs w:val="20"/>
                <w:color w:val="auto"/>
              </w:rPr>
            </w:pPr>
            <w:r>
              <w:rPr>
                <w:rFonts w:ascii="Arial" w:cs="Arial" w:eastAsia="Arial" w:hAnsi="Arial"/>
                <w:sz w:val="18"/>
                <w:szCs w:val="18"/>
                <w:b w:val="1"/>
                <w:bCs w:val="1"/>
                <w:color w:val="auto"/>
                <w:w w:val="98"/>
              </w:rPr>
              <w:t>May 3,</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center"/>
              <w:ind w:left="357"/>
              <w:spacing w:after="0" w:line="205" w:lineRule="exact"/>
              <w:rPr>
                <w:sz w:val="20"/>
                <w:szCs w:val="20"/>
                <w:color w:val="auto"/>
              </w:rPr>
            </w:pPr>
            <w:r>
              <w:rPr>
                <w:rFonts w:ascii="Arial" w:cs="Arial" w:eastAsia="Arial" w:hAnsi="Arial"/>
                <w:sz w:val="18"/>
                <w:szCs w:val="18"/>
                <w:b w:val="1"/>
                <w:bCs w:val="1"/>
                <w:color w:val="auto"/>
                <w:w w:val="94"/>
              </w:rPr>
              <w:t>May 4,</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56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5500" w:type="dxa"/>
            <w:vAlign w:val="bottom"/>
            <w:gridSpan w:val="3"/>
          </w:tcPr>
          <w:p>
            <w:pPr>
              <w:jc w:val="center"/>
              <w:ind w:left="4810"/>
              <w:spacing w:after="0"/>
              <w:rPr>
                <w:sz w:val="20"/>
                <w:szCs w:val="20"/>
                <w:color w:val="auto"/>
              </w:rPr>
            </w:pPr>
            <w:r>
              <w:rPr>
                <w:rFonts w:ascii="Arial" w:cs="Arial" w:eastAsia="Arial" w:hAnsi="Arial"/>
                <w:sz w:val="18"/>
                <w:szCs w:val="18"/>
                <w:b w:val="1"/>
                <w:bCs w:val="1"/>
                <w:color w:val="auto"/>
                <w:w w:val="89"/>
              </w:rPr>
              <w:t>2014</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89"/>
              </w:rPr>
              <w:t>2013</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Athletic Stores</w:t>
            </w:r>
          </w:p>
        </w:tc>
        <w:tc>
          <w:tcPr>
            <w:tcW w:w="4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97"/>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Direct-to-Customers</w:t>
            </w: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Division profit</w:t>
            </w:r>
          </w:p>
        </w:tc>
        <w:tc>
          <w:tcPr>
            <w:tcW w:w="4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Less: Corporate expense, net</w:t>
            </w: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Interest expense, net</w:t>
            </w:r>
          </w:p>
        </w:tc>
        <w:tc>
          <w:tcPr>
            <w:tcW w:w="4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r>
      <w:tr>
        <w:trPr>
          <w:trHeight w:val="270"/>
        </w:trPr>
        <w:tc>
          <w:tcPr>
            <w:tcW w:w="356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Other income </w:t>
            </w:r>
            <w:r>
              <w:rPr>
                <w:rFonts w:ascii="Arial" w:cs="Arial" w:eastAsia="Arial" w:hAnsi="Arial"/>
                <w:sz w:val="30"/>
                <w:szCs w:val="30"/>
                <w:color w:val="auto"/>
                <w:vertAlign w:val="superscript"/>
              </w:rPr>
              <w:t>(1)</w:t>
            </w:r>
          </w:p>
        </w:tc>
        <w:tc>
          <w:tcPr>
            <w:tcW w:w="4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3"/>
                <w:szCs w:val="23"/>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440" w:type="dxa"/>
            <w:vAlign w:val="bottom"/>
            <w:gridSpan w:val="2"/>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897"/>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line="194" w:lineRule="auto"/>
        <w:tabs>
          <w:tab w:leader="none" w:pos="46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Other income includes non-operating items, such as lease termination gains, royalty income, and the changes in fair value, premiums paid and realized gains associated with foreign currency option contracts.</w:t>
      </w:r>
    </w:p>
    <w:p>
      <w:pPr>
        <w:spacing w:after="0" w:line="198"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 and Other Intangible Assets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Annually during the first quarter, or more frequently if impairment indicators arise, the Company reviews goodwill and intangible assets with indefinite lives for impairment. The annual review of goodwill performed during the first quarter of 2014 did not result in impairment charges as the fair value of each of the reporting units substantially exceeded its carrying value. During the first quarter of 2014, the Company recorded a non-cash impairment charge of $1 million to fully write-down the remaining value of the tradename related to the Company’s stores in the Republic of Ireland, reflecting historical and projected underperformance. No such impairment charges were recorded in the corresponding prior-year period.</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acquisition of the Runners Point Group during the second quarter of 2013, the Company recorded $18 million of goodwill, which was allocated to the segments based upon their relative fair values. Accordingly, $3 million and $15 million was allocated to the Athletic Stores and Direct-to-Customers segments,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w w:val="93"/>
              </w:rPr>
              <w:t>The following table provides a summary of goodwill by reportable segment:</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May 3,</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b w:val="1"/>
                <w:bCs w:val="1"/>
                <w:color w:val="auto"/>
              </w:rPr>
              <w:t>May 4,</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February 1,</w:t>
            </w:r>
          </w:p>
        </w:tc>
        <w:tc>
          <w:tcPr>
            <w:tcW w:w="0" w:type="dxa"/>
            <w:vAlign w:val="bottom"/>
          </w:tcPr>
          <w:p>
            <w:pPr>
              <w:spacing w:after="0"/>
              <w:rPr>
                <w:sz w:val="1"/>
                <w:szCs w:val="1"/>
                <w:color w:val="auto"/>
              </w:rPr>
            </w:pPr>
          </w:p>
        </w:tc>
      </w:tr>
      <w:tr>
        <w:trPr>
          <w:trHeight w:val="234"/>
        </w:trPr>
        <w:tc>
          <w:tcPr>
            <w:tcW w:w="5580" w:type="dxa"/>
            <w:vAlign w:val="bottom"/>
          </w:tcPr>
          <w:p>
            <w:pPr>
              <w:spacing w:after="0"/>
              <w:rPr>
                <w:sz w:val="20"/>
                <w:szCs w:val="20"/>
                <w:color w:val="auto"/>
              </w:rPr>
            </w:pPr>
            <w:r>
              <w:rPr>
                <w:rFonts w:ascii="Arial" w:cs="Arial" w:eastAsia="Arial" w:hAnsi="Arial"/>
                <w:sz w:val="18"/>
                <w:szCs w:val="18"/>
                <w:b w:val="1"/>
                <w:bCs w:val="1"/>
                <w:color w:val="auto"/>
              </w:rPr>
              <w:t>Goodwill (in millions)</w:t>
            </w:r>
          </w:p>
        </w:tc>
        <w:tc>
          <w:tcPr>
            <w:tcW w:w="172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2014</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97"/>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Athletic Stores</w:t>
            </w: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3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Direct-to-Customers</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142</w:t>
            </w:r>
          </w:p>
        </w:tc>
        <w:tc>
          <w:tcPr>
            <w:tcW w:w="1100" w:type="dxa"/>
            <w:vAlign w:val="bottom"/>
          </w:tcPr>
          <w:p>
            <w:pPr>
              <w:spacing w:after="0"/>
              <w:rPr>
                <w:sz w:val="19"/>
                <w:szCs w:val="19"/>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55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3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80" w:type="dxa"/>
            <w:vAlign w:val="bottom"/>
            <w:vMerge w:val="restart"/>
          </w:tcPr>
          <w:p>
            <w:pPr>
              <w:jc w:val="right"/>
              <w:ind w:right="11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 and Other Intangible Assets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finite-lived intangible assets and intangible assets not subject to amortization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May 3, 2014</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7"/>
              </w:rPr>
              <w:t>May 4, 2013</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February 1, 2014</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99"/>
              <w:spacing w:after="0" w:line="129" w:lineRule="exact"/>
              <w:rPr>
                <w:sz w:val="20"/>
                <w:szCs w:val="20"/>
                <w:color w:val="auto"/>
              </w:rPr>
            </w:pPr>
            <w:r>
              <w:rPr>
                <w:rFonts w:ascii="Arial" w:cs="Arial" w:eastAsia="Arial" w:hAnsi="Arial"/>
                <w:sz w:val="14"/>
                <w:szCs w:val="14"/>
                <w:b w:val="1"/>
                <w:bCs w:val="1"/>
                <w:color w:val="auto"/>
                <w:w w:val="90"/>
              </w:rPr>
              <w:t>Accum.</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48"/>
              <w:spacing w:after="0" w:line="129" w:lineRule="exact"/>
              <w:rPr>
                <w:sz w:val="20"/>
                <w:szCs w:val="20"/>
                <w:color w:val="auto"/>
              </w:rPr>
            </w:pPr>
            <w:r>
              <w:rPr>
                <w:rFonts w:ascii="Arial" w:cs="Arial" w:eastAsia="Arial" w:hAnsi="Arial"/>
                <w:sz w:val="14"/>
                <w:szCs w:val="14"/>
                <w:b w:val="1"/>
                <w:bCs w:val="1"/>
                <w:color w:val="auto"/>
                <w:w w:val="90"/>
              </w:rPr>
              <w:t>Accum.</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center"/>
              <w:ind w:right="48"/>
              <w:spacing w:after="0" w:line="129" w:lineRule="exact"/>
              <w:rPr>
                <w:sz w:val="20"/>
                <w:szCs w:val="20"/>
                <w:color w:val="auto"/>
              </w:rPr>
            </w:pPr>
            <w:r>
              <w:rPr>
                <w:rFonts w:ascii="Arial" w:cs="Arial" w:eastAsia="Arial" w:hAnsi="Arial"/>
                <w:sz w:val="14"/>
                <w:szCs w:val="14"/>
                <w:b w:val="1"/>
                <w:bCs w:val="1"/>
                <w:color w:val="auto"/>
                <w:w w:val="88"/>
              </w:rPr>
              <w:t>Net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68"/>
              <w:spacing w:after="0" w:line="129" w:lineRule="exact"/>
              <w:rPr>
                <w:sz w:val="20"/>
                <w:szCs w:val="20"/>
                <w:color w:val="auto"/>
              </w:rPr>
            </w:pPr>
            <w:r>
              <w:rPr>
                <w:rFonts w:ascii="Arial" w:cs="Arial" w:eastAsia="Arial" w:hAnsi="Arial"/>
                <w:sz w:val="14"/>
                <w:szCs w:val="14"/>
                <w:b w:val="1"/>
                <w:bCs w:val="1"/>
                <w:color w:val="auto"/>
                <w:w w:val="98"/>
              </w:rPr>
              <w:t>Gross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79"/>
              <w:spacing w:after="0" w:line="129" w:lineRule="exact"/>
              <w:rPr>
                <w:sz w:val="20"/>
                <w:szCs w:val="20"/>
                <w:color w:val="auto"/>
              </w:rPr>
            </w:pPr>
            <w:r>
              <w:rPr>
                <w:rFonts w:ascii="Arial" w:cs="Arial" w:eastAsia="Arial" w:hAnsi="Arial"/>
                <w:sz w:val="14"/>
                <w:szCs w:val="14"/>
                <w:b w:val="1"/>
                <w:bCs w:val="1"/>
                <w:color w:val="auto"/>
                <w:w w:val="94"/>
              </w:rPr>
              <w:t>Accum.</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68"/>
              <w:spacing w:after="0" w:line="129" w:lineRule="exact"/>
              <w:rPr>
                <w:sz w:val="20"/>
                <w:szCs w:val="20"/>
                <w:color w:val="auto"/>
              </w:rPr>
            </w:pPr>
            <w:r>
              <w:rPr>
                <w:rFonts w:ascii="Arial" w:cs="Arial" w:eastAsia="Arial" w:hAnsi="Arial"/>
                <w:sz w:val="14"/>
                <w:szCs w:val="14"/>
                <w:b w:val="1"/>
                <w:bCs w:val="1"/>
                <w:color w:val="auto"/>
                <w:w w:val="97"/>
              </w:rPr>
              <w:t>Net</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center"/>
              <w:ind w:right="199"/>
              <w:spacing w:after="0"/>
              <w:rPr>
                <w:sz w:val="20"/>
                <w:szCs w:val="20"/>
                <w:color w:val="auto"/>
              </w:rPr>
            </w:pPr>
            <w:r>
              <w:rPr>
                <w:rFonts w:ascii="Arial" w:cs="Arial" w:eastAsia="Arial" w:hAnsi="Arial"/>
                <w:sz w:val="14"/>
                <w:szCs w:val="14"/>
                <w:b w:val="1"/>
                <w:bCs w:val="1"/>
                <w:color w:val="auto"/>
                <w:w w:val="98"/>
              </w:rPr>
              <w:t>amort.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2"/>
                <w:szCs w:val="12"/>
                <w:b w:val="1"/>
                <w:bCs w:val="1"/>
                <w:color w:val="auto"/>
                <w:w w:val="81"/>
              </w:rPr>
              <w:t>(1)</w:t>
            </w:r>
          </w:p>
        </w:tc>
        <w:tc>
          <w:tcPr>
            <w:tcW w:w="200" w:type="dxa"/>
            <w:vAlign w:val="bottom"/>
            <w:gridSpan w:val="2"/>
            <w:vMerge w:val="restart"/>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restart"/>
          </w:tcPr>
          <w:p>
            <w:pPr>
              <w:jc w:val="center"/>
              <w:ind w:right="148"/>
              <w:spacing w:after="0"/>
              <w:rPr>
                <w:sz w:val="20"/>
                <w:szCs w:val="20"/>
                <w:color w:val="auto"/>
              </w:rPr>
            </w:pPr>
            <w:r>
              <w:rPr>
                <w:rFonts w:ascii="Arial" w:cs="Arial" w:eastAsia="Arial" w:hAnsi="Arial"/>
                <w:sz w:val="14"/>
                <w:szCs w:val="14"/>
                <w:b w:val="1"/>
                <w:bCs w:val="1"/>
                <w:color w:val="auto"/>
                <w:w w:val="98"/>
              </w:rPr>
              <w:t>amort.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1"/>
                <w:szCs w:val="11"/>
                <w:color w:val="auto"/>
              </w:rPr>
            </w:pPr>
          </w:p>
        </w:tc>
        <w:tc>
          <w:tcPr>
            <w:tcW w:w="5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79"/>
              <w:spacing w:after="0"/>
              <w:rPr>
                <w:sz w:val="20"/>
                <w:szCs w:val="20"/>
                <w:color w:val="auto"/>
              </w:rPr>
            </w:pPr>
            <w:r>
              <w:rPr>
                <w:rFonts w:ascii="Arial" w:cs="Arial" w:eastAsia="Arial" w:hAnsi="Arial"/>
                <w:sz w:val="14"/>
                <w:szCs w:val="14"/>
                <w:b w:val="1"/>
                <w:bCs w:val="1"/>
                <w:color w:val="auto"/>
                <w:w w:val="93"/>
              </w:rPr>
              <w:t>amort.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48"/>
        </w:trPr>
        <w:tc>
          <w:tcPr>
            <w:tcW w:w="334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i w:val="1"/>
                <w:iCs w:val="1"/>
                <w:color w:val="auto"/>
              </w:rPr>
              <w:t>Amortized intangible assets:</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Lease acquisition costs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159</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(142)</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152</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(131)</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155</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(137)</w:t>
            </w:r>
          </w:p>
        </w:tc>
        <w:tc>
          <w:tcPr>
            <w:tcW w:w="120" w:type="dxa"/>
            <w:vAlign w:val="bottom"/>
            <w:gridSpan w:val="2"/>
          </w:tcPr>
          <w:p>
            <w:pPr>
              <w:jc w:val="right"/>
              <w:ind w:right="34"/>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Trademarks</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(11)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Favorable leases</w:t>
            </w: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Customer relationships</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(21)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209</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(178</w:t>
            </w:r>
          </w:p>
        </w:tc>
        <w:tc>
          <w:tcPr>
            <w:tcW w:w="140" w:type="dxa"/>
            <w:vAlign w:val="bottom"/>
            <w:tcBorders>
              <w:bottom w:val="single" w:sz="8" w:color="CCEEFF"/>
            </w:tcBorders>
          </w:tcPr>
          <w:p>
            <w:pPr>
              <w:jc w:val="right"/>
              <w:ind w:right="59"/>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31</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198</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(164</w:t>
            </w:r>
          </w:p>
        </w:tc>
        <w:tc>
          <w:tcPr>
            <w:tcW w:w="140" w:type="dxa"/>
            <w:vAlign w:val="bottom"/>
            <w:tcBorders>
              <w:bottom w:val="single" w:sz="8" w:color="CCEEFF"/>
            </w:tcBorders>
          </w:tcPr>
          <w:p>
            <w:pPr>
              <w:jc w:val="right"/>
              <w:ind w:right="8"/>
              <w:spacing w:after="0" w:line="142" w:lineRule="exact"/>
              <w:rPr>
                <w:sz w:val="20"/>
                <w:szCs w:val="20"/>
                <w:color w:val="auto"/>
              </w:rPr>
            </w:pPr>
            <w:r>
              <w:rPr>
                <w:rFonts w:ascii="Arial" w:cs="Arial" w:eastAsia="Arial" w:hAnsi="Arial"/>
                <w:sz w:val="14"/>
                <w:szCs w:val="14"/>
                <w:color w:val="auto"/>
                <w:w w:val="84"/>
              </w:rPr>
              <w:t>)</w:t>
            </w: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205</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(172</w:t>
            </w:r>
          </w:p>
        </w:tc>
        <w:tc>
          <w:tcPr>
            <w:tcW w:w="220" w:type="dxa"/>
            <w:vAlign w:val="bottom"/>
            <w:tcBorders>
              <w:bottom w:val="single" w:sz="8" w:color="CCEEFF"/>
            </w:tcBorders>
          </w:tcPr>
          <w:p>
            <w:pPr>
              <w:jc w:val="right"/>
              <w:ind w:right="139"/>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Indefinite life intangible assets: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Runners Point Group trademarks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Other trademarks </w:t>
            </w:r>
            <w:r>
              <w:rPr>
                <w:rFonts w:ascii="Arial" w:cs="Arial" w:eastAsia="Arial" w:hAnsi="Arial"/>
                <w:sz w:val="21"/>
                <w:szCs w:val="21"/>
                <w:color w:val="auto"/>
                <w:vertAlign w:val="superscript"/>
              </w:rPr>
              <w:t>(2)</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34</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Other intangible assets, net</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65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ind w:right="34"/>
              <w:spacing w:after="0"/>
              <w:rPr>
                <w:sz w:val="20"/>
                <w:szCs w:val="20"/>
                <w:color w:val="auto"/>
              </w:rPr>
            </w:pPr>
            <w:r>
              <w:rPr>
                <w:rFonts w:ascii="Arial" w:cs="Arial" w:eastAsia="Arial" w:hAnsi="Arial"/>
                <w:sz w:val="5"/>
                <w:szCs w:val="5"/>
                <w:b w:val="1"/>
                <w:bCs w:val="1"/>
                <w:color w:val="auto"/>
                <w:w w:val="70"/>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67</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the effect of foreign currency translation related primarily to the movements of the euro in relation to the U.S. dollar.</w:t>
      </w:r>
    </w:p>
    <w:p>
      <w:pPr>
        <w:spacing w:after="0" w:line="23" w:lineRule="exact"/>
        <w:rPr>
          <w:rFonts w:ascii="Arial" w:cs="Arial" w:eastAsia="Arial" w:hAnsi="Arial"/>
          <w:sz w:val="18"/>
          <w:szCs w:val="18"/>
          <w:color w:val="auto"/>
        </w:rPr>
      </w:pPr>
    </w:p>
    <w:p>
      <w:pPr>
        <w:ind w:left="340" w:right="20" w:hanging="332"/>
        <w:spacing w:after="0" w:line="26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accumulated impairment charge related to other trademarks is $25 million; including $1 million recorded during the thirteen-week period ended May 3, 2014, for the impairment of the tradename related to the Company’s stores in the Republic of Ireland.</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thirteen-week period ended May 3, 2014, activity included amortization of $2 million, $1 million related to the impairment charge noted above, partially offset by an increase of $1 million related to foreign exchange fluctuations. The change from the prior year primarily reflects the acquisition of the Runners Point Group.</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80" w:type="dxa"/>
            <w:vAlign w:val="bottom"/>
            <w:tcBorders>
              <w:bottom w:val="single" w:sz="8" w:color="auto"/>
            </w:tcBorders>
            <w:gridSpan w:val="6"/>
          </w:tcPr>
          <w:p>
            <w:pPr>
              <w:jc w:val="center"/>
              <w:ind w:left="350"/>
              <w:spacing w:after="0"/>
              <w:rPr>
                <w:sz w:val="20"/>
                <w:szCs w:val="20"/>
                <w:color w:val="auto"/>
              </w:rPr>
            </w:pPr>
            <w:r>
              <w:rPr>
                <w:rFonts w:ascii="Arial" w:cs="Arial" w:eastAsia="Arial" w:hAnsi="Arial"/>
                <w:sz w:val="18"/>
                <w:szCs w:val="18"/>
                <w:b w:val="1"/>
                <w:bCs w:val="1"/>
                <w:color w:val="auto"/>
                <w:w w:val="89"/>
              </w:rPr>
              <w:t>Thirteen weeks ended</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30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left="190"/>
              <w:spacing w:after="0" w:line="205" w:lineRule="exact"/>
              <w:rPr>
                <w:sz w:val="20"/>
                <w:szCs w:val="20"/>
                <w:color w:val="auto"/>
              </w:rPr>
            </w:pPr>
            <w:r>
              <w:rPr>
                <w:rFonts w:ascii="Arial" w:cs="Arial" w:eastAsia="Arial" w:hAnsi="Arial"/>
                <w:sz w:val="18"/>
                <w:szCs w:val="18"/>
                <w:b w:val="1"/>
                <w:bCs w:val="1"/>
                <w:color w:val="auto"/>
                <w:w w:val="98"/>
              </w:rPr>
              <w:t>May 3,</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ind w:left="350"/>
              <w:spacing w:after="0" w:line="205" w:lineRule="exact"/>
              <w:rPr>
                <w:sz w:val="20"/>
                <w:szCs w:val="20"/>
                <w:color w:val="auto"/>
              </w:rPr>
            </w:pPr>
            <w:r>
              <w:rPr>
                <w:rFonts w:ascii="Arial" w:cs="Arial" w:eastAsia="Arial" w:hAnsi="Arial"/>
                <w:sz w:val="18"/>
                <w:szCs w:val="18"/>
                <w:b w:val="1"/>
                <w:bCs w:val="1"/>
                <w:color w:val="auto"/>
                <w:w w:val="94"/>
              </w:rPr>
              <w:t>May 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(in millions)</w:t>
            </w: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7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8000" w:type="dxa"/>
            <w:vAlign w:val="bottom"/>
            <w:gridSpan w:val="3"/>
          </w:tcPr>
          <w:p>
            <w:pPr>
              <w:spacing w:after="0"/>
              <w:rPr>
                <w:sz w:val="20"/>
                <w:szCs w:val="20"/>
                <w:color w:val="auto"/>
              </w:rPr>
            </w:pPr>
            <w:r>
              <w:rPr>
                <w:rFonts w:ascii="Arial" w:cs="Arial" w:eastAsia="Arial" w:hAnsi="Arial"/>
                <w:sz w:val="18"/>
                <w:szCs w:val="18"/>
                <w:color w:val="auto"/>
              </w:rPr>
              <w:t>Future expected amortization expense for finite life intangible assets is estimated as follows:</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300" w:type="dxa"/>
            <w:vAlign w:val="bottom"/>
          </w:tcPr>
          <w:p>
            <w:pPr>
              <w:spacing w:after="0"/>
              <w:rPr>
                <w:sz w:val="24"/>
                <w:szCs w:val="24"/>
                <w:color w:val="auto"/>
              </w:rPr>
            </w:pPr>
          </w:p>
        </w:tc>
        <w:tc>
          <w:tcPr>
            <w:tcW w:w="74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8"/>
              </w:rPr>
              <w:t>(in millions)</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0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2014</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4"/>
        </w:trPr>
        <w:tc>
          <w:tcPr>
            <w:tcW w:w="7780" w:type="dxa"/>
            <w:vAlign w:val="bottom"/>
            <w:tcBorders>
              <w:bottom w:val="single" w:sz="8" w:color="auto"/>
            </w:tcBorders>
            <w:gridSpan w:val="2"/>
          </w:tcPr>
          <w:p>
            <w:pPr>
              <w:jc w:val="right"/>
              <w:ind w:right="1930"/>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4"/>
          </w:tcPr>
          <w:p>
            <w:pPr>
              <w:spacing w:after="0"/>
              <w:rPr>
                <w:sz w:val="20"/>
                <w:szCs w:val="20"/>
                <w:color w:val="auto"/>
              </w:rPr>
            </w:pPr>
            <w:r>
              <w:rPr>
                <w:rFonts w:ascii="Arial" w:cs="Arial" w:eastAsia="Arial" w:hAnsi="Arial"/>
                <w:sz w:val="18"/>
                <w:szCs w:val="18"/>
                <w:b w:val="1"/>
                <w:bCs w:val="1"/>
                <w:color w:val="auto"/>
              </w:rPr>
              <w:t>4. Accumulated Other Comprehensive Loss</w:t>
            </w: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180" w:type="dxa"/>
            <w:vAlign w:val="bottom"/>
            <w:gridSpan w:val="4"/>
          </w:tcPr>
          <w:p>
            <w:pPr>
              <w:spacing w:after="0"/>
              <w:rPr>
                <w:sz w:val="20"/>
                <w:szCs w:val="20"/>
                <w:color w:val="auto"/>
              </w:rPr>
            </w:pPr>
            <w:r>
              <w:rPr>
                <w:rFonts w:ascii="Arial" w:cs="Arial" w:eastAsia="Arial" w:hAnsi="Arial"/>
                <w:sz w:val="18"/>
                <w:szCs w:val="18"/>
                <w:color w:val="auto"/>
              </w:rPr>
              <w:t>Accumulated other comprehensive loss comprised the following:</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May 3,</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May 4,</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February 1,</w:t>
            </w:r>
          </w:p>
        </w:tc>
      </w:tr>
      <w:tr>
        <w:trPr>
          <w:trHeight w:val="234"/>
        </w:trPr>
        <w:tc>
          <w:tcPr>
            <w:tcW w:w="6180" w:type="dxa"/>
            <w:vAlign w:val="bottom"/>
            <w:gridSpan w:val="4"/>
          </w:tcPr>
          <w:p>
            <w:pPr>
              <w:spacing w:after="0"/>
              <w:rPr>
                <w:sz w:val="20"/>
                <w:szCs w:val="20"/>
                <w:color w:val="auto"/>
              </w:rPr>
            </w:pPr>
            <w:r>
              <w:rPr>
                <w:rFonts w:ascii="Arial" w:cs="Arial" w:eastAsia="Arial" w:hAnsi="Arial"/>
                <w:sz w:val="18"/>
                <w:szCs w:val="18"/>
                <w:b w:val="1"/>
                <w:bCs w:val="1"/>
                <w:color w:val="auto"/>
              </w:rPr>
              <w:t>(in millions)</w:t>
            </w: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77"/>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59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1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gridSpan w:val="4"/>
          </w:tcPr>
          <w:p>
            <w:pPr>
              <w:spacing w:after="0"/>
              <w:rPr>
                <w:sz w:val="20"/>
                <w:szCs w:val="20"/>
                <w:color w:val="auto"/>
              </w:rPr>
            </w:pPr>
            <w:r>
              <w:rPr>
                <w:rFonts w:ascii="Arial" w:cs="Arial" w:eastAsia="Arial" w:hAnsi="Arial"/>
                <w:sz w:val="18"/>
                <w:szCs w:val="18"/>
                <w:color w:val="auto"/>
              </w:rPr>
              <w:t>Cash flow hedges</w:t>
            </w:r>
          </w:p>
        </w:tc>
        <w:tc>
          <w:tcPr>
            <w:tcW w:w="1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Unrecognized pension cost and postretirement benefit</w:t>
            </w:r>
          </w:p>
        </w:tc>
        <w:tc>
          <w:tcPr>
            <w:tcW w:w="1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1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6180" w:type="dxa"/>
            <w:vAlign w:val="bottom"/>
            <w:gridSpan w:val="4"/>
          </w:tcPr>
          <w:p>
            <w:pPr>
              <w:spacing w:after="0"/>
              <w:rPr>
                <w:sz w:val="20"/>
                <w:szCs w:val="20"/>
                <w:color w:val="auto"/>
              </w:rPr>
            </w:pPr>
            <w:r>
              <w:rPr>
                <w:rFonts w:ascii="Arial" w:cs="Arial" w:eastAsia="Arial" w:hAnsi="Arial"/>
                <w:sz w:val="18"/>
                <w:szCs w:val="18"/>
                <w:color w:val="auto"/>
              </w:rPr>
              <w:t>Unrealized loss on available-for-sale security</w:t>
            </w:r>
          </w:p>
        </w:tc>
        <w:tc>
          <w:tcPr>
            <w:tcW w:w="1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8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160" w:type="dxa"/>
            <w:vAlign w:val="bottom"/>
            <w:tcBorders>
              <w:top w:val="single" w:sz="8" w:color="CCEEFF"/>
              <w:bottom w:val="single" w:sz="8" w:color="CCEEFF"/>
            </w:tcBorders>
            <w:shd w:val="clear" w:color="auto" w:fill="CCEEFF"/>
          </w:tcPr>
          <w:p>
            <w:pPr>
              <w:spacing w:after="0"/>
              <w:rPr>
                <w:sz w:val="19"/>
                <w:szCs w:val="19"/>
                <w:color w:val="auto"/>
              </w:rPr>
            </w:pPr>
          </w:p>
        </w:tc>
        <w:tc>
          <w:tcPr>
            <w:tcW w:w="26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60" w:type="dxa"/>
            <w:vAlign w:val="bottom"/>
            <w:tcBorders>
              <w:top w:val="single" w:sz="8" w:color="CCEEFF"/>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080" w:type="dxa"/>
            <w:vAlign w:val="bottom"/>
            <w:tcBorders>
              <w:top w:val="single" w:sz="8" w:color="auto"/>
              <w:bottom w:val="single" w:sz="8" w:color="auto"/>
            </w:tcBorders>
            <w:shd w:val="clear" w:color="auto" w:fill="CCEEFF"/>
          </w:tcPr>
          <w:p>
            <w:pPr>
              <w:jc w:val="right"/>
              <w:ind w:right="91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loss for the thirteen weeks ended May 3, 2014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Foreign</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Items related</w:t>
            </w: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2"/>
              </w:rPr>
              <w:t>loss 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currency</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to pension and</w:t>
            </w:r>
          </w:p>
        </w:tc>
        <w:tc>
          <w:tcPr>
            <w:tcW w:w="12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available-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translation</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Cash flow</w:t>
            </w: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postretirement</w:t>
            </w:r>
          </w:p>
        </w:tc>
        <w:tc>
          <w:tcPr>
            <w:tcW w:w="12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for-sale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200" w:type="dxa"/>
            <w:vAlign w:val="bottom"/>
          </w:tcPr>
          <w:p>
            <w:pPr>
              <w:spacing w:after="0"/>
              <w:rPr>
                <w:sz w:val="20"/>
                <w:szCs w:val="20"/>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0"/>
              </w:rPr>
              <w:t>adjustments</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hedges</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benefits</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security</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23"/>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February 1, 2014</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top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20" w:type="dxa"/>
            <w:vAlign w:val="bottom"/>
            <w:tcBorders>
              <w:top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Other comprehensive income before reclassification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Amounts reclassified from accumulated other comprehensive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4"/>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1"/>
                <w:szCs w:val="21"/>
                <w:color w:val="auto"/>
              </w:rPr>
            </w:pPr>
          </w:p>
        </w:tc>
      </w:tr>
      <w:tr>
        <w:trPr>
          <w:trHeight w:val="210"/>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2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May 3, 2014</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3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478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8960" w:type="dxa"/>
            <w:vAlign w:val="bottom"/>
            <w:gridSpan w:val="9"/>
          </w:tcPr>
          <w:p>
            <w:pPr>
              <w:spacing w:after="0"/>
              <w:rPr>
                <w:sz w:val="20"/>
                <w:szCs w:val="20"/>
                <w:color w:val="auto"/>
              </w:rPr>
            </w:pPr>
            <w:r>
              <w:rPr>
                <w:rFonts w:ascii="Arial" w:cs="Arial" w:eastAsia="Arial" w:hAnsi="Arial"/>
                <w:sz w:val="18"/>
                <w:szCs w:val="18"/>
                <w:color w:val="auto"/>
                <w:w w:val="92"/>
              </w:rPr>
              <w:t>Reclassifications from accumulated other comprehensive loss for the thirteen weeks ended May 3, 2014 were as follows:</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(gain) loss: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Pension benefits - amortization of actuarial loss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r>
      <w:tr>
        <w:trPr>
          <w:trHeight w:val="23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Postretirement benefits - amortization of actuarial gain</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 xml:space="preserve">Net periodic benefit cost (see </w:t>
            </w:r>
            <w:r>
              <w:rPr>
                <w:rFonts w:ascii="Arial" w:cs="Arial" w:eastAsia="Arial" w:hAnsi="Arial"/>
                <w:sz w:val="18"/>
                <w:szCs w:val="18"/>
                <w:i w:val="1"/>
                <w:iCs w:val="1"/>
                <w:color w:val="auto"/>
              </w:rPr>
              <w:t>Note 8</w:t>
            </w: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Net of tax</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b w:val="1"/>
          <w:bCs w:val="1"/>
          <w:u w:val="single" w:color="auto"/>
          <w:color w:val="auto"/>
        </w:rPr>
        <w:t>Financial Instruments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Company operates internationally and utilizes certain derivative financial instruments to mitigate its foreign currency exposures, primarily related to third-party and intercompany forecasted transactions. As a result of the use of derivative instruments, the Company is exposed to the risk that counterparties will fail to meet their contractual obligations. To mitigate this counterparty credit risk, the Company has a practice of entering into contracts only with major financial institutions selected based upon their credit ratings and other financial factors. The Company monitors the creditworthiness of counterparties throughout the duration of the derivative instrument. Additional information is contained within Note 6, </w:t>
      </w:r>
      <w:r>
        <w:rPr>
          <w:rFonts w:ascii="Arial" w:cs="Arial" w:eastAsia="Arial" w:hAnsi="Arial"/>
          <w:sz w:val="16"/>
          <w:szCs w:val="16"/>
          <w:i w:val="1"/>
          <w:iCs w:val="1"/>
          <w:color w:val="auto"/>
        </w:rPr>
        <w:t>Fair Value Measurements</w:t>
      </w:r>
      <w:r>
        <w:rPr>
          <w:rFonts w:ascii="Arial" w:cs="Arial" w:eastAsia="Arial" w:hAnsi="Arial"/>
          <w:sz w:val="16"/>
          <w:szCs w:val="16"/>
          <w:color w:val="auto"/>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Instruments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Holdings Designated as Hedges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a derivative to qualify as a hedge at inception and throughout the hedged period, the Company formally documents the nature of the hedged items and the relationships between the hedging instruments and the hedged items, as well as its risk-management objectives, strategies for undertaking the various hedge transactions, and the methods of assessing hedge effectiveness and ineffectiveness. In addition, for hedges of forecasted transactions, the significant characteristics and expected terms of a forecasted transaction must be specifically identified, and it must be probable that each forecasted transaction would occur. If it were deemed probable that the forecasted transaction would not occur, the gain or loss on the derivative instrument would be recognized in earnings immediately. No such gains or losses were recognized in earnings for any of the periods presented. Derivative financial instruments qualifying for hedge accounting must maintain a specified level of effectiveness between the hedging instrument and the item being hedged, both at inception and throughout the hedged period, which management evaluates periodically.</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primary currencies to which the Company is exposed are the euro, British pound, Canadian dollar, and Australian dollar. For option and foreign exchange forward contracts designated as cash flow hedges of the purchase of inventory, the effective portion of gains and losses is deferred as a component of Accumulated Other Comprehensive Loss (“AOCL”) and is recognized as a component of cost of sales when the related inventory is sold. The amount reclassified to cost of sales related to such contracts was not significant for any of the periods presented. The effective portion of gains or losses associated with other forward contracts is deferred as a component of AOCL until the underlying transaction is reported in earnings. The ineffective portion of gains and losses related to cash flow hedges recorded to earnings was also not significant for any of the periods presented. When using a forward contract as a hedging instrument, the Company excludes the time value of the contract from the assessment of effectiveness. At each quarter-end, the Company had not hedged forecasted transactions for more than the next twelve months, and the Company expects all derivative-related amounts reported in AOCL to be reclassified to earnings within twelve months. The net change in the fair value of the foreign exchange derivative financial instruments designated as cash flow hedges of the purchase of inventory was a $1 million gain and a $1 million loss for the thirteen weeks ended May 3, 2014 and May 4, 2013,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notional value of the contracts outstanding at May 3, 2014 was $55 million and these contracts extend through January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Holdings Designated as Non-Hedges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enters into foreign exchange forward contracts that are not designated as hedges in order to manage the costs of foreign-currency denominated merchandise purchases and intercompany transactions. Changes in the fair value of these foreign exchange forward contracts are recorded in earnings immediately within selling, general and administrative expenses. The net change in fair value resulted in expense for the thirteen weeks ended May 3, 2014 of $1 million. The net change in fair value was not significant for the prior-year period. The notional value of the contracts outstanding at May 3, 2014 was $37 million and these contracts extend through July 2014.</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mitigates the effect of fluctuating foreign exchange rates on the reporting of foreign-currency denominated earnings by entering into currency option contracts. Changes in the fair value of these foreign currency option contracts, which are designated as non-hedges, are recorded in earnings immediately within other income. The realized gains, premiums paid, and changes in the fair market value recorded were not significant for any of the periods presented. The notional value of the contracts outstanding at May 3, 2014 was $27 million and these contracts extend through July 2014.</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Instruments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Contracts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represents the fair value of the Company’s derivative contracts. Many of the Company’s agreements allow for a netting arrangement. The following is presented on a gross basis, by type of contract: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6"/>
              </w:rPr>
              <w:t>Balance Sheet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3,</w:t>
            </w:r>
          </w:p>
        </w:tc>
        <w:tc>
          <w:tcPr>
            <w:tcW w:w="24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May 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1,</w:t>
            </w:r>
          </w:p>
        </w:tc>
      </w:tr>
      <w:tr>
        <w:trPr>
          <w:trHeight w:val="234"/>
        </w:trPr>
        <w:tc>
          <w:tcPr>
            <w:tcW w:w="5260" w:type="dxa"/>
            <w:vAlign w:val="bottom"/>
            <w:gridSpan w:val="4"/>
          </w:tcPr>
          <w:p>
            <w:pPr>
              <w:spacing w:after="0"/>
              <w:rPr>
                <w:sz w:val="20"/>
                <w:szCs w:val="20"/>
                <w:color w:val="auto"/>
              </w:rPr>
            </w:pPr>
            <w:r>
              <w:rPr>
                <w:rFonts w:ascii="Arial" w:cs="Arial" w:eastAsia="Arial" w:hAnsi="Arial"/>
                <w:sz w:val="18"/>
                <w:szCs w:val="18"/>
                <w:b w:val="1"/>
                <w:bCs w:val="1"/>
                <w:color w:val="auto"/>
              </w:rPr>
              <w:t>(in millions)</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Caption</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50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Hedging Instruments:</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gridSpan w:val="4"/>
          </w:tcPr>
          <w:p>
            <w:pPr>
              <w:spacing w:after="0"/>
              <w:rPr>
                <w:sz w:val="20"/>
                <w:szCs w:val="20"/>
                <w:color w:val="auto"/>
              </w:rPr>
            </w:pPr>
            <w:r>
              <w:rPr>
                <w:rFonts w:ascii="Arial" w:cs="Arial" w:eastAsia="Arial" w:hAnsi="Arial"/>
                <w:sz w:val="18"/>
                <w:szCs w:val="18"/>
                <w:color w:val="auto"/>
              </w:rPr>
              <w:t>Foreign exchange forward contracts</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Current assets</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Foreign exchange forward contracts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Current liabilities</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52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Non-Hedging Instruments: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Foreign exchange forward contracts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Current assets</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gridSpan w:val="4"/>
          </w:tcPr>
          <w:p>
            <w:pPr>
              <w:spacing w:after="0"/>
              <w:rPr>
                <w:sz w:val="20"/>
                <w:szCs w:val="20"/>
                <w:color w:val="auto"/>
              </w:rPr>
            </w:pPr>
            <w:r>
              <w:rPr>
                <w:rFonts w:ascii="Arial" w:cs="Arial" w:eastAsia="Arial" w:hAnsi="Arial"/>
                <w:sz w:val="18"/>
                <w:szCs w:val="18"/>
                <w:color w:val="auto"/>
              </w:rPr>
              <w:t>Foreign exchange forward contracts</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Current liabilities</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377"/>
        </w:trPr>
        <w:tc>
          <w:tcPr>
            <w:tcW w:w="5260" w:type="dxa"/>
            <w:vAlign w:val="bottom"/>
            <w:gridSpan w:val="4"/>
          </w:tcPr>
          <w:p>
            <w:pPr>
              <w:spacing w:after="0"/>
              <w:rPr>
                <w:sz w:val="20"/>
                <w:szCs w:val="20"/>
                <w:color w:val="auto"/>
              </w:rPr>
            </w:pPr>
            <w:r>
              <w:rPr>
                <w:rFonts w:ascii="Arial" w:cs="Arial" w:eastAsia="Arial" w:hAnsi="Arial"/>
                <w:sz w:val="18"/>
                <w:szCs w:val="18"/>
                <w:b w:val="1"/>
                <w:bCs w:val="1"/>
                <w:color w:val="auto"/>
              </w:rPr>
              <w:t>6. Fair Value Measurements</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recorded at fair value are categorized as follows:</w:t>
      </w:r>
    </w:p>
    <w:p>
      <w:pPr>
        <w:spacing w:after="0" w:line="221"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18"/>
          <w:szCs w:val="18"/>
          <w:b w:val="1"/>
          <w:bCs w:val="1"/>
          <w:color w:val="auto"/>
        </w:rPr>
        <w:t>Level 1 –</w:t>
      </w:r>
      <w:r>
        <w:rPr>
          <w:sz w:val="20"/>
          <w:szCs w:val="20"/>
          <w:color w:val="auto"/>
        </w:rPr>
        <w:tab/>
      </w:r>
      <w:r>
        <w:rPr>
          <w:rFonts w:ascii="Arial" w:cs="Arial" w:eastAsia="Arial" w:hAnsi="Arial"/>
          <w:sz w:val="16"/>
          <w:szCs w:val="16"/>
          <w:color w:val="auto"/>
        </w:rPr>
        <w:t>Quoted prices for identical instruments in active markets.</w:t>
      </w:r>
    </w:p>
    <w:p>
      <w:pPr>
        <w:spacing w:after="0" w:line="225" w:lineRule="exact"/>
        <w:rPr>
          <w:sz w:val="20"/>
          <w:szCs w:val="20"/>
          <w:color w:val="auto"/>
        </w:rPr>
      </w:pPr>
    </w:p>
    <w:p>
      <w:pPr>
        <w:ind w:left="1500" w:hanging="836"/>
        <w:spacing w:after="0" w:line="308" w:lineRule="auto"/>
        <w:tabs>
          <w:tab w:leader="none" w:pos="1480" w:val="left"/>
        </w:tabs>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Quoted prices for similar instruments in active markets; quoted prices for identical or similar instruments in markets that are not active; and model-derived valuations in which all significant inputs or significant value-drivers are observable in active markets.</w:t>
      </w:r>
    </w:p>
    <w:p>
      <w:pPr>
        <w:spacing w:after="0" w:line="147"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18"/>
          <w:szCs w:val="18"/>
          <w:b w:val="1"/>
          <w:bCs w:val="1"/>
          <w:color w:val="auto"/>
        </w:rPr>
        <w:t>Level 3 –</w:t>
      </w:r>
      <w:r>
        <w:rPr>
          <w:sz w:val="20"/>
          <w:szCs w:val="20"/>
          <w:color w:val="auto"/>
        </w:rPr>
        <w:tab/>
      </w:r>
      <w:r>
        <w:rPr>
          <w:rFonts w:ascii="Arial" w:cs="Arial" w:eastAsia="Arial" w:hAnsi="Arial"/>
          <w:sz w:val="16"/>
          <w:szCs w:val="16"/>
          <w:color w:val="auto"/>
        </w:rPr>
        <w:t>Model-derived valuations in which one or more significant inputs or significant value-drivers are unobservable.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 summary of the Company’s recognized assets and liabilities that are measured at fair value on a recurring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At May 3, 2014</w:t>
            </w: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7"/>
              </w:rPr>
              <w:t>At May 4, 2013</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At February 1, 2014</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60" w:type="dxa"/>
            <w:vAlign w:val="bottom"/>
            <w:gridSpan w:val="3"/>
            <w:vMerge w:val="continue"/>
          </w:tcPr>
          <w:p>
            <w:pPr>
              <w:spacing w:after="0"/>
              <w:rPr>
                <w:sz w:val="13"/>
                <w:szCs w:val="13"/>
                <w:color w:val="auto"/>
              </w:rPr>
            </w:pPr>
          </w:p>
        </w:tc>
        <w:tc>
          <w:tcPr>
            <w:tcW w:w="58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820" w:type="dxa"/>
            <w:vAlign w:val="bottom"/>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rPr>
              <w:t>Level 2</w:t>
            </w:r>
          </w:p>
        </w:tc>
        <w:tc>
          <w:tcPr>
            <w:tcW w:w="58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3"/>
                <w:szCs w:val="13"/>
                <w:color w:val="auto"/>
              </w:rPr>
            </w:pPr>
          </w:p>
        </w:tc>
        <w:tc>
          <w:tcPr>
            <w:tcW w:w="60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76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2"/>
              </w:rPr>
              <w:t>Level 2</w:t>
            </w:r>
          </w:p>
        </w:tc>
        <w:tc>
          <w:tcPr>
            <w:tcW w:w="20" w:type="dxa"/>
            <w:vAlign w:val="bottom"/>
          </w:tcPr>
          <w:p>
            <w:pPr>
              <w:spacing w:after="0"/>
              <w:rPr>
                <w:sz w:val="13"/>
                <w:szCs w:val="13"/>
                <w:color w:val="auto"/>
              </w:rPr>
            </w:pPr>
          </w:p>
        </w:tc>
        <w:tc>
          <w:tcPr>
            <w:tcW w:w="56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3"/>
                <w:szCs w:val="13"/>
                <w:color w:val="auto"/>
              </w:rPr>
            </w:pPr>
          </w:p>
        </w:tc>
        <w:tc>
          <w:tcPr>
            <w:tcW w:w="68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3"/>
                <w:szCs w:val="13"/>
                <w:color w:val="auto"/>
              </w:rPr>
            </w:pPr>
          </w:p>
        </w:tc>
        <w:tc>
          <w:tcPr>
            <w:tcW w:w="56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Short-term investments</w:t>
            </w:r>
          </w:p>
        </w:tc>
        <w:tc>
          <w:tcPr>
            <w:tcW w:w="260" w:type="dxa"/>
            <w:vAlign w:val="bottom"/>
          </w:tcPr>
          <w:p>
            <w:pPr>
              <w:jc w:val="right"/>
              <w:ind w:right="143"/>
              <w:spacing w:after="0"/>
              <w:rPr>
                <w:sz w:val="20"/>
                <w:szCs w:val="20"/>
                <w:color w:val="auto"/>
              </w:rPr>
            </w:pPr>
            <w:r>
              <w:rPr>
                <w:rFonts w:ascii="Arial" w:cs="Arial" w:eastAsia="Arial" w:hAnsi="Arial"/>
                <w:sz w:val="10"/>
                <w:szCs w:val="10"/>
                <w:color w:val="auto"/>
                <w:w w:val="71"/>
              </w:rPr>
              <w:t>$</w:t>
            </w:r>
          </w:p>
        </w:tc>
        <w:tc>
          <w:tcPr>
            <w:tcW w:w="320" w:type="dxa"/>
            <w:vAlign w:val="bottom"/>
          </w:tcPr>
          <w:p>
            <w:pPr>
              <w:ind w:left="180"/>
              <w:spacing w:after="0" w:line="149" w:lineRule="exact"/>
              <w:rPr>
                <w:sz w:val="20"/>
                <w:szCs w:val="20"/>
                <w:color w:val="auto"/>
              </w:rPr>
            </w:pPr>
            <w:r>
              <w:rPr>
                <w:rFonts w:ascii="Arial" w:cs="Arial" w:eastAsia="Arial" w:hAnsi="Arial"/>
                <w:sz w:val="14"/>
                <w:szCs w:val="14"/>
                <w:color w:val="auto"/>
                <w:w w:val="85"/>
              </w:rPr>
              <w:t>—</w:t>
            </w:r>
          </w:p>
        </w:tc>
        <w:tc>
          <w:tcPr>
            <w:tcW w:w="5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40" w:type="dxa"/>
            <w:vAlign w:val="bottom"/>
          </w:tcPr>
          <w:p>
            <w:pPr>
              <w:spacing w:after="0"/>
              <w:rPr>
                <w:sz w:val="12"/>
                <w:szCs w:val="12"/>
                <w:color w:val="auto"/>
              </w:rPr>
            </w:pP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9"/>
              </w:rPr>
              <w:t>—</w:t>
            </w:r>
          </w:p>
        </w:tc>
        <w:tc>
          <w:tcPr>
            <w:tcW w:w="480" w:type="dxa"/>
            <w:vAlign w:val="bottom"/>
            <w:gridSpan w:val="2"/>
          </w:tcPr>
          <w:p>
            <w:pPr>
              <w:jc w:val="right"/>
              <w:ind w:right="122"/>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w:t>
            </w:r>
          </w:p>
        </w:tc>
        <w:tc>
          <w:tcPr>
            <w:tcW w:w="2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3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Auction rate security</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Foreign exchange forward contracts</w:t>
            </w:r>
          </w:p>
        </w:tc>
        <w:tc>
          <w:tcPr>
            <w:tcW w:w="260" w:type="dxa"/>
            <w:vAlign w:val="bottom"/>
          </w:tcPr>
          <w:p>
            <w:pPr>
              <w:spacing w:after="0"/>
              <w:rPr>
                <w:sz w:val="14"/>
                <w:szCs w:val="14"/>
                <w:color w:val="auto"/>
              </w:rPr>
            </w:pPr>
          </w:p>
        </w:tc>
        <w:tc>
          <w:tcPr>
            <w:tcW w:w="320" w:type="dxa"/>
            <w:vAlign w:val="bottom"/>
          </w:tcPr>
          <w:p>
            <w:pPr>
              <w:ind w:left="180"/>
              <w:spacing w:after="0"/>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40" w:type="dxa"/>
            <w:vAlign w:val="bottom"/>
            <w:gridSpan w:val="2"/>
          </w:tcPr>
          <w:p>
            <w:pPr>
              <w:ind w:left="1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Total Assets</w:t>
            </w:r>
          </w:p>
        </w:tc>
        <w:tc>
          <w:tcPr>
            <w:tcW w:w="26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shd w:val="clear" w:color="auto" w:fill="CCEEFF"/>
          </w:tcPr>
          <w:p>
            <w:pPr>
              <w:ind w:left="180"/>
              <w:spacing w:after="0" w:line="155"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CEEFF"/>
          </w:tcPr>
          <w:p>
            <w:pPr>
              <w:ind w:left="180"/>
              <w:spacing w:after="0" w:line="155"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CEEFF"/>
          </w:tcPr>
          <w:p>
            <w:pPr>
              <w:ind w:left="180"/>
              <w:spacing w:after="0" w:line="155" w:lineRule="exact"/>
              <w:rPr>
                <w:sz w:val="20"/>
                <w:szCs w:val="20"/>
                <w:color w:val="auto"/>
              </w:rPr>
            </w:pPr>
            <w:r>
              <w:rPr>
                <w:rFonts w:ascii="Arial" w:cs="Arial" w:eastAsia="Arial" w:hAnsi="Arial"/>
                <w:sz w:val="14"/>
                <w:szCs w:val="14"/>
                <w:color w:val="auto"/>
                <w:w w:val="85"/>
              </w:rPr>
              <w:t>—</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57</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CEEFF"/>
          </w:tcPr>
          <w:p>
            <w:pPr>
              <w:ind w:left="180"/>
              <w:spacing w:after="0" w:line="155"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CEEFF"/>
          </w:tcPr>
          <w:p>
            <w:pPr>
              <w:ind w:left="16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shd w:val="clear" w:color="auto" w:fill="CCEEFF"/>
          </w:tcPr>
          <w:p>
            <w:pPr>
              <w:ind w:left="14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Foreign exchange forward contracts</w:t>
            </w:r>
          </w:p>
        </w:tc>
        <w:tc>
          <w:tcPr>
            <w:tcW w:w="260" w:type="dxa"/>
            <w:vAlign w:val="bottom"/>
          </w:tcPr>
          <w:p>
            <w:pPr>
              <w:spacing w:after="0"/>
              <w:rPr>
                <w:sz w:val="14"/>
                <w:szCs w:val="14"/>
                <w:color w:val="auto"/>
              </w:rPr>
            </w:pPr>
          </w:p>
        </w:tc>
        <w:tc>
          <w:tcPr>
            <w:tcW w:w="320" w:type="dxa"/>
            <w:vAlign w:val="bottom"/>
          </w:tcPr>
          <w:p>
            <w:pPr>
              <w:ind w:left="180"/>
              <w:spacing w:after="0"/>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40" w:type="dxa"/>
            <w:vAlign w:val="bottom"/>
            <w:gridSpan w:val="2"/>
          </w:tcPr>
          <w:p>
            <w:pPr>
              <w:ind w:left="1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Total Liabilities</w:t>
            </w:r>
          </w:p>
        </w:tc>
        <w:tc>
          <w:tcPr>
            <w:tcW w:w="26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shd w:val="clear" w:color="auto" w:fill="CCEEFF"/>
          </w:tcPr>
          <w:p>
            <w:pPr>
              <w:ind w:left="180"/>
              <w:spacing w:after="0" w:line="155"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CEEFF"/>
          </w:tcPr>
          <w:p>
            <w:pPr>
              <w:ind w:left="180"/>
              <w:spacing w:after="0" w:line="155"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CEEFF"/>
          </w:tcPr>
          <w:p>
            <w:pPr>
              <w:ind w:left="180"/>
              <w:spacing w:after="0" w:line="155" w:lineRule="exact"/>
              <w:rPr>
                <w:sz w:val="20"/>
                <w:szCs w:val="20"/>
                <w:color w:val="auto"/>
              </w:rPr>
            </w:pPr>
            <w:r>
              <w:rPr>
                <w:rFonts w:ascii="Arial" w:cs="Arial" w:eastAsia="Arial" w:hAnsi="Arial"/>
                <w:sz w:val="14"/>
                <w:szCs w:val="14"/>
                <w:color w:val="auto"/>
                <w:w w:val="85"/>
              </w:rPr>
              <w:t>—</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CEEFF"/>
          </w:tcPr>
          <w:p>
            <w:pPr>
              <w:ind w:left="180"/>
              <w:spacing w:after="0" w:line="155"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CEEFF"/>
          </w:tcPr>
          <w:p>
            <w:pPr>
              <w:ind w:left="16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shd w:val="clear" w:color="auto" w:fill="CCEEFF"/>
          </w:tcPr>
          <w:p>
            <w:pPr>
              <w:ind w:left="14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Available-for-sale securities are recorded at fair value with unrealized gains and losses reported, net of tax, in other comprehensive income, unless unrealized losses are determined to be other than temporary.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 –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Short-term investments represent corporate bonds with maturity dates within one year from the purchase date. These securities are valued using model-derived valuations in which all significant inputs or significant value-drivers are observable in active markets and therefore are classified as Level 2 instruments.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auction rate security is determined by using quoted prices for similar instruments in active markets and accordingly is classified as a Level 2 instrument.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derivative financial instruments are valued using market-based inputs to valuation models. These valuation models require a variety of inputs, including contractual terms, market prices, yield curves, and measures of volatility.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into or out of Level 1, Level 2, or Level 3 assets and liabilities for any of the periods presented.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and estimated fair value of long-term debt and obligations under capital leases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May 3,</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b w:val="1"/>
                <w:bCs w:val="1"/>
                <w:color w:val="auto"/>
              </w:rPr>
              <w:t>May 4,</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February 1,</w:t>
            </w:r>
          </w:p>
        </w:tc>
      </w:tr>
      <w:tr>
        <w:trPr>
          <w:trHeight w:val="234"/>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millions)</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2014</w:t>
            </w:r>
          </w:p>
        </w:tc>
        <w:tc>
          <w:tcPr>
            <w:tcW w:w="380" w:type="dxa"/>
            <w:vAlign w:val="bottom"/>
            <w:tcBorders>
              <w:bottom w:val="single" w:sz="8" w:color="auto"/>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2013</w:t>
            </w: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r>
      <w:tr>
        <w:trPr>
          <w:trHeight w:val="250"/>
        </w:trPr>
        <w:tc>
          <w:tcPr>
            <w:tcW w:w="596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Carrying value</w:t>
            </w:r>
            <w:r>
              <w:rPr>
                <w:rFonts w:ascii="Arial" w:cs="Arial" w:eastAsia="Arial" w:hAnsi="Arial"/>
                <w:sz w:val="29"/>
                <w:szCs w:val="29"/>
                <w:color w:val="auto"/>
                <w:vertAlign w:val="superscript"/>
              </w:rPr>
              <w:t>(1)</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w:t>
            </w:r>
          </w:p>
        </w:tc>
        <w:tc>
          <w:tcPr>
            <w:tcW w:w="1100" w:type="dxa"/>
            <w:vAlign w:val="bottom"/>
            <w:shd w:val="clear" w:color="auto" w:fill="CCEEFF"/>
          </w:tcPr>
          <w:p>
            <w:pPr>
              <w:jc w:val="right"/>
              <w:ind w:right="937"/>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r>
      <w:tr>
        <w:trPr>
          <w:trHeight w:val="390"/>
        </w:trPr>
        <w:tc>
          <w:tcPr>
            <w:tcW w:w="6180" w:type="dxa"/>
            <w:vAlign w:val="bottom"/>
            <w:gridSpan w:val="2"/>
          </w:tcPr>
          <w:p>
            <w:pPr>
              <w:spacing w:after="0"/>
              <w:rPr>
                <w:sz w:val="20"/>
                <w:szCs w:val="20"/>
                <w:color w:val="auto"/>
              </w:rPr>
            </w:pPr>
            <w:r>
              <w:rPr>
                <w:rFonts w:ascii="Arial" w:cs="Arial" w:eastAsia="Arial" w:hAnsi="Arial"/>
                <w:sz w:val="18"/>
                <w:szCs w:val="18"/>
                <w:color w:val="auto"/>
              </w:rPr>
              <w:t xml:space="preserve">Fair value </w:t>
            </w:r>
            <w:r>
              <w:rPr>
                <w:rFonts w:ascii="Arial" w:cs="Arial" w:eastAsia="Arial" w:hAnsi="Arial"/>
                <w:sz w:val="30"/>
                <w:szCs w:val="30"/>
                <w:color w:val="auto"/>
                <w:vertAlign w:val="superscript"/>
              </w:rPr>
              <w:t>(1)</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163</w:t>
            </w:r>
          </w:p>
        </w:tc>
        <w:tc>
          <w:tcPr>
            <w:tcW w:w="1100" w:type="dxa"/>
            <w:vAlign w:val="bottom"/>
          </w:tcPr>
          <w:p>
            <w:pPr>
              <w:jc w:val="right"/>
              <w:ind w:right="937"/>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r>
    </w:tbl>
    <w:p>
      <w:pPr>
        <w:spacing w:after="0" w:line="68" w:lineRule="exact"/>
        <w:rPr>
          <w:sz w:val="20"/>
          <w:szCs w:val="20"/>
          <w:color w:val="auto"/>
        </w:rPr>
      </w:pPr>
    </w:p>
    <w:p>
      <w:pPr>
        <w:jc w:val="both"/>
        <w:ind w:left="340" w:hanging="332"/>
        <w:spacing w:after="0" w:line="209" w:lineRule="auto"/>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In connection with the acquisition of the Runners Point Group in the second quarter of 2013, the Company recognized capital lease obligations. These were existing agreements primarily related to the financing of certain store fixtures. As of May 3, 2014 and February 1, 2014, $7 million and $8 million, respectively, are included in the amounts above.</w:t>
      </w: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long-term debt is determined by using model-derived valuations in which all significant inputs or significant value-drivers are observable in active markets and therefore is classified as Level 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values of cash and cash equivalents, short-term investments, and other current receivables and payables approximate their fair value.</w:t>
      </w:r>
    </w:p>
    <w:p>
      <w:pPr>
        <w:spacing w:after="0" w:line="233"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and discloses earnings per share using the treasury stock method. Basic earnings per share is computed by dividing reported net income for the period by the weighted-average number of common shares outstanding at the end of the period. Restricted stock awards, which contain non-forfeitable rights to dividends, are considered participating securities and are included in the calculation of basic earnings per share. Diluted earnings per share reflects the weighted-average number of common shares outstanding during the period used in the basic earnings per share computation plus dilutive common stock equivalents.</w:t>
      </w:r>
    </w:p>
    <w:p>
      <w:pPr>
        <w:sectPr>
          <w:pgSz w:w="11900" w:h="16838" w:orient="portrait"/>
          <w:cols w:equalWidth="0" w:num="1">
            <w:col w:w="11420"/>
          </w:cols>
          <w:pgMar w:left="240" w:top="877" w:right="2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computation of basic and diluted earnings per share is as follows: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Dilution: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options and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Weighted-average common shares assuming dilution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840" w:type="dxa"/>
            <w:vAlign w:val="bottom"/>
            <w:tcBorders>
              <w:top w:val="single" w:sz="8" w:color="auto"/>
            </w:tcBorders>
            <w:gridSpan w:val="2"/>
          </w:tcPr>
          <w:p>
            <w:pPr>
              <w:ind w:left="480"/>
              <w:spacing w:after="0" w:line="205" w:lineRule="exact"/>
              <w:rPr>
                <w:sz w:val="20"/>
                <w:szCs w:val="20"/>
                <w:color w:val="auto"/>
              </w:rPr>
            </w:pPr>
            <w:r>
              <w:rPr>
                <w:rFonts w:ascii="Arial" w:cs="Arial" w:eastAsia="Arial" w:hAnsi="Arial"/>
                <w:sz w:val="18"/>
                <w:szCs w:val="18"/>
                <w:b w:val="1"/>
                <w:bCs w:val="1"/>
                <w:color w:val="auto"/>
              </w:rPr>
              <w:t>May 3,</w:t>
            </w:r>
          </w:p>
        </w:tc>
        <w:tc>
          <w:tcPr>
            <w:tcW w:w="1480" w:type="dxa"/>
            <w:vAlign w:val="bottom"/>
            <w:tcBorders>
              <w:top w:val="single" w:sz="8" w:color="auto"/>
            </w:tcBorders>
          </w:tcPr>
          <w:p>
            <w:pPr>
              <w:jc w:val="right"/>
              <w:ind w:right="390"/>
              <w:spacing w:after="0" w:line="205" w:lineRule="exact"/>
              <w:rPr>
                <w:sz w:val="20"/>
                <w:szCs w:val="20"/>
                <w:color w:val="auto"/>
              </w:rPr>
            </w:pPr>
            <w:r>
              <w:rPr>
                <w:rFonts w:ascii="Arial" w:cs="Arial" w:eastAsia="Arial" w:hAnsi="Arial"/>
                <w:sz w:val="18"/>
                <w:szCs w:val="18"/>
                <w:b w:val="1"/>
                <w:bCs w:val="1"/>
                <w:color w:val="auto"/>
              </w:rPr>
              <w:t>May 4,</w:t>
            </w:r>
          </w:p>
        </w:tc>
        <w:tc>
          <w:tcPr>
            <w:tcW w:w="20" w:type="dxa"/>
            <w:vAlign w:val="bottom"/>
          </w:tcPr>
          <w:p>
            <w:pPr>
              <w:spacing w:after="0"/>
              <w:rPr>
                <w:sz w:val="17"/>
                <w:szCs w:val="17"/>
                <w:color w:val="auto"/>
              </w:rPr>
            </w:pPr>
          </w:p>
        </w:tc>
      </w:tr>
      <w:tr>
        <w:trPr>
          <w:trHeight w:val="234"/>
        </w:trPr>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r>
      <w:tr>
        <w:trPr>
          <w:trHeight w:val="224"/>
        </w:trPr>
        <w:tc>
          <w:tcPr>
            <w:tcW w:w="1500" w:type="dxa"/>
            <w:vAlign w:val="bottom"/>
          </w:tcPr>
          <w:p>
            <w:pPr>
              <w:jc w:val="right"/>
              <w:spacing w:after="0"/>
              <w:rPr>
                <w:sz w:val="20"/>
                <w:szCs w:val="20"/>
                <w:color w:val="auto"/>
              </w:rPr>
            </w:pPr>
            <w:r>
              <w:rPr>
                <w:rFonts w:ascii="Arial" w:cs="Arial" w:eastAsia="Arial" w:hAnsi="Arial"/>
                <w:sz w:val="18"/>
                <w:szCs w:val="18"/>
                <w:color w:val="auto"/>
              </w:rPr>
              <w:t>145.4</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150.4</w:t>
            </w:r>
          </w:p>
        </w:tc>
        <w:tc>
          <w:tcPr>
            <w:tcW w:w="20" w:type="dxa"/>
            <w:vAlign w:val="bottom"/>
          </w:tcPr>
          <w:p>
            <w:pPr>
              <w:spacing w:after="0"/>
              <w:rPr>
                <w:sz w:val="19"/>
                <w:szCs w:val="19"/>
                <w:color w:val="auto"/>
              </w:rPr>
            </w:pPr>
          </w:p>
        </w:tc>
      </w:tr>
      <w:tr>
        <w:trPr>
          <w:trHeight w:val="431"/>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4"/>
                <w:szCs w:val="24"/>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23"/>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340" w:type="dxa"/>
            <w:vAlign w:val="bottom"/>
          </w:tcPr>
          <w:p>
            <w:pPr>
              <w:spacing w:after="0"/>
              <w:rPr>
                <w:sz w:val="19"/>
                <w:szCs w:val="19"/>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152.7</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420"/>
          </w:cols>
          <w:pgMar w:left="240" w:top="877"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 – (continued)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Options to purchase 0.3 million and 0.5 million shares of common stock were not included in the computation for the thirteen weeks ended May 3, 2014 and May 4, 2013, respectively. These options were not included primarily because the exercise prices of the options were greater than the average market price of the common shares and, therefore, the effect would have been antidilutive. Contingently issuable shares of 0.4 million and 0.5 million have not been included as the vesting conditions have not been satisfied as of May 3, 2014 and May 4, 2013, respectively.</w:t>
      </w:r>
    </w:p>
    <w:p>
      <w:pPr>
        <w:spacing w:after="0" w:line="167"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Postretirement Plans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defined benefit pension plans covering certain of its North American employees, which are funded in accordance with the provisions of the laws where the plans are in effect. In addition to providing pension benefits, the Company sponsors postretirement medical and life insurance plans, which are available to most of its retired U.S. employees. These medical and life insurance plans are contributory and are not funded.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are the components of net periodic pension benefit cost and net periodic postretirement benefit income, which is recognized as part of SG&amp;A expense: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Pension</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0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Postretirement</w:t>
            </w:r>
          </w:p>
        </w:tc>
      </w:tr>
      <w:tr>
        <w:trPr>
          <w:trHeight w:val="234"/>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Benefits</w:t>
            </w: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Benefits</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right"/>
              <w:ind w:right="720"/>
              <w:spacing w:after="0" w:line="205" w:lineRule="exact"/>
              <w:rPr>
                <w:sz w:val="20"/>
                <w:szCs w:val="20"/>
                <w:color w:val="auto"/>
              </w:rPr>
            </w:pPr>
            <w:r>
              <w:rPr>
                <w:rFonts w:ascii="Arial" w:cs="Arial" w:eastAsia="Arial" w:hAnsi="Arial"/>
                <w:sz w:val="18"/>
                <w:szCs w:val="18"/>
                <w:b w:val="1"/>
                <w:bCs w:val="1"/>
                <w:color w:val="auto"/>
              </w:rPr>
              <w:t>May 3,</w:t>
            </w:r>
          </w:p>
        </w:tc>
        <w:tc>
          <w:tcPr>
            <w:tcW w:w="260" w:type="dxa"/>
            <w:vAlign w:val="bottom"/>
          </w:tcPr>
          <w:p>
            <w:pPr>
              <w:spacing w:after="0"/>
              <w:rPr>
                <w:sz w:val="17"/>
                <w:szCs w:val="17"/>
                <w:color w:val="auto"/>
              </w:rPr>
            </w:pPr>
          </w:p>
        </w:tc>
        <w:tc>
          <w:tcPr>
            <w:tcW w:w="1020" w:type="dxa"/>
            <w:vAlign w:val="bottom"/>
          </w:tcPr>
          <w:p>
            <w:pPr>
              <w:jc w:val="right"/>
              <w:ind w:right="290"/>
              <w:spacing w:after="0" w:line="205" w:lineRule="exact"/>
              <w:rPr>
                <w:sz w:val="20"/>
                <w:szCs w:val="20"/>
                <w:color w:val="auto"/>
              </w:rPr>
            </w:pPr>
            <w:r>
              <w:rPr>
                <w:rFonts w:ascii="Arial" w:cs="Arial" w:eastAsia="Arial" w:hAnsi="Arial"/>
                <w:sz w:val="18"/>
                <w:szCs w:val="18"/>
                <w:b w:val="1"/>
                <w:bCs w:val="1"/>
                <w:color w:val="auto"/>
              </w:rPr>
              <w:t>May 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600"/>
              <w:spacing w:after="0" w:line="205" w:lineRule="exact"/>
              <w:rPr>
                <w:sz w:val="20"/>
                <w:szCs w:val="20"/>
                <w:color w:val="auto"/>
              </w:rPr>
            </w:pPr>
            <w:r>
              <w:rPr>
                <w:rFonts w:ascii="Arial" w:cs="Arial" w:eastAsia="Arial" w:hAnsi="Arial"/>
                <w:sz w:val="18"/>
                <w:szCs w:val="18"/>
                <w:b w:val="1"/>
                <w:bCs w:val="1"/>
                <w:color w:val="auto"/>
              </w:rPr>
              <w:t>May 3,</w:t>
            </w:r>
          </w:p>
        </w:tc>
        <w:tc>
          <w:tcPr>
            <w:tcW w:w="260" w:type="dxa"/>
            <w:vAlign w:val="bottom"/>
          </w:tcPr>
          <w:p>
            <w:pPr>
              <w:spacing w:after="0"/>
              <w:rPr>
                <w:sz w:val="17"/>
                <w:szCs w:val="17"/>
                <w:color w:val="auto"/>
              </w:rPr>
            </w:pPr>
          </w:p>
        </w:tc>
        <w:tc>
          <w:tcPr>
            <w:tcW w:w="1000" w:type="dxa"/>
            <w:vAlign w:val="bottom"/>
          </w:tcPr>
          <w:p>
            <w:pPr>
              <w:jc w:val="right"/>
              <w:ind w:right="270"/>
              <w:spacing w:after="0" w:line="205" w:lineRule="exact"/>
              <w:rPr>
                <w:sz w:val="20"/>
                <w:szCs w:val="20"/>
                <w:color w:val="auto"/>
              </w:rPr>
            </w:pPr>
            <w:r>
              <w:rPr>
                <w:rFonts w:ascii="Arial" w:cs="Arial" w:eastAsia="Arial" w:hAnsi="Arial"/>
                <w:sz w:val="18"/>
                <w:szCs w:val="18"/>
                <w:b w:val="1"/>
                <w:bCs w:val="1"/>
                <w:color w:val="auto"/>
              </w:rPr>
              <w:t>May 4,</w:t>
            </w:r>
          </w:p>
        </w:tc>
        <w:tc>
          <w:tcPr>
            <w:tcW w:w="100" w:type="dxa"/>
            <w:vAlign w:val="bottom"/>
          </w:tcPr>
          <w:p>
            <w:pPr>
              <w:spacing w:after="0"/>
              <w:rPr>
                <w:sz w:val="17"/>
                <w:szCs w:val="17"/>
                <w:color w:val="auto"/>
              </w:rPr>
            </w:pPr>
          </w:p>
        </w:tc>
      </w:t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2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0"/>
        </w:trPr>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Amortization of net loss (gain)</w:t>
            </w:r>
          </w:p>
        </w:tc>
        <w:tc>
          <w:tcPr>
            <w:tcW w:w="24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benefit expense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first quarter of 2014, the Company made a $2 million contribution to the Canadian qualified plan. The Company continually evaluates the amount and timing of any future contributions. Additional contributions will depend on the plan asset performance and other factors.</w:t>
      </w:r>
    </w:p>
    <w:p>
      <w:pPr>
        <w:spacing w:after="0" w:line="143"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compensation expense related to the Company’s share-based compensation plans was $6 million and $8 million for the thirteen weeks ended May 3, 2014 and May 4, 2013, respectively. The associated tax benefits recognized for the thirteen weeks ended May 3, 2014 and May 4, 2013 were $2 million and $1 million, respectively. Tax deductions in excess of the cumulative compensation cost recognized for share-based compensation arrangements were $7 million and $4 million for the thirteen weeks ended May 3, 2014 and May 4, 2013, respectively, and are classified as financing activities within the Condensed Consolidated Statements of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Model and Assumptions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uses a Black-Scholes option-pricing model to estimate the fair value of share-based awards. The Black-Scholes option-pricing model incorporates various and highly subjective assumptions, including expected term and expected volatility. The following table shows the Company’s assumptions used to compute the share-based compensation expense: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 – (continued)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5"/>
          </w:tcPr>
          <w:p>
            <w:pPr>
              <w:jc w:val="right"/>
              <w:ind w:right="1080"/>
              <w:spacing w:after="0"/>
              <w:rPr>
                <w:sz w:val="20"/>
                <w:szCs w:val="20"/>
                <w:color w:val="auto"/>
              </w:rPr>
            </w:pPr>
            <w:r>
              <w:rPr>
                <w:rFonts w:ascii="Arial" w:cs="Arial" w:eastAsia="Arial" w:hAnsi="Arial"/>
                <w:sz w:val="18"/>
                <w:szCs w:val="18"/>
                <w:b w:val="1"/>
                <w:bCs w:val="1"/>
                <w:color w:val="auto"/>
              </w:rPr>
              <w:t>Stock Option Plans</w:t>
            </w:r>
          </w:p>
        </w:tc>
        <w:tc>
          <w:tcPr>
            <w:tcW w:w="220" w:type="dxa"/>
            <w:vAlign w:val="bottom"/>
          </w:tcPr>
          <w:p>
            <w:pPr>
              <w:spacing w:after="0"/>
              <w:rPr>
                <w:sz w:val="20"/>
                <w:szCs w:val="20"/>
                <w:color w:val="auto"/>
              </w:rPr>
            </w:pPr>
          </w:p>
        </w:tc>
        <w:tc>
          <w:tcPr>
            <w:tcW w:w="280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Stock Purchase Plan</w:t>
            </w:r>
          </w:p>
        </w:tc>
      </w:tr>
      <w:tr>
        <w:trPr>
          <w:trHeight w:val="205"/>
        </w:trPr>
        <w:tc>
          <w:tcPr>
            <w:tcW w:w="5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right"/>
              <w:ind w:right="740"/>
              <w:spacing w:after="0" w:line="205" w:lineRule="exact"/>
              <w:rPr>
                <w:sz w:val="20"/>
                <w:szCs w:val="20"/>
                <w:color w:val="auto"/>
              </w:rPr>
            </w:pPr>
            <w:r>
              <w:rPr>
                <w:rFonts w:ascii="Arial" w:cs="Arial" w:eastAsia="Arial" w:hAnsi="Arial"/>
                <w:sz w:val="18"/>
                <w:szCs w:val="18"/>
                <w:b w:val="1"/>
                <w:bCs w:val="1"/>
                <w:color w:val="auto"/>
              </w:rPr>
              <w:t>May 3,</w:t>
            </w: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270"/>
              <w:spacing w:after="0" w:line="205" w:lineRule="exact"/>
              <w:rPr>
                <w:sz w:val="20"/>
                <w:szCs w:val="20"/>
                <w:color w:val="auto"/>
              </w:rPr>
            </w:pPr>
            <w:r>
              <w:rPr>
                <w:rFonts w:ascii="Arial" w:cs="Arial" w:eastAsia="Arial" w:hAnsi="Arial"/>
                <w:sz w:val="18"/>
                <w:szCs w:val="18"/>
                <w:b w:val="1"/>
                <w:bCs w:val="1"/>
                <w:color w:val="auto"/>
              </w:rPr>
              <w:t>May 4,</w:t>
            </w:r>
          </w:p>
        </w:tc>
        <w:tc>
          <w:tcPr>
            <w:tcW w:w="3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620"/>
              <w:spacing w:after="0" w:line="205" w:lineRule="exact"/>
              <w:rPr>
                <w:sz w:val="20"/>
                <w:szCs w:val="20"/>
                <w:color w:val="auto"/>
              </w:rPr>
            </w:pPr>
            <w:r>
              <w:rPr>
                <w:rFonts w:ascii="Arial" w:cs="Arial" w:eastAsia="Arial" w:hAnsi="Arial"/>
                <w:sz w:val="18"/>
                <w:szCs w:val="18"/>
                <w:b w:val="1"/>
                <w:bCs w:val="1"/>
                <w:color w:val="auto"/>
              </w:rPr>
              <w:t>May 3,</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270"/>
              <w:spacing w:after="0" w:line="205" w:lineRule="exact"/>
              <w:rPr>
                <w:sz w:val="20"/>
                <w:szCs w:val="20"/>
                <w:color w:val="auto"/>
              </w:rPr>
            </w:pPr>
            <w:r>
              <w:rPr>
                <w:rFonts w:ascii="Arial" w:cs="Arial" w:eastAsia="Arial" w:hAnsi="Arial"/>
                <w:sz w:val="18"/>
                <w:szCs w:val="18"/>
                <w:b w:val="1"/>
                <w:bCs w:val="1"/>
                <w:color w:val="auto"/>
              </w:rPr>
              <w:t>May 4,</w:t>
            </w:r>
          </w:p>
        </w:tc>
        <w:tc>
          <w:tcPr>
            <w:tcW w:w="160" w:type="dxa"/>
            <w:vAlign w:val="bottom"/>
          </w:tcPr>
          <w:p>
            <w:pPr>
              <w:spacing w:after="0"/>
              <w:rPr>
                <w:sz w:val="17"/>
                <w:szCs w:val="17"/>
                <w:color w:val="auto"/>
              </w:rPr>
            </w:pPr>
          </w:p>
        </w:tc>
      </w:tr>
      <w:tr>
        <w:trPr>
          <w:trHeight w:val="234"/>
        </w:trPr>
        <w:tc>
          <w:tcPr>
            <w:tcW w:w="5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3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3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CCEEFF"/>
            </w:tcBorders>
          </w:tcPr>
          <w:p>
            <w:pPr>
              <w:spacing w:after="0"/>
              <w:rPr>
                <w:sz w:val="20"/>
                <w:szCs w:val="20"/>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risk free rate of interest</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0.22%</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Expected volatility</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expected award life</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 years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 years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 year</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 year</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Dividend yield</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Compensation expense related to the Company’s stock option and stock purchase plans was $3 million for both the thirteen weeks ended May 3, 2014 and May 4, 2013. As of May 3, 2014, there was $16 million of total unrecognized compensation cost, related to nonvested stock options, which is expected to be recognized over a weighted-average period of 1.50 years.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in the following table covers options granted under the Company’s stock option plans for the thirteen weeks ended May 3, 2014: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Weighted-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price per share and</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Exercise</w:t>
            </w:r>
          </w:p>
        </w:tc>
        <w:tc>
          <w:tcPr>
            <w:tcW w:w="0" w:type="dxa"/>
            <w:vAlign w:val="bottom"/>
          </w:tcPr>
          <w:p>
            <w:pPr>
              <w:spacing w:after="0"/>
              <w:rPr>
                <w:sz w:val="1"/>
                <w:szCs w:val="1"/>
                <w:color w:val="auto"/>
              </w:rPr>
            </w:pPr>
          </w:p>
        </w:tc>
      </w:t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weighted-average term)</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Shares</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Term</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0"/>
        </w:trPr>
        <w:tc>
          <w:tcPr>
            <w:tcW w:w="66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Options outstanding at the beginning of the year</w:t>
            </w: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w:t>
            </w:r>
          </w:p>
        </w:tc>
        <w:tc>
          <w:tcPr>
            <w:tcW w:w="3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762</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(469)</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30"/>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Expired or cancelled</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23"/>
        </w:trPr>
        <w:tc>
          <w:tcPr>
            <w:tcW w:w="68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Options outstanding at May 3, 2014</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6.96</w:t>
            </w:r>
          </w:p>
        </w:tc>
        <w:tc>
          <w:tcPr>
            <w:tcW w:w="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May 3, 2014</w:t>
            </w: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5.94</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line="20" w:lineRule="exact"/>
              <w:rPr>
                <w:sz w:val="1"/>
                <w:szCs w:val="1"/>
                <w:color w:val="auto"/>
              </w:rPr>
            </w:pPr>
          </w:p>
        </w:tc>
      </w:tr>
      <w:tr>
        <w:trPr>
          <w:trHeight w:val="197"/>
        </w:trPr>
        <w:tc>
          <w:tcPr>
            <w:tcW w:w="6860" w:type="dxa"/>
            <w:vAlign w:val="bottom"/>
            <w:gridSpan w:val="2"/>
            <w:vMerge w:val="continue"/>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4,037</w:t>
            </w:r>
          </w:p>
        </w:tc>
        <w:tc>
          <w:tcPr>
            <w:tcW w:w="340" w:type="dxa"/>
            <w:vAlign w:val="bottom"/>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available for future grant at May 3, 2014</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1,719</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intrinsic value of options exercised (the difference between the market price of the Company’s common stock on the exercise date and the price paid by the optionee to exercise the option) is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5"/>
          </w:tcPr>
          <w:p>
            <w:pPr>
              <w:ind w:left="520"/>
              <w:spacing w:after="0"/>
              <w:rPr>
                <w:sz w:val="20"/>
                <w:szCs w:val="20"/>
                <w:color w:val="auto"/>
              </w:rPr>
            </w:pPr>
            <w:r>
              <w:rPr>
                <w:rFonts w:ascii="Arial" w:cs="Arial" w:eastAsia="Arial" w:hAnsi="Arial"/>
                <w:sz w:val="18"/>
                <w:szCs w:val="18"/>
                <w:b w:val="1"/>
                <w:bCs w:val="1"/>
                <w:color w:val="auto"/>
              </w:rPr>
              <w:t>Thirteen weeks ended</w:t>
            </w:r>
          </w:p>
        </w:tc>
      </w:tr>
      <w:tr>
        <w:trPr>
          <w:trHeight w:val="205"/>
        </w:trPr>
        <w:tc>
          <w:tcPr>
            <w:tcW w:w="80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210"/>
              <w:spacing w:after="0" w:line="205" w:lineRule="exact"/>
              <w:rPr>
                <w:sz w:val="20"/>
                <w:szCs w:val="20"/>
                <w:color w:val="auto"/>
              </w:rPr>
            </w:pPr>
            <w:r>
              <w:rPr>
                <w:rFonts w:ascii="Arial" w:cs="Arial" w:eastAsia="Arial" w:hAnsi="Arial"/>
                <w:sz w:val="18"/>
                <w:szCs w:val="18"/>
                <w:b w:val="1"/>
                <w:bCs w:val="1"/>
                <w:color w:val="auto"/>
                <w:w w:val="98"/>
              </w:rPr>
              <w:t>May 3,</w:t>
            </w:r>
          </w:p>
        </w:tc>
        <w:tc>
          <w:tcPr>
            <w:tcW w:w="3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90"/>
              <w:spacing w:after="0" w:line="205" w:lineRule="exact"/>
              <w:rPr>
                <w:sz w:val="20"/>
                <w:szCs w:val="20"/>
                <w:color w:val="auto"/>
              </w:rPr>
            </w:pPr>
            <w:r>
              <w:rPr>
                <w:rFonts w:ascii="Arial" w:cs="Arial" w:eastAsia="Arial" w:hAnsi="Arial"/>
                <w:sz w:val="18"/>
                <w:szCs w:val="18"/>
                <w:b w:val="1"/>
                <w:bCs w:val="1"/>
                <w:color w:val="auto"/>
                <w:w w:val="94"/>
              </w:rPr>
              <w:t>May 4,</w:t>
            </w:r>
          </w:p>
        </w:tc>
        <w:tc>
          <w:tcPr>
            <w:tcW w:w="100" w:type="dxa"/>
            <w:vAlign w:val="bottom"/>
          </w:tcPr>
          <w:p>
            <w:pPr>
              <w:spacing w:after="0"/>
              <w:rPr>
                <w:sz w:val="17"/>
                <w:szCs w:val="17"/>
                <w:color w:val="auto"/>
              </w:rPr>
            </w:pPr>
          </w:p>
        </w:tc>
      </w:tr>
      <w:tr>
        <w:trPr>
          <w:trHeight w:val="234"/>
        </w:trPr>
        <w:tc>
          <w:tcPr>
            <w:tcW w:w="80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aggregate intrinsic value for stock options outstanding and for stock options exercisable (the difference between the Company’s closing stock price on the last trading day of the period and the exercise price of the options, multiplied by the number of in-the-money stock options) is presented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6"/>
          </w:tcPr>
          <w:p>
            <w:pPr>
              <w:ind w:left="520"/>
              <w:spacing w:after="0"/>
              <w:rPr>
                <w:sz w:val="20"/>
                <w:szCs w:val="20"/>
                <w:color w:val="auto"/>
              </w:rPr>
            </w:pPr>
            <w:r>
              <w:rPr>
                <w:rFonts w:ascii="Arial" w:cs="Arial" w:eastAsia="Arial" w:hAnsi="Arial"/>
                <w:sz w:val="18"/>
                <w:szCs w:val="18"/>
                <w:b w:val="1"/>
                <w:bCs w:val="1"/>
                <w:color w:val="auto"/>
              </w:rPr>
              <w:t>Thirteen weeks ended</w:t>
            </w:r>
          </w:p>
        </w:tc>
      </w:tr>
      <w:tr>
        <w:trPr>
          <w:trHeight w:val="205"/>
        </w:trPr>
        <w:tc>
          <w:tcPr>
            <w:tcW w:w="38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right"/>
              <w:ind w:right="660"/>
              <w:spacing w:after="0" w:line="205" w:lineRule="exact"/>
              <w:rPr>
                <w:sz w:val="20"/>
                <w:szCs w:val="20"/>
                <w:color w:val="auto"/>
              </w:rPr>
            </w:pPr>
            <w:r>
              <w:rPr>
                <w:rFonts w:ascii="Arial" w:cs="Arial" w:eastAsia="Arial" w:hAnsi="Arial"/>
                <w:sz w:val="18"/>
                <w:szCs w:val="18"/>
                <w:b w:val="1"/>
                <w:bCs w:val="1"/>
                <w:color w:val="auto"/>
              </w:rPr>
              <w:t>May 3,</w:t>
            </w:r>
          </w:p>
        </w:tc>
        <w:tc>
          <w:tcPr>
            <w:tcW w:w="1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390"/>
              <w:spacing w:after="0" w:line="205" w:lineRule="exact"/>
              <w:rPr>
                <w:sz w:val="20"/>
                <w:szCs w:val="20"/>
                <w:color w:val="auto"/>
              </w:rPr>
            </w:pPr>
            <w:r>
              <w:rPr>
                <w:rFonts w:ascii="Arial" w:cs="Arial" w:eastAsia="Arial" w:hAnsi="Arial"/>
                <w:sz w:val="18"/>
                <w:szCs w:val="18"/>
                <w:b w:val="1"/>
                <w:bCs w:val="1"/>
                <w:color w:val="auto"/>
              </w:rPr>
              <w:t>May 4,</w:t>
            </w:r>
          </w:p>
        </w:tc>
        <w:tc>
          <w:tcPr>
            <w:tcW w:w="100" w:type="dxa"/>
            <w:vAlign w:val="bottom"/>
          </w:tcPr>
          <w:p>
            <w:pPr>
              <w:spacing w:after="0"/>
              <w:rPr>
                <w:sz w:val="17"/>
                <w:szCs w:val="17"/>
                <w:color w:val="auto"/>
              </w:rPr>
            </w:pPr>
          </w:p>
        </w:tc>
      </w:tr>
      <w:tr>
        <w:trPr>
          <w:trHeight w:val="234"/>
        </w:trPr>
        <w:tc>
          <w:tcPr>
            <w:tcW w:w="3840" w:type="dxa"/>
            <w:vAlign w:val="bottom"/>
            <w:tcBorders>
              <w:bottom w:val="single" w:sz="8" w:color="CCEEFF"/>
            </w:tcBorders>
          </w:tcPr>
          <w:p>
            <w:pPr>
              <w:spacing w:after="0"/>
              <w:rPr>
                <w:sz w:val="20"/>
                <w:szCs w:val="20"/>
                <w:color w:val="auto"/>
              </w:rPr>
            </w:pPr>
          </w:p>
        </w:tc>
        <w:tc>
          <w:tcPr>
            <w:tcW w:w="41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4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Outstanding and exercisable</w:t>
            </w:r>
          </w:p>
        </w:tc>
        <w:tc>
          <w:tcPr>
            <w:tcW w:w="4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r>
      <w:tr>
        <w:trPr>
          <w:trHeight w:val="634"/>
        </w:trPr>
        <w:tc>
          <w:tcPr>
            <w:tcW w:w="38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jc w:val="right"/>
              <w:ind w:right="2110"/>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 – (continued)</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cash received from option exercises for the thirteen weeks ended May 3, 2014 and May 4, 2013 was $10 million and $6 million, respectively. The total tax benefit realized from stock option exercises was $4 million and $2 million for the thirteen weeks ended May 3, 2014 and May 4, 2013,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May 3,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0"/>
              </w:rPr>
              <w:t>Options Outstanding</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80" w:type="dxa"/>
            <w:vAlign w:val="bottom"/>
            <w:gridSpan w:val="7"/>
          </w:tcPr>
          <w:p>
            <w:pPr>
              <w:ind w:left="860"/>
              <w:spacing w:after="0"/>
              <w:rPr>
                <w:sz w:val="20"/>
                <w:szCs w:val="20"/>
                <w:color w:val="auto"/>
              </w:rPr>
            </w:pPr>
            <w:r>
              <w:rPr>
                <w:rFonts w:ascii="Arial" w:cs="Arial" w:eastAsia="Arial" w:hAnsi="Arial"/>
                <w:sz w:val="18"/>
                <w:szCs w:val="18"/>
                <w:b w:val="1"/>
                <w:bCs w:val="1"/>
                <w:color w:val="auto"/>
              </w:rPr>
              <w:t>Options Exercisable</w:t>
            </w:r>
          </w:p>
        </w:tc>
      </w:tr>
      <w:tr>
        <w:trPr>
          <w:trHeight w:val="191"/>
        </w:trPr>
        <w:tc>
          <w:tcPr>
            <w:tcW w:w="2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Weighted-</w:t>
            </w:r>
          </w:p>
        </w:tc>
        <w:tc>
          <w:tcPr>
            <w:tcW w:w="3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360" w:type="dxa"/>
            <w:vAlign w:val="bottom"/>
          </w:tcPr>
          <w:p>
            <w:pPr>
              <w:spacing w:after="0"/>
              <w:rPr>
                <w:sz w:val="18"/>
                <w:szCs w:val="18"/>
                <w:color w:val="auto"/>
              </w:rPr>
            </w:pPr>
          </w:p>
        </w:tc>
        <w:tc>
          <w:tcPr>
            <w:tcW w:w="1600" w:type="dxa"/>
            <w:vAlign w:val="bottom"/>
            <w:gridSpan w:val="4"/>
          </w:tcPr>
          <w:p>
            <w:pPr>
              <w:jc w:val="center"/>
              <w:ind w:right="580"/>
              <w:spacing w:after="0"/>
              <w:rPr>
                <w:sz w:val="20"/>
                <w:szCs w:val="20"/>
                <w:color w:val="auto"/>
              </w:rPr>
            </w:pPr>
            <w:r>
              <w:rPr>
                <w:rFonts w:ascii="Arial" w:cs="Arial" w:eastAsia="Arial" w:hAnsi="Arial"/>
                <w:sz w:val="18"/>
                <w:szCs w:val="18"/>
                <w:b w:val="1"/>
                <w:bCs w:val="1"/>
                <w:color w:val="auto"/>
                <w:w w:val="89"/>
              </w:rPr>
              <w:t>Weighted-</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360" w:type="dxa"/>
            <w:vAlign w:val="bottom"/>
          </w:tcPr>
          <w:p>
            <w:pPr>
              <w:spacing w:after="0"/>
              <w:rPr>
                <w:sz w:val="18"/>
                <w:szCs w:val="18"/>
                <w:color w:val="auto"/>
              </w:rPr>
            </w:pPr>
          </w:p>
        </w:tc>
        <w:tc>
          <w:tcPr>
            <w:tcW w:w="1600" w:type="dxa"/>
            <w:vAlign w:val="bottom"/>
            <w:gridSpan w:val="4"/>
          </w:tcPr>
          <w:p>
            <w:pPr>
              <w:jc w:val="center"/>
              <w:ind w:right="580"/>
              <w:spacing w:after="0"/>
              <w:rPr>
                <w:sz w:val="20"/>
                <w:szCs w:val="20"/>
                <w:color w:val="auto"/>
              </w:rPr>
            </w:pPr>
            <w:r>
              <w:rPr>
                <w:rFonts w:ascii="Arial" w:cs="Arial" w:eastAsia="Arial" w:hAnsi="Arial"/>
                <w:sz w:val="18"/>
                <w:szCs w:val="18"/>
                <w:b w:val="1"/>
                <w:bCs w:val="1"/>
                <w:color w:val="auto"/>
                <w:w w:val="87"/>
              </w:rPr>
              <w:t>Average</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Number</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360" w:type="dxa"/>
            <w:vAlign w:val="bottom"/>
          </w:tcPr>
          <w:p>
            <w:pPr>
              <w:spacing w:after="0"/>
              <w:rPr>
                <w:sz w:val="18"/>
                <w:szCs w:val="18"/>
                <w:color w:val="auto"/>
              </w:rPr>
            </w:pPr>
          </w:p>
        </w:tc>
        <w:tc>
          <w:tcPr>
            <w:tcW w:w="160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86"/>
              </w:rPr>
              <w:t>Exercise</w:t>
            </w:r>
          </w:p>
        </w:tc>
        <w:tc>
          <w:tcPr>
            <w:tcW w:w="16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2800" w:type="dxa"/>
            <w:vAlign w:val="bottom"/>
            <w:gridSpan w:val="3"/>
          </w:tcPr>
          <w:p>
            <w:pPr>
              <w:ind w:left="220"/>
              <w:spacing w:after="0"/>
              <w:rPr>
                <w:sz w:val="20"/>
                <w:szCs w:val="20"/>
                <w:color w:val="auto"/>
              </w:rPr>
            </w:pPr>
            <w:r>
              <w:rPr>
                <w:rFonts w:ascii="Arial" w:cs="Arial" w:eastAsia="Arial" w:hAnsi="Arial"/>
                <w:sz w:val="18"/>
                <w:szCs w:val="18"/>
                <w:b w:val="1"/>
                <w:bCs w:val="1"/>
                <w:color w:val="auto"/>
              </w:rPr>
              <w:t>Range of Exercise Prices</w:t>
            </w: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Outstanding</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3"/>
              </w:rPr>
              <w:t>Life</w:t>
            </w:r>
          </w:p>
        </w:tc>
        <w:tc>
          <w:tcPr>
            <w:tcW w:w="360" w:type="dxa"/>
            <w:vAlign w:val="bottom"/>
          </w:tcPr>
          <w:p>
            <w:pPr>
              <w:spacing w:after="0"/>
              <w:rPr>
                <w:sz w:val="20"/>
                <w:szCs w:val="20"/>
                <w:color w:val="auto"/>
              </w:rPr>
            </w:pPr>
          </w:p>
        </w:tc>
        <w:tc>
          <w:tcPr>
            <w:tcW w:w="160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0"/>
              </w:rPr>
              <w:t>Price</w:t>
            </w:r>
          </w:p>
        </w:tc>
        <w:tc>
          <w:tcPr>
            <w:tcW w:w="16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Exercisable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2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520" w:type="dxa"/>
            <w:vAlign w:val="bottom"/>
            <w:tcBorders>
              <w:top w:val="single" w:sz="8" w:color="auto"/>
            </w:tcBorders>
            <w:gridSpan w:val="9"/>
          </w:tcPr>
          <w:p>
            <w:pPr>
              <w:jc w:val="right"/>
              <w:ind w:right="540"/>
              <w:spacing w:after="0"/>
              <w:rPr>
                <w:sz w:val="20"/>
                <w:szCs w:val="20"/>
                <w:color w:val="auto"/>
              </w:rPr>
            </w:pPr>
            <w:r>
              <w:rPr>
                <w:rFonts w:ascii="Arial" w:cs="Arial" w:eastAsia="Arial" w:hAnsi="Arial"/>
                <w:sz w:val="18"/>
                <w:szCs w:val="18"/>
                <w:b w:val="1"/>
                <w:bCs w:val="1"/>
                <w:color w:val="auto"/>
                <w:w w:val="98"/>
              </w:rPr>
              <w:t>(in thousands, except prices per share and contractual life)</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$ 9.85  to $15.10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1,526</w:t>
            </w:r>
          </w:p>
        </w:tc>
        <w:tc>
          <w:tcPr>
            <w:tcW w:w="1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5.38</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12.46</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w:t>
            </w: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$18.01 to $23.92</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1,546</w:t>
            </w: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5.69</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19.93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gridSpan w:val="3"/>
          </w:tcPr>
          <w:p>
            <w:pPr>
              <w:jc w:val="right"/>
              <w:ind w:right="180"/>
              <w:spacing w:after="0"/>
              <w:rPr>
                <w:sz w:val="20"/>
                <w:szCs w:val="20"/>
                <w:color w:val="auto"/>
              </w:rPr>
            </w:pPr>
            <w:r>
              <w:rPr>
                <w:rFonts w:ascii="Arial" w:cs="Arial" w:eastAsia="Arial" w:hAnsi="Arial"/>
                <w:sz w:val="18"/>
                <w:szCs w:val="18"/>
                <w:color w:val="auto"/>
              </w:rPr>
              <w:t>1,542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19.93</w:t>
            </w:r>
          </w:p>
        </w:tc>
      </w:tr>
      <w:tr>
        <w:trPr>
          <w:trHeight w:val="216"/>
        </w:trPr>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$24.04 to $34.24</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2,083</w:t>
            </w:r>
          </w:p>
        </w:tc>
        <w:tc>
          <w:tcPr>
            <w:tcW w:w="1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7.95</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32.22</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31.12</w:t>
            </w:r>
          </w:p>
        </w:tc>
      </w:tr>
      <w:tr>
        <w:trPr>
          <w:trHeight w:val="230"/>
        </w:trPr>
        <w:tc>
          <w:tcPr>
            <w:tcW w:w="2800" w:type="dxa"/>
            <w:vAlign w:val="bottom"/>
            <w:gridSpan w:val="3"/>
          </w:tcPr>
          <w:p>
            <w:pPr>
              <w:spacing w:after="0"/>
              <w:rPr>
                <w:sz w:val="20"/>
                <w:szCs w:val="20"/>
                <w:color w:val="auto"/>
              </w:rPr>
            </w:pPr>
            <w:r>
              <w:rPr>
                <w:rFonts w:ascii="Arial" w:cs="Arial" w:eastAsia="Arial" w:hAnsi="Arial"/>
                <w:sz w:val="18"/>
                <w:szCs w:val="18"/>
                <w:color w:val="auto"/>
              </w:rPr>
              <w:t>$34.27 to $45.08</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799</w:t>
            </w: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9.86</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44.62</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gridSpan w:val="3"/>
          </w:tcPr>
          <w:p>
            <w:pPr>
              <w:jc w:val="right"/>
              <w:ind w:right="180"/>
              <w:spacing w:after="0"/>
              <w:rPr>
                <w:sz w:val="20"/>
                <w:szCs w:val="20"/>
                <w:color w:val="auto"/>
              </w:rPr>
            </w:pPr>
            <w:r>
              <w:rPr>
                <w:rFonts w:ascii="Arial" w:cs="Arial" w:eastAsia="Arial" w:hAnsi="Arial"/>
                <w:sz w:val="18"/>
                <w:szCs w:val="18"/>
                <w:color w:val="auto"/>
              </w:rPr>
              <w:t>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35.27</w:t>
            </w:r>
          </w:p>
        </w:tc>
      </w:tr>
      <w:tr>
        <w:trPr>
          <w:trHeight w:val="223"/>
        </w:trPr>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90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6.96</w:t>
            </w:r>
          </w:p>
        </w:tc>
        <w:tc>
          <w:tcPr>
            <w:tcW w:w="3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w:t>
            </w:r>
          </w:p>
        </w:tc>
      </w:tr>
      <w:tr>
        <w:trPr>
          <w:trHeight w:val="20"/>
        </w:trPr>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700" w:type="dxa"/>
            <w:vAlign w:val="bottom"/>
            <w:gridSpan w:val="14"/>
          </w:tcPr>
          <w:p>
            <w:pPr>
              <w:spacing w:after="0"/>
              <w:rPr>
                <w:sz w:val="20"/>
                <w:szCs w:val="20"/>
                <w:color w:val="auto"/>
              </w:rPr>
            </w:pPr>
            <w:r>
              <w:rPr>
                <w:rFonts w:ascii="Arial" w:cs="Arial" w:eastAsia="Arial" w:hAnsi="Arial"/>
                <w:sz w:val="18"/>
                <w:szCs w:val="18"/>
                <w:color w:val="auto"/>
              </w:rPr>
              <w:t>Changes in the Company’s nonvested options for the thirteen weeks ended May 3, 2014 are summarized as follows: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Average Grant</w:t>
            </w:r>
          </w:p>
        </w:tc>
      </w:tr>
      <w:tr>
        <w:trPr>
          <w:trHeight w:val="216"/>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Date Fair Value</w:t>
            </w:r>
          </w:p>
        </w:tc>
      </w:tr>
      <w:tr>
        <w:trPr>
          <w:trHeight w:val="234"/>
        </w:trPr>
        <w:tc>
          <w:tcPr>
            <w:tcW w:w="418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 thousands, except price per share)</w:t>
            </w:r>
          </w:p>
        </w:tc>
        <w:tc>
          <w:tcPr>
            <w:tcW w:w="1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per Share</w:t>
            </w:r>
          </w:p>
        </w:tc>
      </w:tr>
      <w:tr>
        <w:trPr>
          <w:trHeight w:val="210"/>
        </w:trPr>
        <w:tc>
          <w:tcPr>
            <w:tcW w:w="28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9"/>
              </w:rPr>
              <w:t>Nonvested at the beginning of the year</w:t>
            </w: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762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45.08</w:t>
            </w:r>
          </w:p>
        </w:tc>
      </w:tr>
      <w:tr>
        <w:trPr>
          <w:trHeight w:val="216"/>
        </w:trPr>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Vested</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26.60</w:t>
            </w:r>
          </w:p>
        </w:tc>
      </w:tr>
      <w:tr>
        <w:trPr>
          <w:trHeight w:val="230"/>
        </w:trPr>
        <w:tc>
          <w:tcPr>
            <w:tcW w:w="2800" w:type="dxa"/>
            <w:vAlign w:val="bottom"/>
            <w:gridSpan w:val="3"/>
          </w:tcPr>
          <w:p>
            <w:pPr>
              <w:spacing w:after="0"/>
              <w:rPr>
                <w:sz w:val="20"/>
                <w:szCs w:val="20"/>
                <w:color w:val="auto"/>
              </w:rPr>
            </w:pPr>
            <w:r>
              <w:rPr>
                <w:rFonts w:ascii="Arial" w:cs="Arial" w:eastAsia="Arial" w:hAnsi="Arial"/>
                <w:sz w:val="18"/>
                <w:szCs w:val="18"/>
                <w:color w:val="auto"/>
              </w:rPr>
              <w:t>Expired or cancelled</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gridSpan w:val="3"/>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27.97</w:t>
            </w:r>
          </w:p>
        </w:tc>
      </w:tr>
      <w:tr>
        <w:trPr>
          <w:trHeight w:val="223"/>
        </w:trPr>
        <w:tc>
          <w:tcPr>
            <w:tcW w:w="28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Nonvested at May 3, 2014</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37.91</w:t>
            </w:r>
          </w:p>
        </w:tc>
      </w:tr>
      <w:tr>
        <w:trPr>
          <w:trHeight w:val="20"/>
        </w:trPr>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and Units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shares of the Company’s common stock and restricted stock units may be awarded to certain officers and key employees of the Company. Awards made to executives outside of the United States and to nonemployee directors are made in the form of restricted stock units. Each restricted stock unit represents the right to receive one share of the Company’s common stock provided that the vesting conditions are satisfied. As of May 3, 2014, 793,011 restricted stock units were outstanding.</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Generally, awards fully vest after the passage of time, typically three years. However, restricted stock unit grants made in connection with the Company’s long-term incentive program vest after the attainment of certain performance metrics and the passage of time. Restricted stock is considered outstanding at the time of grant and the holders have voting rights. Dividends are paid to holders of restricted stock that vest with the passage of time; for performance-based restricted stock, dividends will be accumulated and paid after the performance criteria are met. No dividends are paid on restricted stock units.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 –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expense is recognized using the fair market value at the date of grant and is amortized over the vesting period, provided the recipient continues to be employed by the Company. The Company recorded compensation expense related to restricted stock awards, net of forfeitures, of $3 million and $5 million for the thirteen week periods ended May 3, 2014 and May 4, 2013, respectively. As of May 3, 2014, there was $18 million of total unrecognized compensation cost related to nonvested restricted awards.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shares and units activity for the thirteen weeks ended May 3, 2014 and May 4, 2013 is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Number of Shares and Units</w:t>
            </w:r>
          </w:p>
        </w:tc>
        <w:tc>
          <w:tcPr>
            <w:tcW w:w="0" w:type="dxa"/>
            <w:vAlign w:val="bottom"/>
          </w:tcPr>
          <w:p>
            <w:pPr>
              <w:spacing w:after="0"/>
              <w:rPr>
                <w:sz w:val="1"/>
                <w:szCs w:val="1"/>
                <w:color w:val="auto"/>
              </w:rPr>
            </w:pPr>
          </w:p>
        </w:tc>
      </w:tr>
      <w:tr>
        <w:trPr>
          <w:trHeight w:val="223"/>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May 3, 2014</w:t>
            </w: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4, 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8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298</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(462)</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Cancelled or forfeited</w:t>
            </w:r>
          </w:p>
        </w:tc>
        <w:tc>
          <w:tcPr>
            <w:tcW w:w="180" w:type="dxa"/>
            <w:vAlign w:val="bottom"/>
          </w:tcPr>
          <w:p>
            <w:pPr>
              <w:spacing w:after="0"/>
              <w:rPr>
                <w:sz w:val="19"/>
                <w:szCs w:val="19"/>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Aggregate value (in millions)</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gridSpan w:val="2"/>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340" w:type="dxa"/>
            <w:vAlign w:val="bottom"/>
            <w:vMerge w:val="continue"/>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remaining contractual life</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 years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weighted-average grant-date fair value per share was $45.03 and $34.24 for the thirteen weeks ended May 3, 2014 and May 4, 2013, respectively. The total value of awards for which restrictions lapsed during the thirteen weeks ended May 3, 2014 and May 4, 2013 was $9 million and $6 million,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OVERVIEW</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Foot Locker, Inc., through its subsidiaries, operates in two reportable segments – Athletic Stores and Direct-to-Customers. The Athletic Stores segment is one of the largest athletic footwear and apparel retailers in the world, with formats that include Foot Locker, Lady Foot Locker, Kids Foot Locker, Champs Sports,</w:t>
      </w:r>
    </w:p>
    <w:p>
      <w:pPr>
        <w:jc w:val="both"/>
        <w:spacing w:after="0" w:line="234" w:lineRule="auto"/>
        <w:rPr>
          <w:sz w:val="20"/>
          <w:szCs w:val="20"/>
          <w:color w:val="auto"/>
        </w:rPr>
      </w:pPr>
      <w:r>
        <w:rPr>
          <w:rFonts w:ascii="Arial" w:cs="Arial" w:eastAsia="Arial" w:hAnsi="Arial"/>
          <w:sz w:val="18"/>
          <w:szCs w:val="18"/>
          <w:color w:val="auto"/>
        </w:rPr>
        <w:t>Footaction and SIX:02, as well as the retail stores of Runners Point Group, including Runners Point, Sidestep, and Run</w:t>
      </w:r>
      <w:r>
        <w:rPr>
          <w:rFonts w:ascii="Arial" w:cs="Arial" w:eastAsia="Arial" w:hAnsi="Arial"/>
          <w:sz w:val="30"/>
          <w:szCs w:val="30"/>
          <w:color w:val="auto"/>
          <w:vertAlign w:val="superscript"/>
        </w:rPr>
        <w:t>2</w:t>
      </w:r>
      <w:r>
        <w:rPr>
          <w:rFonts w:ascii="Arial" w:cs="Arial" w:eastAsia="Arial" w:hAnsi="Arial"/>
          <w:sz w:val="18"/>
          <w:szCs w:val="18"/>
          <w:color w:val="auto"/>
        </w:rPr>
        <w:t>, which was acquired during the second quarter of 2013. The Direct-to-Customers segment is multi-branded and multi-channeled. This segment sells, through its affiliates, directly to customers through its Internet websites, mobile sites, and catalogs. Eastbay, one of the affiliates, is among the largest direct marketers in the United States. The Direct-to-Customers segment operates the websites for eastbay.com, final-score.com, eastbayteamsales.com, ccs.com, as well as websites aligned with the brand names of its store banners (footlocker.com, ladyfootlocker.com, kidsfootlocker.com, champssports.com, footaction.com, and six02.com). Additionally, this segment includes the direct-to-customer subsidiary of Runners Point Group, which operates the websites for runnerspoint.com, sidestep-shoes.com, and sp24.com.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STORE COUNT</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At May 3, 2014, the Company operated 3,464 stores as compared with 3,473 and 3,321 stores at February 1, 2014 and May 4, 2013, respectively. During the thirteen weeks ended May 3, 2014, the Company opened 27 stores, remodeled or relocated 49 stores and closed 36 stores.</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total of 74 franchised stores were operating at May 3, 2014, as compared with 73 and 45 stores at February 1, 2014 and May 4, 2013, respectively. Revenue from the franchised stores was not significant for any of the periods presented. These stores are not included in the Company’s operating store count above.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SALES AND OPERATING RESULTS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references to comparable-store sales for a given period relate to sales of stores that are open at the period-end and have been open for more than one year. The computation of comparable-store sales also includes the sales of the Direct-to-Customers segment. Stores opened or closed during the period are not included in the comparable-store base; however, stores closed temporarily for relocation or remodeling are included. Computations exclude the effect of foreign currency fluctuations.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from acquired businesses that include inventory are included in the computation of comparable-store sales after 15 months of operations. Accordingly, sales of Runners Point Group have been excluded from the computation of comparable-store sales. Runners Point Group sales will be included in the computation beginning in October 2014.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The following table summarizes results by segment:</w:t>
            </w: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400" w:type="dxa"/>
            <w:vAlign w:val="bottom"/>
          </w:tcPr>
          <w:p>
            <w:pPr>
              <w:spacing w:after="0"/>
              <w:rPr>
                <w:sz w:val="24"/>
                <w:szCs w:val="24"/>
                <w:color w:val="auto"/>
              </w:rPr>
            </w:pPr>
          </w:p>
        </w:tc>
        <w:tc>
          <w:tcPr>
            <w:tcW w:w="4660" w:type="dxa"/>
            <w:vAlign w:val="bottom"/>
            <w:gridSpan w:val="3"/>
          </w:tcPr>
          <w:p>
            <w:pPr>
              <w:jc w:val="right"/>
              <w:ind w:right="3070"/>
              <w:spacing w:after="0"/>
              <w:rPr>
                <w:sz w:val="20"/>
                <w:szCs w:val="20"/>
                <w:color w:val="auto"/>
              </w:rPr>
            </w:pPr>
            <w:r>
              <w:rPr>
                <w:rFonts w:ascii="Arial" w:cs="Arial" w:eastAsia="Arial" w:hAnsi="Arial"/>
                <w:sz w:val="18"/>
                <w:szCs w:val="18"/>
                <w:b w:val="1"/>
                <w:bCs w:val="1"/>
                <w:color w:val="auto"/>
              </w:rPr>
              <w:t>Sales</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44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tcBorders>
              <w:bottom w:val="single" w:sz="8" w:color="auto"/>
            </w:tcBorders>
            <w:gridSpan w:val="5"/>
          </w:tcPr>
          <w:p>
            <w:pPr>
              <w:jc w:val="right"/>
              <w:ind w:right="317"/>
              <w:spacing w:after="0"/>
              <w:rPr>
                <w:sz w:val="20"/>
                <w:szCs w:val="20"/>
                <w:color w:val="auto"/>
              </w:rPr>
            </w:pPr>
            <w:r>
              <w:rPr>
                <w:rFonts w:ascii="Arial" w:cs="Arial" w:eastAsia="Arial" w:hAnsi="Arial"/>
                <w:sz w:val="18"/>
                <w:szCs w:val="18"/>
                <w:b w:val="1"/>
                <w:bCs w:val="1"/>
                <w:color w:val="auto"/>
              </w:rPr>
              <w:t>Thirteen weeks ended</w:t>
            </w: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5"/>
        </w:trPr>
        <w:tc>
          <w:tcPr>
            <w:tcW w:w="44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center"/>
              <w:ind w:left="350"/>
              <w:spacing w:after="0" w:line="205" w:lineRule="exact"/>
              <w:rPr>
                <w:sz w:val="20"/>
                <w:szCs w:val="20"/>
                <w:color w:val="auto"/>
              </w:rPr>
            </w:pPr>
            <w:r>
              <w:rPr>
                <w:rFonts w:ascii="Arial" w:cs="Arial" w:eastAsia="Arial" w:hAnsi="Arial"/>
                <w:sz w:val="18"/>
                <w:szCs w:val="18"/>
                <w:b w:val="1"/>
                <w:bCs w:val="1"/>
                <w:color w:val="auto"/>
                <w:w w:val="98"/>
              </w:rPr>
              <w:t>May 3,</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center"/>
              <w:ind w:left="357"/>
              <w:spacing w:after="0" w:line="205" w:lineRule="exact"/>
              <w:rPr>
                <w:sz w:val="20"/>
                <w:szCs w:val="20"/>
                <w:color w:val="auto"/>
              </w:rPr>
            </w:pPr>
            <w:r>
              <w:rPr>
                <w:rFonts w:ascii="Arial" w:cs="Arial" w:eastAsia="Arial" w:hAnsi="Arial"/>
                <w:sz w:val="18"/>
                <w:szCs w:val="18"/>
                <w:b w:val="1"/>
                <w:bCs w:val="1"/>
                <w:color w:val="auto"/>
                <w:w w:val="94"/>
              </w:rPr>
              <w:t>May 4,</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40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4660" w:type="dxa"/>
            <w:vAlign w:val="bottom"/>
            <w:gridSpan w:val="3"/>
          </w:tcPr>
          <w:p>
            <w:pPr>
              <w:jc w:val="center"/>
              <w:ind w:left="3970"/>
              <w:spacing w:after="0"/>
              <w:rPr>
                <w:sz w:val="20"/>
                <w:szCs w:val="20"/>
                <w:color w:val="auto"/>
              </w:rPr>
            </w:pPr>
            <w:r>
              <w:rPr>
                <w:rFonts w:ascii="Arial" w:cs="Arial" w:eastAsia="Arial" w:hAnsi="Arial"/>
                <w:sz w:val="18"/>
                <w:szCs w:val="18"/>
                <w:b w:val="1"/>
                <w:bCs w:val="1"/>
                <w:color w:val="auto"/>
                <w:w w:val="89"/>
              </w:rPr>
              <w:t>2014</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89"/>
              </w:rPr>
              <w:t>2013</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Athletic Stores</w:t>
            </w:r>
          </w:p>
        </w:tc>
        <w:tc>
          <w:tcPr>
            <w:tcW w:w="3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1,657</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97"/>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Direct-to-Customers</w:t>
            </w:r>
          </w:p>
        </w:tc>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9"/>
                <w:szCs w:val="19"/>
                <w:color w:val="auto"/>
              </w:rPr>
            </w:pPr>
          </w:p>
        </w:tc>
      </w:tr>
      <w:tr>
        <w:trPr>
          <w:trHeight w:val="223"/>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sales</w:t>
            </w:r>
          </w:p>
        </w:tc>
        <w:tc>
          <w:tcPr>
            <w:tcW w:w="33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1,868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97"/>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1,638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4400" w:type="dxa"/>
            <w:vAlign w:val="bottom"/>
          </w:tcPr>
          <w:p>
            <w:pPr>
              <w:spacing w:after="0"/>
              <w:rPr>
                <w:sz w:val="24"/>
                <w:szCs w:val="24"/>
                <w:color w:val="auto"/>
              </w:rPr>
            </w:pPr>
          </w:p>
        </w:tc>
        <w:tc>
          <w:tcPr>
            <w:tcW w:w="4660" w:type="dxa"/>
            <w:vAlign w:val="bottom"/>
            <w:gridSpan w:val="3"/>
          </w:tcPr>
          <w:p>
            <w:pPr>
              <w:jc w:val="right"/>
              <w:ind w:right="2550"/>
              <w:spacing w:after="0"/>
              <w:rPr>
                <w:sz w:val="20"/>
                <w:szCs w:val="20"/>
                <w:color w:val="auto"/>
              </w:rPr>
            </w:pPr>
            <w:r>
              <w:rPr>
                <w:rFonts w:ascii="Arial" w:cs="Arial" w:eastAsia="Arial" w:hAnsi="Arial"/>
                <w:sz w:val="18"/>
                <w:szCs w:val="18"/>
                <w:b w:val="1"/>
                <w:bCs w:val="1"/>
                <w:color w:val="auto"/>
              </w:rPr>
              <w:t>Operating Results</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44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tcBorders>
              <w:bottom w:val="single" w:sz="8" w:color="auto"/>
            </w:tcBorders>
            <w:gridSpan w:val="5"/>
          </w:tcPr>
          <w:p>
            <w:pPr>
              <w:jc w:val="right"/>
              <w:ind w:right="317"/>
              <w:spacing w:after="0"/>
              <w:rPr>
                <w:sz w:val="20"/>
                <w:szCs w:val="20"/>
                <w:color w:val="auto"/>
              </w:rPr>
            </w:pPr>
            <w:r>
              <w:rPr>
                <w:rFonts w:ascii="Arial" w:cs="Arial" w:eastAsia="Arial" w:hAnsi="Arial"/>
                <w:sz w:val="18"/>
                <w:szCs w:val="18"/>
                <w:b w:val="1"/>
                <w:bCs w:val="1"/>
                <w:color w:val="auto"/>
              </w:rPr>
              <w:t>Thirteen weeks ended</w:t>
            </w: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5"/>
        </w:trPr>
        <w:tc>
          <w:tcPr>
            <w:tcW w:w="44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center"/>
              <w:ind w:left="350"/>
              <w:spacing w:after="0" w:line="205" w:lineRule="exact"/>
              <w:rPr>
                <w:sz w:val="20"/>
                <w:szCs w:val="20"/>
                <w:color w:val="auto"/>
              </w:rPr>
            </w:pPr>
            <w:r>
              <w:rPr>
                <w:rFonts w:ascii="Arial" w:cs="Arial" w:eastAsia="Arial" w:hAnsi="Arial"/>
                <w:sz w:val="18"/>
                <w:szCs w:val="18"/>
                <w:b w:val="1"/>
                <w:bCs w:val="1"/>
                <w:color w:val="auto"/>
                <w:w w:val="98"/>
              </w:rPr>
              <w:t>May 3,</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center"/>
              <w:ind w:left="357"/>
              <w:spacing w:after="0" w:line="205" w:lineRule="exact"/>
              <w:rPr>
                <w:sz w:val="20"/>
                <w:szCs w:val="20"/>
                <w:color w:val="auto"/>
              </w:rPr>
            </w:pPr>
            <w:r>
              <w:rPr>
                <w:rFonts w:ascii="Arial" w:cs="Arial" w:eastAsia="Arial" w:hAnsi="Arial"/>
                <w:sz w:val="18"/>
                <w:szCs w:val="18"/>
                <w:b w:val="1"/>
                <w:bCs w:val="1"/>
                <w:color w:val="auto"/>
                <w:w w:val="94"/>
              </w:rPr>
              <w:t>May 4,</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40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4660" w:type="dxa"/>
            <w:vAlign w:val="bottom"/>
            <w:gridSpan w:val="3"/>
          </w:tcPr>
          <w:p>
            <w:pPr>
              <w:jc w:val="center"/>
              <w:ind w:left="3970"/>
              <w:spacing w:after="0"/>
              <w:rPr>
                <w:sz w:val="20"/>
                <w:szCs w:val="20"/>
                <w:color w:val="auto"/>
              </w:rPr>
            </w:pPr>
            <w:r>
              <w:rPr>
                <w:rFonts w:ascii="Arial" w:cs="Arial" w:eastAsia="Arial" w:hAnsi="Arial"/>
                <w:sz w:val="18"/>
                <w:szCs w:val="18"/>
                <w:b w:val="1"/>
                <w:bCs w:val="1"/>
                <w:color w:val="auto"/>
                <w:w w:val="89"/>
              </w:rPr>
              <w:t>2014</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89"/>
              </w:rPr>
              <w:t>2013</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Athletic Stores</w:t>
            </w:r>
          </w:p>
        </w:tc>
        <w:tc>
          <w:tcPr>
            <w:tcW w:w="3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97"/>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Direct-to-Customers</w:t>
            </w:r>
          </w:p>
        </w:tc>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Division profit</w:t>
            </w:r>
          </w:p>
        </w:tc>
        <w:tc>
          <w:tcPr>
            <w:tcW w:w="3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Less: Corporate expense, net</w:t>
            </w:r>
          </w:p>
        </w:tc>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3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Interest expense, net</w:t>
            </w: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r>
      <w:tr>
        <w:trPr>
          <w:trHeight w:val="270"/>
        </w:trPr>
        <w:tc>
          <w:tcPr>
            <w:tcW w:w="440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Other income </w:t>
            </w:r>
            <w:r>
              <w:rPr>
                <w:rFonts w:ascii="Arial" w:cs="Arial" w:eastAsia="Arial" w:hAnsi="Arial"/>
                <w:sz w:val="30"/>
                <w:szCs w:val="30"/>
                <w:color w:val="auto"/>
                <w:vertAlign w:val="superscript"/>
              </w:rPr>
              <w:t>(1)</w:t>
            </w:r>
          </w:p>
        </w:tc>
        <w:tc>
          <w:tcPr>
            <w:tcW w:w="33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3"/>
                <w:szCs w:val="23"/>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600" w:type="dxa"/>
            <w:vAlign w:val="bottom"/>
            <w:gridSpan w:val="2"/>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897"/>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194" w:lineRule="auto"/>
        <w:tabs>
          <w:tab w:leader="none" w:pos="392"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Other income includes non-operating items, such as lease termination gains, royalty income, and the changes in fair value, premiums paid and realized gains associated with foreign currency option contracts.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increased by $230 million, or 14.0 percent, to $1,868 million for the thirteen weeks ended May 3, 2014, from $1,638 million for the thirteen weeks ended May 4, 2013. Excluding the effect of foreign currency fluctuations and sales of Runners Point Group, total sales for the thirteen-week period increased 8.0 percent, as compared with the corresponding prior-year period. Comparable-store sales increased by 7.6 percent for the thirteen weeks ended May 3,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MARGIN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margin, as a percentage of sales, increased to 34.6 percent for the thirteen weeks ended May 3, 2014 as compared with 34.2 percent in the corresponding prior-year period. Occupancy and buyers compensation expense rate decreased by 70 basis points reflecting improved leverage of fixed costs. This improvement was partially offset by an increase of 30 basis points in the cost of merchandise rate as a percent of sales. The higher cost of merchandise was primarily due to lower initial markups driven by vendor mix offset, in part, by a lower markdown rate. Vendor allowances were not significant for any of the periods presented.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SELLING, GENERAL AND ADMINISTRATIVE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Selling, general and administrative expenses (“SG&amp;A”) of $355 million increased by $40 million or 12.7 percent, for the thirteen weeks ended May 3, 2014 as compared with the corresponding prior-year period. SG&amp;A, as a percentage of sales, decreased to 19.0 percent for the thirteen weeks ended May 3, 2014, as compared with 19.2 percent in the corresponding prior-year period. This improvement reflected continued expense management, primarily on store wages. Excluding Runners Point Group the SG&amp;A rate would have improved by another 40 basis points. Excluding the effect of foreign currency fluctuations, SG&amp;A increased by $37 million for the thirteen weeks ended May 3, 2014, as compared with the corresponding prior-year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and amortization increased by $5 million in the first quarter of 2014 to $36 million as compared with $31 million for the first quarter of 2013, reflecting the addition of the Runners Point Group and increased capital spending on store improvements and technology. The effect of foreign currency fluctuations was not significant.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1700" w:type="dxa"/>
            <w:vAlign w:val="bottom"/>
            <w:tcBorders>
              <w:top w:val="single" w:sz="8" w:color="auto"/>
            </w:tcBorders>
          </w:tcPr>
          <w:p>
            <w:pPr>
              <w:spacing w:after="0"/>
              <w:rPr>
                <w:sz w:val="24"/>
                <w:szCs w:val="24"/>
                <w:color w:val="auto"/>
              </w:rPr>
            </w:pPr>
          </w:p>
        </w:tc>
        <w:tc>
          <w:tcPr>
            <w:tcW w:w="6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8"/>
                <w:szCs w:val="18"/>
                <w:b w:val="1"/>
                <w:bCs w:val="1"/>
                <w:color w:val="auto"/>
              </w:rPr>
              <w:t>Thirteen weeks ended</w:t>
            </w: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170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70"/>
              <w:spacing w:after="0" w:line="205" w:lineRule="exact"/>
              <w:rPr>
                <w:sz w:val="20"/>
                <w:szCs w:val="20"/>
                <w:color w:val="auto"/>
              </w:rPr>
            </w:pPr>
            <w:r>
              <w:rPr>
                <w:rFonts w:ascii="Arial" w:cs="Arial" w:eastAsia="Arial" w:hAnsi="Arial"/>
                <w:sz w:val="18"/>
                <w:szCs w:val="18"/>
                <w:b w:val="1"/>
                <w:bCs w:val="1"/>
                <w:color w:val="auto"/>
              </w:rPr>
              <w:t>May 3,</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80"/>
              <w:spacing w:after="0" w:line="205" w:lineRule="exact"/>
              <w:rPr>
                <w:sz w:val="20"/>
                <w:szCs w:val="20"/>
                <w:color w:val="auto"/>
              </w:rPr>
            </w:pPr>
            <w:r>
              <w:rPr>
                <w:rFonts w:ascii="Arial" w:cs="Arial" w:eastAsia="Arial" w:hAnsi="Arial"/>
                <w:sz w:val="18"/>
                <w:szCs w:val="18"/>
                <w:b w:val="1"/>
                <w:bCs w:val="1"/>
                <w:color w:val="auto"/>
              </w:rPr>
              <w:t>May 4,</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(in millions)</w:t>
            </w: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7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00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18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80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100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and interest income were unchanged as compared with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thirteen weeks ended May 3, 2014, the Company recorded an income tax provision of $92 million, which represented an effective tax rate of 36.1 percent, compared to the prior-year income tax provision of $78 million, which also represented an effective tax rate of 36.1 percent. The Company’s interim provision for income taxes is measured using an annual effective tax rate, adjusted for discrete items that occur within the periods presented.</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regularly assesses the adequacy of the Company’s provisions for income tax contingencies in accordance with the applicable authoritative guidance on accounting for income taxes. As a result, the Company may adjust the reserves for unrecognized tax benefits considering new facts and developments, such as changes to interpretations of relevant tax law, assessments from taxing authorities, settlements with taxing authorities, and lapses of statutes of limitation. The effective tax rate included tax benefits of $1 million and $2 million from reserve releases due to the settlements of tax examinations during the thirteen weeks ended May 3, 2014 and May 4, 2013 respectively.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Excluding these nonrecurring benefits, the effective tax rate for the thirteen weeks ended May 3, 2014 decreased as compared with the corresponding prior-year period, due primarily to the effect of full implementation of international tax planning initiatives.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 currently expects its full year tax rate to approximate 36.5 percent, excluding the effect of any additional nonrecurring items that may occur.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actual tax rates will depend primarily on the level and mix of income earned in the United States as compared with its international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achieved a record level of earnings, reporting net income of $162 million, or $1.10 per diluted share, for the thirteen weeks ended May 3, 2014, which increased by $0.20 per diluted share from $138 million, or $0.90 per share last year. The improved performance represents a 16.5 percent flow-through of increased sales to pre-tax income, reflecting leveraging of fixed costs, and controlling operating expenses.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RECONCILIATION OF NON-GAAP MEASURES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provides non-GAAP information to assist investors with the comparison of the Company’s results period over period. In the first quarter of 2014, the Company recorded approximately $2 million, or $0.01 per diluted share, for costs associated with the integration of Runners Point Group as a well as an impairment charge to fully write-down the remaining value of the tradename related to the Company’s stores in the Republic of Ireland. In the first quarter of 2013, the Company recorded approximately $1 million, or $0.01 per diluted share, for costs associated with the acquisition of Runners Point Group.</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Accordingly, the Company has excluded these costs to arrive at its non-GAAP results. The non-GAAP financial measure is provided in addition to, and not as an alternative to, the Company’s reported results prepared in accordance with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are GAAP and non-GAAP results for the thirteen-weeks ended May 3, 2014 and May 4, 2013,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Borders>
              <w:bottom w:val="single" w:sz="8" w:color="auto"/>
            </w:tcBorders>
            <w:gridSpan w:val="5"/>
          </w:tcPr>
          <w:p>
            <w:pPr>
              <w:jc w:val="right"/>
              <w:ind w:right="341"/>
              <w:spacing w:after="0"/>
              <w:rPr>
                <w:sz w:val="20"/>
                <w:szCs w:val="20"/>
                <w:color w:val="auto"/>
              </w:rPr>
            </w:pPr>
            <w:r>
              <w:rPr>
                <w:rFonts w:ascii="Arial" w:cs="Arial" w:eastAsia="Arial" w:hAnsi="Arial"/>
                <w:sz w:val="18"/>
                <w:szCs w:val="18"/>
                <w:b w:val="1"/>
                <w:bCs w:val="1"/>
                <w:color w:val="auto"/>
              </w:rPr>
              <w:t>Thirteen weeks ended</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May 3,</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
              <w:spacing w:after="0" w:line="205" w:lineRule="exact"/>
              <w:rPr>
                <w:sz w:val="20"/>
                <w:szCs w:val="20"/>
                <w:color w:val="auto"/>
              </w:rPr>
            </w:pPr>
            <w:r>
              <w:rPr>
                <w:rFonts w:ascii="Arial" w:cs="Arial" w:eastAsia="Arial" w:hAnsi="Arial"/>
                <w:sz w:val="18"/>
                <w:szCs w:val="18"/>
                <w:b w:val="1"/>
                <w:bCs w:val="1"/>
                <w:color w:val="auto"/>
              </w:rPr>
              <w:t>May 4,</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(in millions)</w:t>
            </w: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21"/>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After-tax adjustments to arrive at non-GAAP:</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Runners Point Group acquisition and integration costs</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2"/>
          </w:tcPr>
          <w:p>
            <w:pPr>
              <w:ind w:left="320"/>
              <w:spacing w:after="0"/>
              <w:rPr>
                <w:sz w:val="20"/>
                <w:szCs w:val="20"/>
                <w:color w:val="auto"/>
              </w:rPr>
            </w:pPr>
            <w:r>
              <w:rPr>
                <w:rFonts w:ascii="Arial" w:cs="Arial" w:eastAsia="Arial" w:hAnsi="Arial"/>
                <w:sz w:val="18"/>
                <w:szCs w:val="18"/>
                <w:color w:val="auto"/>
              </w:rPr>
              <w:t>Tradename impairment</w:t>
            </w:r>
          </w:p>
        </w:tc>
        <w:tc>
          <w:tcPr>
            <w:tcW w:w="11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non-GAAP</w:t>
            </w:r>
          </w:p>
        </w:tc>
        <w:tc>
          <w:tcPr>
            <w:tcW w:w="110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21"/>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EPS, as reported</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w:t>
            </w:r>
          </w:p>
        </w:tc>
        <w:tc>
          <w:tcPr>
            <w:tcW w:w="1240" w:type="dxa"/>
            <w:vAlign w:val="bottom"/>
            <w:gridSpan w:val="2"/>
            <w:shd w:val="clear" w:color="auto" w:fill="CCEEFF"/>
          </w:tcPr>
          <w:p>
            <w:pPr>
              <w:jc w:val="right"/>
              <w:ind w:right="921"/>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After-tax adjustments to arrive at non-GAAP:</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Runners Point Group acquisition and integration costs</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2"/>
          </w:tcPr>
          <w:p>
            <w:pPr>
              <w:ind w:left="240"/>
              <w:spacing w:after="0"/>
              <w:rPr>
                <w:sz w:val="20"/>
                <w:szCs w:val="20"/>
                <w:color w:val="auto"/>
              </w:rPr>
            </w:pPr>
            <w:r>
              <w:rPr>
                <w:rFonts w:ascii="Arial" w:cs="Arial" w:eastAsia="Arial" w:hAnsi="Arial"/>
                <w:sz w:val="18"/>
                <w:szCs w:val="18"/>
                <w:color w:val="auto"/>
              </w:rPr>
              <w:t>Tradename impairment</w:t>
            </w:r>
          </w:p>
        </w:tc>
        <w:tc>
          <w:tcPr>
            <w:tcW w:w="11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Diluted EPS, non-GAAP</w:t>
            </w:r>
          </w:p>
        </w:tc>
        <w:tc>
          <w:tcPr>
            <w:tcW w:w="110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21"/>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Athletic Stores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Athletic Stores segment sales increased by 12.6 percent to $1,657 million for the thirteen weeks ended May 3, 2014, as compared with the corresponding prior-year period of $1,471 million. The Athletic Stores segment includes $81 million of sales related to the Runners Point Group stores; this business was acquired in July 2013. Excluding the effect of foreign currency fluctuations, Athletic Stores segment sales increased 12.0 percent for the thirteen weeks ended May 3, 2014, as compared with the corresponding prior-year period. Comparable-store sales increased by 6.4 percent for the thirteen weeks ended May 3, 2014.</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divisions within the segment, with the exception of Lady Foot Locker and Foot Locker Canada, experienced comparable-store sales gains, led by Kids Foot Locker and domestic Foot Locker. Basketball and children’s footwear continued to be the biggest driver of sales increases. Sales of basketball footwear and apparel was driven by Jordan and key marquee player styles, while the children’s business grew as the Company continues to successfully invest in this area across multiple banners. The segment also experienced strong gains in the running category in Foot Locker Europe, which benefitted from a strong product assortment from multiple vendors. Overall, the segment continues to benefit from the continued expansion of the shop-in-shop partnerships with our various vendors.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spacing w:after="0" w:line="291" w:lineRule="auto"/>
        <w:rPr>
          <w:sz w:val="20"/>
          <w:szCs w:val="20"/>
          <w:color w:val="auto"/>
        </w:rPr>
      </w:pPr>
      <w:r>
        <w:rPr>
          <w:rFonts w:ascii="Arial" w:cs="Arial" w:eastAsia="Arial" w:hAnsi="Arial"/>
          <w:sz w:val="16"/>
          <w:szCs w:val="16"/>
          <w:color w:val="auto"/>
        </w:rPr>
        <w:t>Lady Foot Locker experienced a comparable-stores sales decline and overall lower sales primarily due a lower store count. During the first quarter of 2014, 18 underperforming Lady Foot Locker stores were closed. Store count for this format, as compared with the corresponding prior-year period, decreased by</w:t>
      </w:r>
    </w:p>
    <w:p>
      <w:pPr>
        <w:ind w:firstLine="8"/>
        <w:spacing w:after="0" w:line="261" w:lineRule="auto"/>
        <w:tabs>
          <w:tab w:leader="none" w:pos="2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Overall, sales of women’s footwear, apparel, and accessories declined in the first quarter. Test locations focused on the female customer, including SIX:02 stores, continue to be evaluated before a roll-out strategy is determined.</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Athletic Stores division profit increased 17.1 percent for the thirteen weeks ended May 3, 2014, as compared with the corresponding prior-year period. Division profit, as a percentage of sales, was 14.9 percent for the thirteen weeks ended May 3, 2014 as compared with 14.3 percent for the corresponding prior-year period. This primarily reflects improved sales and an improved gross margin rate driven by improved leverage of fixed occupancy expenses. Included in the results of the Athletic Stores segment for the thirteen weeks ended May 3, 2014 is a $1 million impairment charge related to our tradename for our stores operating in the Republic of Ireland, reflecting historical and projected underperformance.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Direct-to-Customers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Direct-to-Customers sales increased by 26.3 percent to $211 million for the thirteen weeks ended May 3, 2014, as compared with the corresponding prior-year period of $167 million. Comparable sales increased by 17.2 percent for the thirteen weeks ended May 3, 2014. Direct-to-Customers sales include $12 million related to the e-commerce division of Runners Point Group, which was acquired in the second quarter of 2013. Excluding these sales, increases were primarily the result of continued strong sales performance of the Company’s store-banner websites coupled with continued growth in Eastbay’s sales. Sales at each of the store-banner websites increased significantly, increasing collectively over 40 percent. The segment was led by basketball, casual, and running styles which all posted strong comparable sales gains during the period.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Direct-to-Customers division profit for the thirteen weeks ended May 3, 2014 increased by $5 million to $28 million as compared with the corresponding prior-year period. Division profit, as a percentage of sales, was 13.3 percent for the thirteen weeks ended May 3, 2014 as compared with 13.8 percent for the corresponding prior-year period. The decrease primarily reflects a lower gross margin rate reflecting increased promotional activity as well as the effect of including the e-commerce business of our recent acquisition. While the e-commerce business of the Runners Point Group is profitable, the profit margin rate was lower and, therefore, negatively affected the division profit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Expense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Corporate expense consists of unallocated selling, general and administrative expenses, as well as depreciation and amortization related to the Company’s corporate headquarters, centrally managed departments, unallocated insurance and benefit programs, certain foreign exchange transaction gains and losses, and other items. The allocation of corporate expense to the operating divisions is adjusted annually based upon an internal study; accordingly, the allocation increased by $1 million during the first quarter of 2014, thus reducing corporate expense. Excluding this change, corporate expense for the thirteen weeks ended May 3, 2014 increased by $3 million from the corresponding prior-year period. This was primarily related to a $2 million increase in legal reserves recorded during the quarter. Included in corporate expense are costs related to the acquisition and integration of Runners Point Group of $1 million for both periods presented.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primary source of liquidity has been cash flow from operations, while the principal uses of cash have been to: fund inventory and other working capital requirements; finance capital expenditures related to store openings, store remodelings, Internet and mobile sites, information systems, and other support facilities; make retirement plan contributions, quarterly dividend payments, share repurchases, and interest payments; and fund other cash requirements to support the development of its short-term and long-term operating strategies. The Company generally finances real estate with operating leases. Management believes its cash, cash equivalents and future cash flow from operations will be adequate to fund these requirements.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jc w:val="both"/>
        <w:spacing w:after="0" w:line="312" w:lineRule="auto"/>
        <w:rPr>
          <w:sz w:val="20"/>
          <w:szCs w:val="20"/>
          <w:color w:val="auto"/>
        </w:rPr>
      </w:pPr>
      <w:r>
        <w:rPr>
          <w:rFonts w:ascii="Arial" w:cs="Arial" w:eastAsia="Arial" w:hAnsi="Arial"/>
          <w:sz w:val="16"/>
          <w:szCs w:val="16"/>
          <w:color w:val="auto"/>
        </w:rPr>
        <w:t>The Company may also from time to time seek to retire or purchase outstanding debt through open market purchases, privately negotiated transactions, or otherwise. Share repurchases and retirement of debt, if any, will depend on prevailing market conditions, liquidity requirements, contractual restrictions, and other factors. As of May 3, 2014, approximately $301 million remains on the Company’s current $600 million share repurchase program.</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material adverse change in customer demand, fashion trends, competitive market forces, or customer acceptance of the Company’s merchandise mix and retail locations, uncertainties related to the effect of competitive products and pricing, the Company’s reliance on a few key vendors for a significant portion of its merchandise purchases and risks associated with global product sourcing, economic conditions worldwide, the effects of currency fluctuations, as well as other factors listed under the heading “Disclosure Regarding Forward-Looking Statements,” could affect the ability of the Company to continue to fund its needs from business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was $272 million and $251 million for the thirteen weeks ended May 3, 2014 and May 4, 2013, respectively. These amounts reflect net income adjusted for non-cash items, non-cash impairment charges, and working capital changes. The improvement reflects the Company’s earning strength, partially offset by a $68 million increase in cash paid for income taxes during the thirteen weeks ended May 3, 2014. The increase, to $83 million, reflected a change in the timing of the required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was $42 million and $48 million for the thirteen weeks ended May 3, 2014 and May 4, 2013, respectively. The current year reflects $49 million in capital expenditures partially offset by $7 million for the sales and maturities of short-term investments. The Company’s full year forecast for capital expenditures is $219 million, which includes $179 million related to the remodeling or relocation of existing stores and 62 new store openings, as well as $40 million for the development of information systems, websites, and infrastructure.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financing was $86 million and $20 million for the thirteen weeks ended May 3, 2014 and May 4, 2013, respectively. The Company declared and paid dividends during the first quarters of 2014 and 2013 of $32 million and $30 million, respectively. This represents quarterly rates of $0.22 and $0.20 per share for 2014 and 2013, respectively. During the first quarter of 2014, the Company repurchased 1,530,253 shares of its common stock for $70 million. Additionally, the Company received proceeds from the issuance of common stock in connection with employee stock programs of $10 million and $6 million for the thirteen weeks ended May 3, 2014 and May 4, 2013, respectively. In connection with stock option exercises and share-based compensation programs, the Company recorded excess tax benefits of $7 million and $4 million as a financing activity for the thirteen weeks ended May 3, 2014 and May 4, 2013,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April 2014, the Financial Accounting Standards Board (“FASB”) issued Accounting Standards Update (“ASU”) 2014-08, </w:t>
      </w:r>
      <w:r>
        <w:rPr>
          <w:rFonts w:ascii="Arial" w:cs="Arial" w:eastAsia="Arial" w:hAnsi="Arial"/>
          <w:sz w:val="17"/>
          <w:szCs w:val="17"/>
          <w:i w:val="1"/>
          <w:iCs w:val="1"/>
          <w:color w:val="auto"/>
        </w:rPr>
        <w:t>Reporting Discontinued</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 and Disclosures of Disposals of Components of an Entity</w:t>
      </w:r>
      <w:r>
        <w:rPr>
          <w:rFonts w:ascii="Arial" w:cs="Arial" w:eastAsia="Arial" w:hAnsi="Arial"/>
          <w:sz w:val="17"/>
          <w:szCs w:val="17"/>
          <w:color w:val="auto"/>
        </w:rPr>
        <w:t>. The amendments in this update change the requirements for reporting discontinued</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A discontinued operation may include a component of an entity or a group of components of an entity. A disposal of a component of an entity or a group of components of an entity is required to be reported in discontinued operations if the disposal represents a strategic shift that has (or will have) a major effect on an entity's operations and financial results and when the component or group of components meets the criteria to be classified as held for sale, is disposed by sale or is disposed of by other than by sale. ASU 2014-8 is effective prospectively for fiscal years, and interim reporting periods within those years, beginning after December 15, 2014 with earlier adoption permitted. The adoption of this guidance did not have a significant effect on our consolidated financial position, results of operations or cash flows.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jc w:val="both"/>
        <w:spacing w:after="0" w:line="293" w:lineRule="auto"/>
        <w:rPr>
          <w:sz w:val="20"/>
          <w:szCs w:val="20"/>
          <w:color w:val="auto"/>
        </w:rPr>
      </w:pPr>
      <w:r>
        <w:rPr>
          <w:rFonts w:ascii="Arial" w:cs="Arial" w:eastAsia="Arial" w:hAnsi="Arial"/>
          <w:sz w:val="16"/>
          <w:szCs w:val="16"/>
          <w:color w:val="auto"/>
        </w:rPr>
        <w:t xml:space="preserve">In May 2014,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issued as a new Topic, Accounting Standards Codification Topic 606. The core principle of this amendment is that an entity should recognize revenue to depict the transfer of promised goods or services to customers in an amount that reflects the consideration to which the entity expects to be entitled in exchange for those goods or services. ASU 2014-09 is effective for annual reporting periods beginning after December 15, 2016, including interim periods within that reporting period, with earlier adoption not permitted. ASU 2014-09 can be adopted either retrospectively to each prior reporting period presented or as a cumulative-effect adjustment as of the date of adoption. The adoption of this guidance is not expected to have a significant effect on our consolidated financial position, results of operations or cash flows.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recently issued accounting pronouncements did not, or are not believed by management to, have a material effect on the Company’s present or future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 AND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significant changes to the Company’s critical accounting policies and estimates from the information provided in Item 7, “Management’s Discussion and Analysis of Financial Condition and Results of Operations,” included in the Annual Report on Form 10-K for the fiscal year ended February 1,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REGARDING FORWARD-LOOKING STATEMENTS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report contains forward-looking statements within the meaning of the federal securities laws. Other than statements of historical facts, all statements which address activities, events, or developments that the Company anticipates will or may occur in the future, including, but not limited to, such things as future capital expenditures, expansion, strategic plans, financial objectives, dividend payments, stock repurchases, growth of the Company’s business and operations, including future cash flows, revenues, and earnings, and other such matters, are forward-looking statements. These forward-looking statements are based on many assumptions and factors which are detailed in the Company’s filings with the Securities and Exchange Commission, including the effects of currency fluctuations, customer demand, fashion trends, competitive market forces, uncertainties related to the effect of competitive products and pricing, customer acceptance of the Company’s merchandise mix and retail locations, the Company’s reliance on a few key vendors for a majority of its merchandise purchases (including a significant portion from one key vendor), pandemics and similar major health concerns, unseasonable weather, deterioration of global financial markets, economic conditions worldwide, deterioration of business and economic conditions, any changes in business, political and economic conditions due to the threat of future terrorist activities in the United States or in other parts of the world and related U.S. military action overseas, the ability of the Company to execute its business and strategic plans effectively with regard to each of its business units, and risks associated with global product sourcing, including political instability, changes in import regulations, and disruptions to transportation services and distribution.</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additional discussion on risks and uncertainties that may affect forward-looking statements, see “Risk Factors” disclosed in the 2013 Annual Report on Form 10-K. Any changes in such assumptions or factors could produce significantly different results. The Company undertakes no obligation to update forward-looking statements, whether as a result of new information, future events,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4. Controls and Procedures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management performed an evaluation under the supervision and with the participation of the Company’s Chief Executive Officer (“CEO”) and Chief Financial Officer (“CFO”), and completed an evaluation as of May 3, 2014 of the effectiveness of the design and operation of the Company’s disclosure controls and procedures (as that term is defined in Rules 13a-15(e) and 15d-15(e)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jc w:val="both"/>
        <w:ind w:right="20"/>
        <w:spacing w:after="0" w:line="277" w:lineRule="auto"/>
        <w:rPr>
          <w:sz w:val="20"/>
          <w:szCs w:val="20"/>
          <w:color w:val="auto"/>
        </w:rPr>
      </w:pPr>
      <w:r>
        <w:rPr>
          <w:rFonts w:ascii="Arial" w:cs="Arial" w:eastAsia="Arial" w:hAnsi="Arial"/>
          <w:sz w:val="18"/>
          <w:szCs w:val="18"/>
          <w:color w:val="auto"/>
        </w:rPr>
        <w:t>During the quarter ended May 3, 2014, there were no changes in the Company’s internal control over financial reporting (as defined in Rules 13a-15(f) of the Exchange Act) that materially affected or are reasonably likely to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1. Legal Proceedings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Legal proceedings pending against the Company or its consolidated subsidiaries consist of ordinary, routine litigation, including administrative proceedings, incidental to the business of the Company or businesses that have been sold or disposed of by the Company in past years. These legal proceedings include commercial, intellectual property, customer, environmental, and employment-related claims.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the Company’s subsidiaries are defendants in a number of lawsuits filed in state and federal courts containing various class action allegations under federal or state wage and hour laws, including allegations concerning unpaid overtime, meal and rest breaks, and uniforms.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Company is a defendant in one such case in which plaintiff alleges that the Company permitted unpaid off-the-clock hours in violation of the Fair Labor Standards Act and state labor laws. The case, </w:t>
      </w:r>
      <w:r>
        <w:rPr>
          <w:rFonts w:ascii="Arial" w:cs="Arial" w:eastAsia="Arial" w:hAnsi="Arial"/>
          <w:sz w:val="16"/>
          <w:szCs w:val="16"/>
          <w:i w:val="1"/>
          <w:iCs w:val="1"/>
          <w:color w:val="auto"/>
        </w:rPr>
        <w:t>Pereira v. Foot Locker</w:t>
      </w:r>
      <w:r>
        <w:rPr>
          <w:rFonts w:ascii="Arial" w:cs="Arial" w:eastAsia="Arial" w:hAnsi="Arial"/>
          <w:sz w:val="16"/>
          <w:szCs w:val="16"/>
          <w:color w:val="auto"/>
        </w:rPr>
        <w:t>, was filed in the U.S. District Court for the Eastern District of Pennsylvania in 2007. In his complaint, in addition to unpaid wage and overtime allegations, plaintiff seeks compensatory and punitive damages, injunctive relief, and attorneys’ fees and costs. In 2009, the Court conditionally certified a nationwide collective action. During the course of 2010, notices were sent to approximately 81,888 current and former employees of the Company offering them the opportunity to participate in the class action, and approximately 5,027 have opted in.</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 is a defendant in additional purported wage and hour class actions that assert claims similar to those asserted in </w:t>
      </w:r>
      <w:r>
        <w:rPr>
          <w:rFonts w:ascii="Arial" w:cs="Arial" w:eastAsia="Arial" w:hAnsi="Arial"/>
          <w:sz w:val="17"/>
          <w:szCs w:val="17"/>
          <w:i w:val="1"/>
          <w:iCs w:val="1"/>
          <w:color w:val="auto"/>
        </w:rPr>
        <w:t>Pereira</w:t>
      </w:r>
      <w:r>
        <w:rPr>
          <w:rFonts w:ascii="Arial" w:cs="Arial" w:eastAsia="Arial" w:hAnsi="Arial"/>
          <w:sz w:val="17"/>
          <w:szCs w:val="17"/>
          <w:color w:val="auto"/>
        </w:rPr>
        <w:t xml:space="preserve"> and seek similar remedies. With the exception of </w:t>
      </w:r>
      <w:r>
        <w:rPr>
          <w:rFonts w:ascii="Arial" w:cs="Arial" w:eastAsia="Arial" w:hAnsi="Arial"/>
          <w:sz w:val="17"/>
          <w:szCs w:val="17"/>
          <w:i w:val="1"/>
          <w:iCs w:val="1"/>
          <w:color w:val="auto"/>
        </w:rPr>
        <w:t>Hill v. Foot Locker</w:t>
      </w:r>
      <w:r>
        <w:rPr>
          <w:rFonts w:ascii="Arial" w:cs="Arial" w:eastAsia="Arial" w:hAnsi="Arial"/>
          <w:sz w:val="17"/>
          <w:szCs w:val="17"/>
          <w:color w:val="auto"/>
        </w:rPr>
        <w:t xml:space="preserve"> filed in state court in Illinois, </w:t>
      </w:r>
      <w:r>
        <w:rPr>
          <w:rFonts w:ascii="Arial" w:cs="Arial" w:eastAsia="Arial" w:hAnsi="Arial"/>
          <w:sz w:val="17"/>
          <w:szCs w:val="17"/>
          <w:i w:val="1"/>
          <w:iCs w:val="1"/>
          <w:color w:val="auto"/>
        </w:rPr>
        <w:t>Kissinger v. Foot Locker</w:t>
      </w:r>
      <w:r>
        <w:rPr>
          <w:rFonts w:ascii="Arial" w:cs="Arial" w:eastAsia="Arial" w:hAnsi="Arial"/>
          <w:sz w:val="17"/>
          <w:szCs w:val="17"/>
          <w:color w:val="auto"/>
        </w:rPr>
        <w:t xml:space="preserve"> filed in state court of California, </w:t>
      </w:r>
      <w:r>
        <w:rPr>
          <w:rFonts w:ascii="Arial" w:cs="Arial" w:eastAsia="Arial" w:hAnsi="Arial"/>
          <w:sz w:val="17"/>
          <w:szCs w:val="17"/>
          <w:i w:val="1"/>
          <w:iCs w:val="1"/>
          <w:color w:val="auto"/>
        </w:rPr>
        <w:t>Cortes v. Foot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Locker </w:t>
      </w:r>
      <w:r>
        <w:rPr>
          <w:rFonts w:ascii="Arial" w:cs="Arial" w:eastAsia="Arial" w:hAnsi="Arial"/>
          <w:sz w:val="17"/>
          <w:szCs w:val="17"/>
          <w:color w:val="auto"/>
        </w:rPr>
        <w:t>filed in federal court of New York, and</w:t>
      </w:r>
      <w:r>
        <w:rPr>
          <w:rFonts w:ascii="Arial" w:cs="Arial" w:eastAsia="Arial" w:hAnsi="Arial"/>
          <w:sz w:val="17"/>
          <w:szCs w:val="17"/>
          <w:i w:val="1"/>
          <w:iCs w:val="1"/>
          <w:color w:val="auto"/>
        </w:rPr>
        <w:t xml:space="preserve"> McGlothin v. Foot Locker </w:t>
      </w:r>
      <w:r>
        <w:rPr>
          <w:rFonts w:ascii="Arial" w:cs="Arial" w:eastAsia="Arial" w:hAnsi="Arial"/>
          <w:sz w:val="17"/>
          <w:szCs w:val="17"/>
          <w:color w:val="auto"/>
        </w:rPr>
        <w:t>filed in the state of California, all of these actions were consolidated by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States Judicial Panel on Multidistrict Litigation with </w:t>
      </w:r>
      <w:r>
        <w:rPr>
          <w:rFonts w:ascii="Arial" w:cs="Arial" w:eastAsia="Arial" w:hAnsi="Arial"/>
          <w:sz w:val="17"/>
          <w:szCs w:val="17"/>
          <w:i w:val="1"/>
          <w:iCs w:val="1"/>
          <w:color w:val="auto"/>
        </w:rPr>
        <w:t>Pereira</w:t>
      </w:r>
      <w:r>
        <w:rPr>
          <w:rFonts w:ascii="Arial" w:cs="Arial" w:eastAsia="Arial" w:hAnsi="Arial"/>
          <w:sz w:val="17"/>
          <w:szCs w:val="17"/>
          <w:color w:val="auto"/>
        </w:rPr>
        <w:t xml:space="preserve"> under the caption </w:t>
      </w:r>
      <w:r>
        <w:rPr>
          <w:rFonts w:ascii="Arial" w:cs="Arial" w:eastAsia="Arial" w:hAnsi="Arial"/>
          <w:sz w:val="17"/>
          <w:szCs w:val="17"/>
          <w:i w:val="1"/>
          <w:iCs w:val="1"/>
          <w:color w:val="auto"/>
        </w:rPr>
        <w:t>In re Foot Locker, Inc. Fair Labor Standards Act and Wage and Hour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Litigation. </w:t>
      </w:r>
      <w:r>
        <w:rPr>
          <w:rFonts w:ascii="Arial" w:cs="Arial" w:eastAsia="Arial" w:hAnsi="Arial"/>
          <w:sz w:val="17"/>
          <w:szCs w:val="17"/>
          <w:color w:val="auto"/>
        </w:rPr>
        <w:t>The consolidated cases are in the discovery stages of proceedings. In</w:t>
      </w:r>
      <w:r>
        <w:rPr>
          <w:rFonts w:ascii="Arial" w:cs="Arial" w:eastAsia="Arial" w:hAnsi="Arial"/>
          <w:sz w:val="17"/>
          <w:szCs w:val="17"/>
          <w:i w:val="1"/>
          <w:iCs w:val="1"/>
          <w:color w:val="auto"/>
        </w:rPr>
        <w:t xml:space="preserve"> Hill v. Foot Locker, </w:t>
      </w:r>
      <w:r>
        <w:rPr>
          <w:rFonts w:ascii="Arial" w:cs="Arial" w:eastAsia="Arial" w:hAnsi="Arial"/>
          <w:sz w:val="17"/>
          <w:szCs w:val="17"/>
          <w:color w:val="auto"/>
        </w:rPr>
        <w:t>in May 2011, the court granted plaintiffs’ motion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certification of an opt-out class covering certain Illinois employees only. The Company's motion for leave to appeal was denied. The Company has had and may in the future have discussions with plaintiffs’ counsel in an attempt to determine whether it will be possible to resolve the consolidated cases and </w:t>
      </w:r>
      <w:r>
        <w:rPr>
          <w:rFonts w:ascii="Arial" w:cs="Arial" w:eastAsia="Arial" w:hAnsi="Arial"/>
          <w:sz w:val="17"/>
          <w:szCs w:val="17"/>
          <w:i w:val="1"/>
          <w:iCs w:val="1"/>
          <w:color w:val="auto"/>
        </w:rPr>
        <w:t>Hill</w:t>
      </w:r>
      <w:r>
        <w:rPr>
          <w:rFonts w:ascii="Arial" w:cs="Arial" w:eastAsia="Arial" w:hAnsi="Arial"/>
          <w:sz w:val="17"/>
          <w:szCs w:val="17"/>
          <w:color w:val="auto"/>
        </w:rPr>
        <w:t>. Meanwhile, the Company is vigorously defending these class actions.</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and the Company’s U.S. retirement plan are defendants in a purported class action (</w:t>
      </w:r>
      <w:r>
        <w:rPr>
          <w:rFonts w:ascii="Arial" w:cs="Arial" w:eastAsia="Arial" w:hAnsi="Arial"/>
          <w:sz w:val="17"/>
          <w:szCs w:val="17"/>
          <w:i w:val="1"/>
          <w:iCs w:val="1"/>
          <w:color w:val="auto"/>
        </w:rPr>
        <w:t>Osberg v. Foot Locker</w:t>
      </w:r>
      <w:r>
        <w:rPr>
          <w:rFonts w:ascii="Arial" w:cs="Arial" w:eastAsia="Arial" w:hAnsi="Arial"/>
          <w:sz w:val="17"/>
          <w:szCs w:val="17"/>
          <w:color w:val="auto"/>
        </w:rPr>
        <w:t>, filed in the U.S. District Court for the Southern District of New York) in which the plaintiff alleges that, in connection with the 1996 conversion of the retirement plan to a defined benefit plan with a cash balance formula, the Company and the retirement plan failed to properly advise plan participants of the “wear-away” effect of the conversion. Plaintiff asserted claims for: (a) breach of fiduciary duty under the Employee Retirement Income Security Act of 1974 (ERISA); (b) violation of the statutory provisions governing the content of the Summary Plan Description; (c) violation of the notice provision of Section 204(h) of ERISA; and (d) violation of ERISA’s age discrimination provisions. In September 2009, the court granted the Company's motion to dismiss the Section 204(h) claim and the age discrimination claim. In December 2012, the court granted the Company’s motion for summary judgment on the remaining two claims, dismissing the action. Plaintiff appealed to the U.S. Court of Appeals for the Second Circuit, which issued a Summary Order on February 13, 2014 that affirmed the judgment of the District Court in part, and vacated and remanded in part.</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Management does not believe that the outcome of any such legal proceedings pending against the Company or its consolidated subsidiaries, including </w:t>
      </w:r>
      <w:r>
        <w:rPr>
          <w:rFonts w:ascii="Arial" w:cs="Arial" w:eastAsia="Arial" w:hAnsi="Arial"/>
          <w:sz w:val="18"/>
          <w:szCs w:val="18"/>
          <w:i w:val="1"/>
          <w:iCs w:val="1"/>
          <w:color w:val="auto"/>
        </w:rPr>
        <w:t>In re</w:t>
      </w:r>
      <w:r>
        <w:rPr>
          <w:rFonts w:ascii="Arial" w:cs="Arial" w:eastAsia="Arial" w:hAnsi="Arial"/>
          <w:sz w:val="18"/>
          <w:szCs w:val="18"/>
          <w:color w:val="auto"/>
        </w:rPr>
        <w:t xml:space="preserve"> </w:t>
      </w:r>
      <w:r>
        <w:rPr>
          <w:rFonts w:ascii="Arial" w:cs="Arial" w:eastAsia="Arial" w:hAnsi="Arial"/>
          <w:sz w:val="18"/>
          <w:szCs w:val="18"/>
          <w:i w:val="1"/>
          <w:iCs w:val="1"/>
          <w:color w:val="auto"/>
        </w:rPr>
        <w:t>Foot Locker, Inc. Fair Labor Standards Act and Wage and Hour Litigation</w:t>
      </w:r>
      <w:r>
        <w:rPr>
          <w:rFonts w:ascii="Arial" w:cs="Arial" w:eastAsia="Arial" w:hAnsi="Arial"/>
          <w:sz w:val="18"/>
          <w:szCs w:val="18"/>
          <w:color w:val="auto"/>
        </w:rPr>
        <w:t>,</w:t>
      </w:r>
      <w:r>
        <w:rPr>
          <w:rFonts w:ascii="Arial" w:cs="Arial" w:eastAsia="Arial" w:hAnsi="Arial"/>
          <w:sz w:val="18"/>
          <w:szCs w:val="18"/>
          <w:i w:val="1"/>
          <w:iCs w:val="1"/>
          <w:color w:val="auto"/>
        </w:rPr>
        <w:t xml:space="preserve"> Hill, Cortes, Kissinger, McGlothin, </w:t>
      </w:r>
      <w:r>
        <w:rPr>
          <w:rFonts w:ascii="Arial" w:cs="Arial" w:eastAsia="Arial" w:hAnsi="Arial"/>
          <w:sz w:val="18"/>
          <w:szCs w:val="18"/>
          <w:color w:val="auto"/>
        </w:rPr>
        <w:t>and</w:t>
      </w:r>
      <w:r>
        <w:rPr>
          <w:rFonts w:ascii="Arial" w:cs="Arial" w:eastAsia="Arial" w:hAnsi="Arial"/>
          <w:sz w:val="18"/>
          <w:szCs w:val="18"/>
          <w:i w:val="1"/>
          <w:iCs w:val="1"/>
          <w:color w:val="auto"/>
        </w:rPr>
        <w:t xml:space="preserve"> Osberg</w:t>
      </w:r>
      <w:r>
        <w:rPr>
          <w:rFonts w:ascii="Arial" w:cs="Arial" w:eastAsia="Arial" w:hAnsi="Arial"/>
          <w:sz w:val="18"/>
          <w:szCs w:val="18"/>
          <w:color w:val="auto"/>
        </w:rPr>
        <w:t>, as described above, would have a</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adverse effect on the Company’s consolidated financial position, liquidity, or results of operations, taken as a whole. Litigation is inherently unpredictable, and judgments could be rendered or settlements entered that could adversely affect the Company’s operating results or cash flows in a particular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u w:val="single" w:color="auto"/>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disclosed in the 2013 Annual Report on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2. Unregistered Sales of Equity Securities and Use of Proceeds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with respect to shares of the Company’s common stock that the Company repurchased during the thirteen weeks ended May 3,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180"/>
        </w:trPr>
        <w:tc>
          <w:tcPr>
            <w:tcW w:w="4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40"/>
              <w:spacing w:after="0" w:line="181" w:lineRule="exact"/>
              <w:rPr>
                <w:sz w:val="20"/>
                <w:szCs w:val="20"/>
                <w:color w:val="auto"/>
              </w:rPr>
            </w:pPr>
            <w:r>
              <w:rPr>
                <w:rFonts w:ascii="Arial" w:cs="Arial" w:eastAsia="Arial" w:hAnsi="Arial"/>
                <w:sz w:val="18"/>
                <w:szCs w:val="18"/>
                <w:b w:val="1"/>
                <w:bCs w:val="1"/>
                <w:color w:val="auto"/>
                <w:w w:val="91"/>
              </w:rPr>
              <w:t>Dollar Value of</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320" w:type="dxa"/>
            <w:vAlign w:val="bottom"/>
          </w:tcPr>
          <w:p>
            <w:pPr>
              <w:spacing w:after="0"/>
              <w:rPr>
                <w:sz w:val="18"/>
                <w:szCs w:val="18"/>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4"/>
              </w:rPr>
              <w:t>Shares that may yet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Total Number</w:t>
            </w:r>
          </w:p>
        </w:tc>
        <w:tc>
          <w:tcPr>
            <w:tcW w:w="180" w:type="dxa"/>
            <w:vAlign w:val="bottom"/>
          </w:tcPr>
          <w:p>
            <w:pPr>
              <w:spacing w:after="0"/>
              <w:rPr>
                <w:sz w:val="18"/>
                <w:szCs w:val="18"/>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Average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as Part of Publicly</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be Purchased</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of Shares</w:t>
            </w:r>
          </w:p>
        </w:tc>
        <w:tc>
          <w:tcPr>
            <w:tcW w:w="180" w:type="dxa"/>
            <w:vAlign w:val="bottom"/>
          </w:tcPr>
          <w:p>
            <w:pPr>
              <w:spacing w:after="0"/>
              <w:rPr>
                <w:sz w:val="18"/>
                <w:szCs w:val="18"/>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Price Paid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320" w:type="dxa"/>
            <w:vAlign w:val="bottom"/>
          </w:tcPr>
          <w:p>
            <w:pPr>
              <w:spacing w:after="0"/>
              <w:rPr>
                <w:sz w:val="18"/>
                <w:szCs w:val="18"/>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8"/>
              </w:rPr>
              <w:t>Under the Program</w:t>
            </w:r>
          </w:p>
        </w:tc>
        <w:tc>
          <w:tcPr>
            <w:tcW w:w="0" w:type="dxa"/>
            <w:vAlign w:val="bottom"/>
          </w:tcPr>
          <w:p>
            <w:pPr>
              <w:spacing w:after="0"/>
              <w:rPr>
                <w:sz w:val="1"/>
                <w:szCs w:val="1"/>
                <w:color w:val="auto"/>
              </w:rPr>
            </w:pPr>
          </w:p>
        </w:tc>
      </w:tr>
      <w:tr>
        <w:trPr>
          <w:trHeight w:val="257"/>
        </w:trPr>
        <w:tc>
          <w:tcPr>
            <w:tcW w:w="4360" w:type="dxa"/>
            <w:vAlign w:val="bottom"/>
            <w:gridSpan w:val="2"/>
          </w:tcPr>
          <w:p>
            <w:pPr>
              <w:ind w:left="1460"/>
              <w:spacing w:after="0"/>
              <w:rPr>
                <w:sz w:val="20"/>
                <w:szCs w:val="20"/>
                <w:color w:val="auto"/>
              </w:rPr>
            </w:pPr>
            <w:r>
              <w:rPr>
                <w:rFonts w:ascii="Arial" w:cs="Arial" w:eastAsia="Arial" w:hAnsi="Arial"/>
                <w:sz w:val="18"/>
                <w:szCs w:val="18"/>
                <w:b w:val="1"/>
                <w:bCs w:val="1"/>
                <w:color w:val="auto"/>
              </w:rPr>
              <w:t>Date Purchased</w:t>
            </w:r>
          </w:p>
        </w:tc>
        <w:tc>
          <w:tcPr>
            <w:tcW w:w="1840" w:type="dxa"/>
            <w:vAlign w:val="bottom"/>
            <w:gridSpan w:val="2"/>
          </w:tcPr>
          <w:p>
            <w:pPr>
              <w:jc w:val="center"/>
              <w:ind w:right="340"/>
              <w:spacing w:after="0" w:line="256" w:lineRule="exact"/>
              <w:rPr>
                <w:sz w:val="20"/>
                <w:szCs w:val="20"/>
                <w:color w:val="auto"/>
              </w:rPr>
            </w:pPr>
            <w:r>
              <w:rPr>
                <w:rFonts w:ascii="Arial" w:cs="Arial" w:eastAsia="Arial" w:hAnsi="Arial"/>
                <w:sz w:val="18"/>
                <w:szCs w:val="18"/>
                <w:b w:val="1"/>
                <w:bCs w:val="1"/>
                <w:color w:val="auto"/>
                <w:w w:val="84"/>
              </w:rPr>
              <w:t xml:space="preserve">Purchased </w:t>
            </w:r>
            <w:r>
              <w:rPr>
                <w:rFonts w:ascii="Arial" w:cs="Arial" w:eastAsia="Arial" w:hAnsi="Arial"/>
                <w:sz w:val="29"/>
                <w:szCs w:val="29"/>
                <w:color w:val="auto"/>
                <w:w w:val="84"/>
                <w:vertAlign w:val="superscript"/>
              </w:rPr>
              <w:t>(1)</w:t>
            </w:r>
          </w:p>
        </w:tc>
        <w:tc>
          <w:tcPr>
            <w:tcW w:w="180" w:type="dxa"/>
            <w:vAlign w:val="bottom"/>
          </w:tcPr>
          <w:p>
            <w:pPr>
              <w:spacing w:after="0"/>
              <w:rPr>
                <w:sz w:val="22"/>
                <w:szCs w:val="22"/>
                <w:color w:val="auto"/>
              </w:rPr>
            </w:pPr>
          </w:p>
        </w:tc>
        <w:tc>
          <w:tcPr>
            <w:tcW w:w="1620" w:type="dxa"/>
            <w:vAlign w:val="bottom"/>
            <w:gridSpan w:val="2"/>
          </w:tcPr>
          <w:p>
            <w:pPr>
              <w:jc w:val="center"/>
              <w:ind w:right="500"/>
              <w:spacing w:after="0" w:line="256" w:lineRule="exact"/>
              <w:rPr>
                <w:sz w:val="20"/>
                <w:szCs w:val="20"/>
                <w:color w:val="auto"/>
              </w:rPr>
            </w:pPr>
            <w:r>
              <w:rPr>
                <w:rFonts w:ascii="Arial" w:cs="Arial" w:eastAsia="Arial" w:hAnsi="Arial"/>
                <w:sz w:val="18"/>
                <w:szCs w:val="18"/>
                <w:b w:val="1"/>
                <w:bCs w:val="1"/>
                <w:color w:val="auto"/>
                <w:w w:val="85"/>
              </w:rPr>
              <w:t xml:space="preserve">per Share </w:t>
            </w:r>
            <w:r>
              <w:rPr>
                <w:rFonts w:ascii="Arial" w:cs="Arial" w:eastAsia="Arial" w:hAnsi="Arial"/>
                <w:sz w:val="29"/>
                <w:szCs w:val="29"/>
                <w:color w:val="auto"/>
                <w:w w:val="85"/>
                <w:vertAlign w:val="superscript"/>
              </w:rPr>
              <w:t>(1)</w:t>
            </w:r>
          </w:p>
        </w:tc>
        <w:tc>
          <w:tcPr>
            <w:tcW w:w="1480" w:type="dxa"/>
            <w:vAlign w:val="bottom"/>
          </w:tcPr>
          <w:p>
            <w:pPr>
              <w:jc w:val="center"/>
              <w:spacing w:after="0" w:line="256" w:lineRule="exact"/>
              <w:rPr>
                <w:sz w:val="20"/>
                <w:szCs w:val="20"/>
                <w:color w:val="auto"/>
              </w:rPr>
            </w:pPr>
            <w:r>
              <w:rPr>
                <w:rFonts w:ascii="Arial" w:cs="Arial" w:eastAsia="Arial" w:hAnsi="Arial"/>
                <w:sz w:val="18"/>
                <w:szCs w:val="18"/>
                <w:b w:val="1"/>
                <w:bCs w:val="1"/>
                <w:color w:val="auto"/>
                <w:w w:val="89"/>
              </w:rPr>
              <w:t xml:space="preserve">Program </w:t>
            </w:r>
            <w:r>
              <w:rPr>
                <w:rFonts w:ascii="Arial" w:cs="Arial" w:eastAsia="Arial" w:hAnsi="Arial"/>
                <w:sz w:val="29"/>
                <w:szCs w:val="29"/>
                <w:color w:val="auto"/>
                <w:w w:val="89"/>
                <w:vertAlign w:val="superscript"/>
              </w:rPr>
              <w:t>(2)</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center"/>
              <w:ind w:right="72"/>
              <w:spacing w:after="0"/>
              <w:rPr>
                <w:sz w:val="20"/>
                <w:szCs w:val="20"/>
                <w:color w:val="auto"/>
              </w:rPr>
            </w:pPr>
            <w:r>
              <w:rPr>
                <w:rFonts w:ascii="Arial" w:cs="Arial" w:eastAsia="Arial" w:hAnsi="Arial"/>
                <w:sz w:val="15"/>
                <w:szCs w:val="15"/>
                <w:color w:val="auto"/>
                <w:w w:val="97"/>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2, 2014 through March 1, 2014</w:t>
            </w:r>
          </w:p>
        </w:tc>
        <w:tc>
          <w:tcPr>
            <w:tcW w:w="2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3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370,576,339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March 2, 2014 through April 5, 2014</w:t>
            </w:r>
          </w:p>
        </w:tc>
        <w:tc>
          <w:tcPr>
            <w:tcW w:w="1500" w:type="dxa"/>
            <w:vAlign w:val="bottom"/>
          </w:tcPr>
          <w:p>
            <w:pPr>
              <w:jc w:val="right"/>
              <w:spacing w:after="0"/>
              <w:rPr>
                <w:sz w:val="20"/>
                <w:szCs w:val="20"/>
                <w:color w:val="auto"/>
              </w:rPr>
            </w:pPr>
            <w:r>
              <w:rPr>
                <w:rFonts w:ascii="Arial" w:cs="Arial" w:eastAsia="Arial" w:hAnsi="Arial"/>
                <w:sz w:val="18"/>
                <w:szCs w:val="18"/>
                <w:color w:val="auto"/>
              </w:rPr>
              <w:t>1,068,670</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46.28</w:t>
            </w: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830,525</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332,035,847</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6, 2014 through May 3, 2014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699,728</w:t>
            </w:r>
          </w:p>
        </w:tc>
        <w:tc>
          <w:tcPr>
            <w:tcW w:w="3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3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699,728</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300,580,984</w:t>
            </w:r>
          </w:p>
        </w:tc>
        <w:tc>
          <w:tcPr>
            <w:tcW w:w="0" w:type="dxa"/>
            <w:vAlign w:val="bottom"/>
          </w:tcPr>
          <w:p>
            <w:pPr>
              <w:spacing w:after="0"/>
              <w:rPr>
                <w:sz w:val="1"/>
                <w:szCs w:val="1"/>
                <w:color w:val="auto"/>
              </w:rPr>
            </w:pPr>
          </w:p>
        </w:tc>
      </w:tr>
      <w:tr>
        <w:trPr>
          <w:trHeight w:val="224"/>
        </w:trPr>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1,768,971</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45.75</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1,530,253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60" w:hanging="652"/>
        <w:spacing w:after="0" w:line="209" w:lineRule="auto"/>
        <w:tabs>
          <w:tab w:leader="none" w:pos="66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These columns also reflect shares acquired in satisfaction of the tax withholding obligation of holders of restricted stock units which vested during the quarter. The calculation of the average price paid per share includes all fees, commissions, and other costs associated with the repurchase of such shares.</w:t>
      </w:r>
    </w:p>
    <w:p>
      <w:pPr>
        <w:spacing w:after="0" w:line="1" w:lineRule="exact"/>
        <w:rPr>
          <w:rFonts w:ascii="Arial" w:cs="Arial" w:eastAsia="Arial" w:hAnsi="Arial"/>
          <w:sz w:val="30"/>
          <w:szCs w:val="30"/>
          <w:color w:val="auto"/>
          <w:vertAlign w:val="superscript"/>
        </w:rPr>
      </w:pPr>
    </w:p>
    <w:p>
      <w:pPr>
        <w:ind w:left="660" w:hanging="652"/>
        <w:spacing w:after="0" w:line="187" w:lineRule="auto"/>
        <w:tabs>
          <w:tab w:leader="none" w:pos="66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On February 20, 2013, the Company’s Board of Directors approved a 3-year, $600 million share repurchase program extending through January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6. Exhibits</w:t>
      </w:r>
    </w:p>
    <w:p>
      <w:pPr>
        <w:spacing w:after="0" w:line="225" w:lineRule="exact"/>
        <w:rPr>
          <w:sz w:val="20"/>
          <w:szCs w:val="20"/>
          <w:color w:val="auto"/>
        </w:rPr>
      </w:pPr>
    </w:p>
    <w:p>
      <w:pPr>
        <w:ind w:left="820" w:hanging="507"/>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3"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The exhibits that are in this report immediately follow the index.</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FOOT LOCKER, INC.</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June 11, 2014</w:t>
            </w:r>
          </w:p>
        </w:tc>
        <w:tc>
          <w:tcPr>
            <w:tcW w:w="26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(Company)</w:t>
            </w:r>
          </w:p>
        </w:tc>
      </w:tr>
      <w:tr>
        <w:trPr>
          <w:trHeight w:val="432"/>
        </w:trPr>
        <w:tc>
          <w:tcPr>
            <w:tcW w:w="35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 B. Peters</w:t>
            </w:r>
          </w:p>
        </w:tc>
      </w:tr>
      <w:tr>
        <w:trPr>
          <w:trHeight w:val="195"/>
        </w:trPr>
        <w:tc>
          <w:tcPr>
            <w:tcW w:w="35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LAUREN B. PETERS</w:t>
            </w:r>
          </w:p>
        </w:tc>
      </w:tr>
      <w:tr>
        <w:trPr>
          <w:trHeight w:val="230"/>
        </w:trPr>
        <w:tc>
          <w:tcPr>
            <w:tcW w:w="3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648"/>
        </w:trPr>
        <w:tc>
          <w:tcPr>
            <w:tcW w:w="35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26</w:t>
            </w: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580" w:type="dxa"/>
            <w:vAlign w:val="bottom"/>
            <w:gridSpan w:val="2"/>
          </w:tcPr>
          <w:p>
            <w:pPr>
              <w:ind w:left="1980"/>
              <w:spacing w:after="0"/>
              <w:rPr>
                <w:sz w:val="20"/>
                <w:szCs w:val="20"/>
                <w:color w:val="auto"/>
              </w:rPr>
            </w:pPr>
            <w:r>
              <w:rPr>
                <w:rFonts w:ascii="Arial" w:cs="Arial" w:eastAsia="Arial" w:hAnsi="Arial"/>
                <w:sz w:val="18"/>
                <w:szCs w:val="18"/>
                <w:b w:val="1"/>
                <w:bCs w:val="1"/>
                <w:color w:val="auto"/>
              </w:rPr>
              <w:t>FOOT LOCKER, INC.</w:t>
            </w:r>
          </w:p>
        </w:tc>
      </w:tr>
      <w:tr>
        <w:trPr>
          <w:trHeight w:val="414"/>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580" w:type="dxa"/>
            <w:vAlign w:val="bottom"/>
            <w:gridSpan w:val="2"/>
          </w:tcPr>
          <w:p>
            <w:pPr>
              <w:jc w:val="center"/>
              <w:ind w:right="2180"/>
              <w:spacing w:after="0"/>
              <w:rPr>
                <w:sz w:val="20"/>
                <w:szCs w:val="20"/>
                <w:color w:val="auto"/>
              </w:rPr>
            </w:pPr>
            <w:r>
              <w:rPr>
                <w:rFonts w:ascii="Arial" w:cs="Arial" w:eastAsia="Arial" w:hAnsi="Arial"/>
                <w:sz w:val="18"/>
                <w:szCs w:val="18"/>
                <w:b w:val="1"/>
                <w:bCs w:val="1"/>
                <w:color w:val="auto"/>
              </w:rPr>
              <w:t>INDEX OF EXHIBITS REQUIRED BY ITEM 6(a) OF FORM 10-Q</w:t>
            </w:r>
          </w:p>
        </w:tc>
      </w:tr>
      <w:tr>
        <w:trPr>
          <w:trHeight w:val="194"/>
        </w:trPr>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920" w:type="dxa"/>
            <w:vAlign w:val="bottom"/>
            <w:gridSpan w:val="3"/>
          </w:tcPr>
          <w:p>
            <w:pPr>
              <w:jc w:val="center"/>
              <w:ind w:right="860"/>
              <w:spacing w:after="0" w:line="194" w:lineRule="exact"/>
              <w:rPr>
                <w:sz w:val="20"/>
                <w:szCs w:val="20"/>
                <w:color w:val="auto"/>
              </w:rPr>
            </w:pPr>
            <w:r>
              <w:rPr>
                <w:rFonts w:ascii="Arial" w:cs="Arial" w:eastAsia="Arial" w:hAnsi="Arial"/>
                <w:sz w:val="18"/>
                <w:szCs w:val="18"/>
                <w:b w:val="1"/>
                <w:bCs w:val="1"/>
                <w:color w:val="auto"/>
              </w:rPr>
              <w:t>AND FURNISHED IN ACCORDANCE WITH ITEM 601 OF REGULATION S-K</w:t>
            </w:r>
          </w:p>
        </w:tc>
      </w:tr>
      <w:tr>
        <w:trPr>
          <w:trHeight w:val="434"/>
        </w:trPr>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 No.</w:t>
            </w:r>
          </w:p>
        </w:tc>
        <w:tc>
          <w:tcPr>
            <w:tcW w:w="1340" w:type="dxa"/>
            <w:vAlign w:val="bottom"/>
          </w:tcPr>
          <w:p>
            <w:pPr>
              <w:spacing w:after="0"/>
              <w:rPr>
                <w:sz w:val="24"/>
                <w:szCs w:val="24"/>
                <w:color w:val="auto"/>
              </w:rPr>
            </w:pPr>
          </w:p>
        </w:tc>
        <w:tc>
          <w:tcPr>
            <w:tcW w:w="6380" w:type="dxa"/>
            <w:vAlign w:val="bottom"/>
            <w:tcBorders>
              <w:top w:val="single" w:sz="8" w:color="auto"/>
            </w:tcBorders>
          </w:tcPr>
          <w:p>
            <w:pPr>
              <w:spacing w:after="0"/>
              <w:rPr>
                <w:sz w:val="24"/>
                <w:szCs w:val="24"/>
                <w:color w:val="auto"/>
              </w:rPr>
            </w:pPr>
          </w:p>
        </w:tc>
        <w:tc>
          <w:tcPr>
            <w:tcW w:w="2200" w:type="dxa"/>
            <w:vAlign w:val="bottom"/>
          </w:tcPr>
          <w:p>
            <w:pPr>
              <w:spacing w:after="0"/>
              <w:rPr>
                <w:sz w:val="24"/>
                <w:szCs w:val="24"/>
                <w:color w:val="auto"/>
              </w:rPr>
            </w:pPr>
          </w:p>
        </w:tc>
      </w:tr>
      <w:tr>
        <w:trPr>
          <w:trHeight w:val="234"/>
        </w:trPr>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Item 601</w:t>
            </w:r>
          </w:p>
        </w:tc>
        <w:tc>
          <w:tcPr>
            <w:tcW w:w="99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240" w:type="dxa"/>
            <w:vAlign w:val="bottom"/>
          </w:tcPr>
          <w:p>
            <w:pPr>
              <w:spacing w:after="0"/>
              <w:rPr>
                <w:sz w:val="19"/>
                <w:szCs w:val="19"/>
                <w:color w:val="auto"/>
              </w:rPr>
            </w:pPr>
          </w:p>
        </w:tc>
        <w:tc>
          <w:tcPr>
            <w:tcW w:w="99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24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Accountants’ Acknowledgement.</w:t>
            </w: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24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3"/>
              </w:rPr>
              <w:t>Certification of Chief Executive Officer Pursuant to Rule 13a-14(a) or 15d-14(a), as adopted pursuant to Section 302 of the Sarbanes-</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Oxley Act of 2002.</w:t>
            </w: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3"/>
              </w:rPr>
              <w:t>Certification of Chief Financial Officer Pursuant to Rule 13a-14(a) or 15d-14(a), as adopted pursuant to Section 302 of the Sarbanes-</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Oxley Act of 2002.</w:t>
            </w: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24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Section 1350, as Adopted Pursuant to Section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906 of the Sarbanes-Oxley Act of 2002.</w:t>
            </w: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24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Report of Independent Registered Public Accounting Firm.</w:t>
            </w: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24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Interactive data files.</w:t>
            </w:r>
          </w:p>
        </w:tc>
      </w:tr>
      <w:tr>
        <w:trPr>
          <w:trHeight w:val="648"/>
        </w:trPr>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gridSpan w:val="2"/>
          </w:tcPr>
          <w:p>
            <w:pPr>
              <w:ind w:left="4120"/>
              <w:spacing w:after="0"/>
              <w:rPr>
                <w:sz w:val="20"/>
                <w:szCs w:val="20"/>
                <w:color w:val="auto"/>
              </w:rPr>
            </w:pPr>
            <w:r>
              <w:rPr>
                <w:rFonts w:ascii="Arial" w:cs="Arial" w:eastAsia="Arial" w:hAnsi="Arial"/>
                <w:sz w:val="18"/>
                <w:szCs w:val="18"/>
                <w:color w:val="auto"/>
              </w:rPr>
              <w:t>27</w:t>
            </w:r>
          </w:p>
        </w:tc>
        <w:tc>
          <w:tcPr>
            <w:tcW w:w="2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Thirteen weeks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Fiscal year ended</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May 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68"/>
              <w:spacing w:after="0" w:line="133" w:lineRule="exact"/>
              <w:rPr>
                <w:sz w:val="20"/>
                <w:szCs w:val="20"/>
                <w:color w:val="auto"/>
              </w:rPr>
            </w:pPr>
            <w:r>
              <w:rPr>
                <w:rFonts w:ascii="Arial" w:cs="Arial" w:eastAsia="Arial" w:hAnsi="Arial"/>
                <w:sz w:val="14"/>
                <w:szCs w:val="14"/>
                <w:b w:val="1"/>
                <w:bCs w:val="1"/>
                <w:color w:val="auto"/>
              </w:rPr>
              <w:t>May 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260"/>
              <w:spacing w:after="0" w:line="133" w:lineRule="exact"/>
              <w:rPr>
                <w:sz w:val="20"/>
                <w:szCs w:val="20"/>
                <w:color w:val="auto"/>
              </w:rPr>
            </w:pPr>
            <w:r>
              <w:rPr>
                <w:rFonts w:ascii="Arial" w:cs="Arial" w:eastAsia="Arial" w:hAnsi="Arial"/>
                <w:sz w:val="14"/>
                <w:szCs w:val="14"/>
                <w:b w:val="1"/>
                <w:bCs w:val="1"/>
                <w:color w:val="auto"/>
                <w:w w:val="94"/>
              </w:rPr>
              <w:t>Feb. 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68"/>
              <w:spacing w:after="0" w:line="133" w:lineRule="exact"/>
              <w:rPr>
                <w:sz w:val="20"/>
                <w:szCs w:val="20"/>
                <w:color w:val="auto"/>
              </w:rPr>
            </w:pPr>
            <w:r>
              <w:rPr>
                <w:rFonts w:ascii="Arial" w:cs="Arial" w:eastAsia="Arial" w:hAnsi="Arial"/>
                <w:sz w:val="14"/>
                <w:szCs w:val="14"/>
                <w:b w:val="1"/>
                <w:bCs w:val="1"/>
                <w:color w:val="auto"/>
                <w:w w:val="94"/>
              </w:rPr>
              <w:t>Feb. 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9"/>
              </w:rPr>
              <w:t>Jan. 28,</w:t>
            </w:r>
          </w:p>
        </w:tc>
        <w:tc>
          <w:tcPr>
            <w:tcW w:w="100" w:type="dxa"/>
            <w:vAlign w:val="bottom"/>
          </w:tcPr>
          <w:p>
            <w:pPr>
              <w:spacing w:after="0"/>
              <w:rPr>
                <w:sz w:val="11"/>
                <w:szCs w:val="11"/>
                <w:color w:val="auto"/>
              </w:rPr>
            </w:pPr>
          </w:p>
        </w:tc>
        <w:tc>
          <w:tcPr>
            <w:tcW w:w="680" w:type="dxa"/>
            <w:vAlign w:val="bottom"/>
            <w:gridSpan w:val="2"/>
          </w:tcPr>
          <w:p>
            <w:pPr>
              <w:jc w:val="right"/>
              <w:ind w:right="200"/>
              <w:spacing w:after="0" w:line="133" w:lineRule="exact"/>
              <w:rPr>
                <w:sz w:val="20"/>
                <w:szCs w:val="20"/>
                <w:color w:val="auto"/>
              </w:rPr>
            </w:pPr>
            <w:r>
              <w:rPr>
                <w:rFonts w:ascii="Arial" w:cs="Arial" w:eastAsia="Arial" w:hAnsi="Arial"/>
                <w:sz w:val="14"/>
                <w:szCs w:val="14"/>
                <w:b w:val="1"/>
                <w:bCs w:val="1"/>
                <w:color w:val="auto"/>
                <w:w w:val="89"/>
              </w:rPr>
              <w:t>Jan. 29,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28"/>
              <w:spacing w:after="0" w:line="133" w:lineRule="exact"/>
              <w:rPr>
                <w:sz w:val="20"/>
                <w:szCs w:val="20"/>
                <w:color w:val="auto"/>
              </w:rPr>
            </w:pPr>
            <w:r>
              <w:rPr>
                <w:rFonts w:ascii="Arial" w:cs="Arial" w:eastAsia="Arial" w:hAnsi="Arial"/>
                <w:sz w:val="14"/>
                <w:szCs w:val="14"/>
                <w:b w:val="1"/>
                <w:bCs w:val="1"/>
                <w:color w:val="auto"/>
                <w:w w:val="93"/>
              </w:rPr>
              <w:t>Jan.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6"/>
              </w:rPr>
              <w:t>2012</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EARNINGS</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162</w:t>
            </w:r>
          </w:p>
        </w:tc>
        <w:tc>
          <w:tcPr>
            <w:tcW w:w="12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138</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429</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397</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278</w:t>
            </w:r>
          </w:p>
        </w:tc>
        <w:tc>
          <w:tcPr>
            <w:tcW w:w="2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169</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Interest expense, excluding capitalized interest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Portion of rents deemed representative of the interest factor</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316</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274</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910</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840</w:t>
            </w: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666</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484</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FIXED CHARGES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20"/>
                <w:szCs w:val="20"/>
                <w:color w:val="auto"/>
              </w:rPr>
            </w:pPr>
            <w:r>
              <w:rPr>
                <w:rFonts w:ascii="Arial" w:cs="Arial" w:eastAsia="Arial" w:hAnsi="Arial"/>
                <w:sz w:val="14"/>
                <w:szCs w:val="14"/>
                <w:color w:val="auto"/>
              </w:rPr>
              <w:t>Portion of rents deemed representative of the interest factor</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247</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233</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231</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227</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EARNINGS TO FIXED CHARGES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ACCOUNTANTS’ ACKNOWLEDGEMENT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We hereby acknowledge our awareness of the use of our report dated June 11, 2014 related to our review of interim financial information in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Statements:</w:t>
      </w:r>
    </w:p>
    <w:p>
      <w:pPr>
        <w:spacing w:after="0" w:line="211" w:lineRule="exact"/>
        <w:rPr>
          <w:sz w:val="20"/>
          <w:szCs w:val="20"/>
          <w:color w:val="auto"/>
        </w:rPr>
      </w:pPr>
    </w:p>
    <w:p>
      <w:pPr>
        <w:ind w:left="380" w:hanging="318"/>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S-8 No. 33-10783</w:t>
      </w:r>
    </w:p>
    <w:p>
      <w:pPr>
        <w:spacing w:after="0" w:line="23" w:lineRule="exact"/>
        <w:rPr>
          <w:rFonts w:ascii="Arial" w:cs="Arial" w:eastAsia="Arial" w:hAnsi="Arial"/>
          <w:sz w:val="18"/>
          <w:szCs w:val="18"/>
          <w:color w:val="auto"/>
        </w:rPr>
      </w:pPr>
    </w:p>
    <w:p>
      <w:pPr>
        <w:ind w:left="380" w:hanging="318"/>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S-8 No. 33-91888</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S-8 No. 33-91886</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S-8 No. 33-97832</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S-8 No. 333-07215</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S-8 No. 333-21131</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S-8 No. 333-62425</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S-8 No. 333-33120</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S-8 No. 333-41056</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S-8 No. 333-41058</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S-8 No. 333-74688</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S-8 No. 333-99829</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S-8 No. 333-111222</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S-8 No. 333-121515</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S-8 No. 333-144044</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S-8 No. 333-149803</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S-3 No. 33-43334</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S-3 No. 33-86300</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S-3 No. 333-64930</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S-8 No. 333-167066</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S-8 No. 333-171523</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S-8 No. 333-190680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Rule 436(c) under the Securities Act of 1933 (the Act), such report is not considered a part of the registration statement prepared or certified by an independent registered public accounting firm or a report prepared or certified by an independent registered public accounting firm within the meaning of Sections 7 and 11 of the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 C. Hicks, certify that:</w:t>
      </w:r>
    </w:p>
    <w:p>
      <w:pPr>
        <w:spacing w:after="0" w:line="23"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21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00" w:hanging="646"/>
        <w:spacing w:after="0" w:line="264" w:lineRule="auto"/>
        <w:tabs>
          <w:tab w:leader="none" w:pos="11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00" w:hanging="646"/>
        <w:spacing w:after="0" w:line="264" w:lineRule="auto"/>
        <w:tabs>
          <w:tab w:leader="none" w:pos="11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00" w:hanging="646"/>
        <w:spacing w:after="0" w:line="308" w:lineRule="auto"/>
        <w:tabs>
          <w:tab w:leader="none" w:pos="11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00" w:hanging="646"/>
        <w:spacing w:after="0" w:line="264" w:lineRule="auto"/>
        <w:tabs>
          <w:tab w:leader="none" w:pos="11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right="20" w:hanging="452"/>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00" w:hanging="646"/>
        <w:spacing w:after="0" w:line="308" w:lineRule="auto"/>
        <w:tabs>
          <w:tab w:leader="none" w:pos="11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00" w:hanging="646"/>
        <w:spacing w:after="0" w:line="277" w:lineRule="auto"/>
        <w:tabs>
          <w:tab w:leader="none" w:pos="11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June 11, 2014</w:t>
      </w:r>
    </w:p>
    <w:p>
      <w:pPr>
        <w:spacing w:after="0" w:line="2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Ken C. Hicks</w:t>
      </w:r>
    </w:p>
    <w:p>
      <w:pPr>
        <w:spacing w:after="0" w:line="9"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-130810</wp:posOffset>
            </wp:positionV>
            <wp:extent cx="20237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237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Lauren B. Peters, certify that:</w:t>
      </w:r>
    </w:p>
    <w:p>
      <w:pPr>
        <w:spacing w:after="0" w:line="23"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21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00" w:hanging="646"/>
        <w:spacing w:after="0" w:line="264" w:lineRule="auto"/>
        <w:tabs>
          <w:tab w:leader="none" w:pos="11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00" w:hanging="646"/>
        <w:spacing w:after="0" w:line="264" w:lineRule="auto"/>
        <w:tabs>
          <w:tab w:leader="none" w:pos="11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00" w:hanging="646"/>
        <w:spacing w:after="0" w:line="308" w:lineRule="auto"/>
        <w:tabs>
          <w:tab w:leader="none" w:pos="11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00" w:hanging="646"/>
        <w:spacing w:after="0" w:line="264" w:lineRule="auto"/>
        <w:tabs>
          <w:tab w:leader="none" w:pos="11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right="20" w:hanging="452"/>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00" w:hanging="646"/>
        <w:spacing w:after="0" w:line="308" w:lineRule="auto"/>
        <w:tabs>
          <w:tab w:leader="none" w:pos="11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00" w:hanging="646"/>
        <w:spacing w:after="0" w:line="277" w:lineRule="auto"/>
        <w:tabs>
          <w:tab w:leader="none" w:pos="11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June 11, 2014</w:t>
      </w:r>
    </w:p>
    <w:p>
      <w:pPr>
        <w:spacing w:after="0" w:line="2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Lauren B. Peters</w:t>
      </w:r>
    </w:p>
    <w:p>
      <w:pPr>
        <w:spacing w:after="0" w:line="9"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-130810</wp:posOffset>
            </wp:positionV>
            <wp:extent cx="20237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237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Foot Locker, Inc. (the “Registrant”) for the quarterly period ended May 3, 2014, as filed with the Securities and Exchange Commission on the date hereof (the “Report”), Ken C. Hicks, as Chief Executive Officer of the Registrant and Lauren B. Peters as Chief Financial Officer of the Registrant, each hereby certifies, pursuant to 18 U.S.C. Section 1350, as adopted pursuant to Section 906 of the Sarbanes-Oxley Act of 2002, that:</w:t>
      </w:r>
    </w:p>
    <w:p>
      <w:pPr>
        <w:spacing w:after="0" w:line="187"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June 11, 2014</w:t>
      </w:r>
    </w:p>
    <w:p>
      <w:pPr>
        <w:spacing w:after="0" w:line="2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 Ken C. Hicks</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Ken C.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-130810</wp:posOffset>
            </wp:positionV>
            <wp:extent cx="18097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 Lauren B. Peters</w:t>
      </w:r>
    </w:p>
    <w:p>
      <w:pPr>
        <w:spacing w:after="0" w:line="2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-130810</wp:posOffset>
            </wp:positionV>
            <wp:extent cx="18097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have reviewed the accompanying condensed consolidated balance sheets of Foot Locker, Inc. and subsidiaries as of May 3, 2014 and May 4, 2013, and the related condensed consolidated statements of operations, comprehensive income, and cash flows for the thirteen week periods ended May 3, 2014 and May 4, 2013. These condensed consolidated financial statements are the responsibility of the Company’s management.</w:t>
      </w:r>
    </w:p>
    <w:p>
      <w:pPr>
        <w:spacing w:after="0" w:line="166"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condensed consolidated financial statements referred to above for them to be in conformity with U.S. generally accepted accounting principles.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balance sheet of Foot Locker, Inc. and subsidiaries as of February 1, 2014, and the related consolidated statements of operations, comprehensive income, shareholders’ equity, and cash flows for the year then ended (not presented herein); and in our report dated March 31, 2014 we expressed an unqualified opinion on those consolidated financial statements. In our opinion, the information set forth in the accompanying condensed consolidated balance sheet as of February 1, 2014, is fairly stated, in all material respects, in relation to the consolidated balance sheet from which it has been derived.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þ"/>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2"/>
    </w:lvl>
  </w:abstractNum>
  <w:abstractNum w:abstractNumId="5">
    <w:nsid w:val="519B500D"/>
    <w:multiLevelType w:val="hybridMultilevel"/>
    <w:lvl w:ilvl="0">
      <w:lvlJc w:val="left"/>
      <w:lvlText w:val="%1."/>
      <w:numFmt w:val="decimal"/>
      <w:start w:val="2"/>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3"/>
    </w:lvl>
  </w:abstractNum>
  <w:abstractNum w:abstractNumId="8">
    <w:nsid w:val="7C83E458"/>
    <w:multiLevelType w:val="hybridMultilevel"/>
    <w:lvl w:ilvl="0">
      <w:lvlJc w:val="left"/>
      <w:lvlText w:val="%1."/>
      <w:numFmt w:val="decimal"/>
      <w:start w:val="3"/>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5"/>
    </w:lvl>
  </w:abstractNum>
  <w:abstractNum w:abstractNumId="11">
    <w:nsid w:val="436C6125"/>
    <w:multiLevelType w:val="hybridMultilevel"/>
    <w:lvl w:ilvl="0">
      <w:lvlJc w:val="left"/>
      <w:lvlText w:val="%1."/>
      <w:numFmt w:val="decimal"/>
      <w:start w:val="5"/>
    </w:lvl>
  </w:abstractNum>
  <w:abstractNum w:abstractNumId="12">
    <w:nsid w:val="628C895D"/>
    <w:multiLevelType w:val="hybridMultilevel"/>
    <w:lvl w:ilvl="0">
      <w:lvlJc w:val="left"/>
      <w:lvlText w:val="%1."/>
      <w:numFmt w:val="decimal"/>
      <w:start w:val="6"/>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7"/>
    </w:lvl>
  </w:abstractNum>
  <w:abstractNum w:abstractNumId="15">
    <w:nsid w:val="2443A858"/>
    <w:multiLevelType w:val="hybridMultilevel"/>
    <w:lvl w:ilvl="0">
      <w:lvlJc w:val="left"/>
      <w:lvlText w:val="%1."/>
      <w:numFmt w:val="decimal"/>
      <w:start w:val="7"/>
    </w:lvl>
  </w:abstractNum>
  <w:abstractNum w:abstractNumId="16">
    <w:nsid w:val="2D1D5AE9"/>
    <w:multiLevelType w:val="hybridMultilevel"/>
    <w:lvl w:ilvl="0">
      <w:lvlJc w:val="left"/>
      <w:lvlText w:val="%1."/>
      <w:numFmt w:val="decimal"/>
      <w:start w:val="8"/>
    </w:lvl>
  </w:abstractNum>
  <w:abstractNum w:abstractNumId="17">
    <w:nsid w:val="6763845E"/>
    <w:multiLevelType w:val="hybridMultilevel"/>
    <w:lvl w:ilvl="0">
      <w:lvlJc w:val="left"/>
      <w:lvlText w:val="%1."/>
      <w:numFmt w:val="decimal"/>
      <w:start w:val="9"/>
    </w:lvl>
  </w:abstractNum>
  <w:abstractNum w:abstractNumId="18">
    <w:nsid w:val="75A2A8D4"/>
    <w:multiLevelType w:val="hybridMultilevel"/>
    <w:lvl w:ilvl="0">
      <w:lvlJc w:val="left"/>
      <w:lvlText w:val="%1."/>
      <w:numFmt w:val="decimal"/>
      <w:start w:val="9"/>
    </w:lvl>
  </w:abstractNum>
  <w:abstractNum w:abstractNumId="19">
    <w:nsid w:val="8EDBDAB"/>
    <w:multiLevelType w:val="hybridMultilevel"/>
    <w:lvl w:ilvl="0">
      <w:lvlJc w:val="left"/>
      <w:lvlText w:val="%1."/>
      <w:numFmt w:val="decimal"/>
      <w:start w:val="9"/>
    </w:lvl>
  </w:abstractNum>
  <w:abstractNum w:abstractNumId="20">
    <w:nsid w:val="79838CB2"/>
    <w:multiLevelType w:val="hybridMultilevel"/>
    <w:lvl w:ilvl="0">
      <w:lvlJc w:val="left"/>
      <w:lvlText w:val="%1."/>
      <w:numFmt w:val="decimal"/>
      <w:start w:val="9"/>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4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2019-12-06T03:10:02Z</dcterms:created>
  <dcterms:modified xsi:type="dcterms:W3CDTF">2019-12-06T03:10:02Z</dcterms:modified>
</cp:coreProperties>
</file>