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001-10299</w:t>
        </w:r>
      </w:hyperlink>
    </w:p>
    <w:p>
      <w:pPr>
        <w:spacing w:after="0" w:line="136" w:lineRule="exact"/>
        <w:rPr>
          <w:sz w:val="24"/>
          <w:szCs w:val="24"/>
          <w:color w:val="auto"/>
        </w:rPr>
      </w:pPr>
    </w:p>
    <w:p>
      <w:pPr>
        <w:ind w:left="3100"/>
        <w:spacing w:after="0"/>
        <w:tabs>
          <w:tab w:leader="none" w:pos="396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FOOT LOCKER, INC.</w:t>
        </w:r>
      </w:hyperlink>
    </w:p>
    <w:p>
      <w:pPr>
        <w:spacing w:after="0" w:line="5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20"/>
        <w:spacing w:after="0"/>
        <w:tabs>
          <w:tab w:leader="none" w:pos="40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330 West 34th Street</w:t>
      </w:r>
    </w:p>
    <w:p>
      <w:pPr>
        <w:spacing w:after="0" w:line="62"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0000FF"/>
        </w:rPr>
        <w:t>New York NEW YORK 10001</w:t>
      </w:r>
    </w:p>
    <w:p>
      <w:pPr>
        <w:spacing w:after="0" w:line="63" w:lineRule="exact"/>
        <w:rPr>
          <w:sz w:val="24"/>
          <w:szCs w:val="24"/>
          <w:color w:val="auto"/>
        </w:rPr>
      </w:pPr>
    </w:p>
    <w:p>
      <w:pPr>
        <w:ind w:left="2520"/>
        <w:spacing w:after="0"/>
        <w:tabs>
          <w:tab w:leader="none" w:pos="638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(212) 720-4474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8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NEW YORK STOCK EXCHANGE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2025-09-08</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62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Tyler Mastronardi</w:t>
            </w:r>
          </w:p>
        </w:tc>
        <w:tc>
          <w:tcPr>
            <w:tcW w:w="260" w:type="dxa"/>
            <w:vAlign w:val="bottom"/>
          </w:tcPr>
          <w:p>
            <w:pPr>
              <w:spacing w:after="0"/>
              <w:rPr>
                <w:sz w:val="21"/>
                <w:szCs w:val="21"/>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Analyst, Market Watch</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6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line="249" w:lineRule="auto"/>
        <w:rPr>
          <w:sz w:val="20"/>
          <w:szCs w:val="20"/>
          <w:color w:val="auto"/>
        </w:rPr>
      </w:pPr>
      <w:r>
        <w:rPr>
          <w:rFonts w:ascii="Times New Roman" w:cs="Times New Roman" w:eastAsia="Times New Roman" w:hAnsi="Times New Roman"/>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September 19, 2025, pursuant to the provisions of Rule 12d2-2 (a). [ X</w:t>
      </w:r>
    </w:p>
    <w:p>
      <w:pPr>
        <w:spacing w:after="0" w:line="2" w:lineRule="exact"/>
        <w:rPr>
          <w:sz w:val="20"/>
          <w:szCs w:val="20"/>
          <w:color w:val="auto"/>
        </w:rPr>
      </w:pPr>
    </w:p>
    <w:p>
      <w:pPr>
        <w:ind w:right="80" w:firstLine="8"/>
        <w:spacing w:after="0" w:line="232" w:lineRule="auto"/>
        <w:tabs>
          <w:tab w:leader="none" w:pos="12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 CFR 240.12d2-2(a)(3) That on September 08, 2025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The merger between Foot Locker, Inc. and Dick's Sporting Goods, Inc. became effective on September 8, 2025. Each share of Common Stock of Foot Locker, Inc. was converted into either $24.00 per share in cash, without interest or 0.1168 of a share of Dick's Sporting Goods, Inc. Common Stock, without being subject to proration. The Exchange also notifies the Securities and Exchange Commission that as a result of the above indicated conditions this security was suspended from trading on September 08, 2025.</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10299" TargetMode="External"/><Relationship Id="rId11" Type="http://schemas.openxmlformats.org/officeDocument/2006/relationships/hyperlink" Target="http://www.sec.gov/cgi-bin/browse-edgar?action=getcompany&amp;CIK=00008502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2025-09-08T09:30:11Z</dcterms:created>
  <dcterms:modified xsi:type="dcterms:W3CDTF">2025-09-08T09:30:11Z</dcterms:modified>
</cp:coreProperties>
</file>